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auto"/>
          <w:kern w:val="0"/>
          <w:sz w:val="48"/>
          <w:szCs w:val="28"/>
          <w:highlight w:val="none"/>
          <w:u w:color="000000"/>
          <w:lang w:val="en-US" w:eastAsia="zh-CN" w:bidi="ar"/>
        </w:rPr>
      </w:pPr>
      <w:r>
        <w:rPr>
          <w:rFonts w:hint="eastAsia" w:ascii="Times New Roman" w:hAnsi="Times New Roman" w:eastAsia="宋体" w:cs="宋体"/>
          <w:b/>
          <w:bCs w:val="0"/>
          <w:color w:val="auto"/>
          <w:kern w:val="0"/>
          <w:sz w:val="48"/>
          <w:szCs w:val="28"/>
          <w:highlight w:val="none"/>
          <w:u w:color="000000"/>
          <w:lang w:val="en-US" w:eastAsia="zh-CN" w:bidi="ar"/>
        </w:rPr>
        <w:t>安徽省琅琊山旅游发展有限公司漂流艇采购项目</w:t>
      </w:r>
    </w:p>
    <w:p>
      <w:pPr>
        <w:pStyle w:val="2"/>
        <w:rPr>
          <w:rFonts w:hint="eastAsia" w:ascii="Times New Roman" w:hAnsi="Times New Roman" w:eastAsia="宋体" w:cs="宋体"/>
          <w:b/>
          <w:bCs w:val="0"/>
          <w:color w:val="auto"/>
          <w:kern w:val="0"/>
          <w:sz w:val="48"/>
          <w:szCs w:val="28"/>
          <w:highlight w:val="none"/>
          <w:u w:color="000000"/>
          <w:lang w:val="en-US" w:eastAsia="zh-CN" w:bidi="ar"/>
        </w:rPr>
      </w:pPr>
    </w:p>
    <w:p>
      <w:pPr>
        <w:rPr>
          <w:rFonts w:hint="eastAsia" w:ascii="Times New Roman" w:hAnsi="Times New Roman" w:eastAsia="宋体" w:cs="宋体"/>
          <w:b/>
          <w:bCs w:val="0"/>
          <w:color w:val="auto"/>
          <w:kern w:val="0"/>
          <w:sz w:val="48"/>
          <w:szCs w:val="28"/>
          <w:highlight w:val="none"/>
          <w:u w:color="000000"/>
          <w:lang w:val="en-US" w:eastAsia="zh-CN" w:bidi="ar"/>
        </w:rPr>
      </w:pPr>
    </w:p>
    <w:p>
      <w:pPr>
        <w:pStyle w:val="2"/>
        <w:rPr>
          <w:rFonts w:hint="eastAsia" w:ascii="Times New Roman" w:hAnsi="Times New Roman" w:eastAsia="宋体" w:cs="宋体"/>
          <w:b/>
          <w:bCs w:val="0"/>
          <w:color w:val="auto"/>
          <w:kern w:val="0"/>
          <w:sz w:val="48"/>
          <w:szCs w:val="28"/>
          <w:highlight w:val="none"/>
          <w:u w:color="000000"/>
          <w:lang w:val="en-US" w:eastAsia="zh-CN" w:bidi="ar"/>
        </w:rPr>
      </w:pPr>
    </w:p>
    <w:p>
      <w:pPr>
        <w:rPr>
          <w:rFonts w:hint="eastAsia"/>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rFonts w:hint="default" w:eastAsia="宋体"/>
          <w:b/>
          <w:bCs/>
          <w:color w:val="auto"/>
          <w:sz w:val="30"/>
          <w:szCs w:val="30"/>
          <w:highlight w:val="none"/>
          <w:lang w:val="en-US" w:eastAsia="zh-CN"/>
        </w:rPr>
      </w:pPr>
      <w:r>
        <w:rPr>
          <w:highlight w:val="none"/>
          <w:lang w:val="en-US"/>
        </w:rPr>
        <w:t xml:space="preserve"> </w:t>
      </w:r>
    </w:p>
    <w:p>
      <w:pPr>
        <w:spacing w:line="800" w:lineRule="exact"/>
        <w:jc w:val="center"/>
        <w:rPr>
          <w:rFonts w:hint="eastAsia" w:ascii="宋体"/>
          <w:b/>
          <w:color w:val="auto"/>
          <w:sz w:val="32"/>
          <w:szCs w:val="32"/>
          <w:highlight w:val="none"/>
        </w:rPr>
      </w:pPr>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hAnsi="宋体" w:eastAsia="宋体" w:cs="宋体"/>
          <w:b/>
          <w:bCs/>
          <w:color w:val="auto"/>
          <w:sz w:val="32"/>
          <w:szCs w:val="32"/>
          <w:highlight w:val="none"/>
          <w:u w:val="single"/>
          <w:lang w:val="en-US" w:eastAsia="zh-CN"/>
        </w:rPr>
        <w:t>安徽省琅琊山旅游发展有限公司</w:t>
      </w:r>
      <w:r>
        <w:rPr>
          <w:rFonts w:hint="eastAsia" w:ascii="宋体"/>
          <w:b/>
          <w:color w:val="auto"/>
          <w:sz w:val="32"/>
          <w:szCs w:val="32"/>
          <w:highlight w:val="none"/>
        </w:rPr>
        <w:t>（盖单位章）</w:t>
      </w:r>
    </w:p>
    <w:p>
      <w:pPr>
        <w:spacing w:line="800" w:lineRule="exact"/>
        <w:jc w:val="center"/>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hAnsi="宋体" w:cs="宋体"/>
          <w:b/>
          <w:bCs/>
          <w:color w:val="auto"/>
          <w:sz w:val="32"/>
          <w:szCs w:val="32"/>
          <w:highlight w:val="none"/>
          <w:u w:val="single"/>
        </w:rPr>
        <w:t>滁州市城投工程咨询管理有限公司</w:t>
      </w:r>
      <w:r>
        <w:rPr>
          <w:rFonts w:hint="eastAsia" w:ascii="宋体"/>
          <w:b/>
          <w:color w:val="auto"/>
          <w:sz w:val="32"/>
          <w:szCs w:val="32"/>
          <w:highlight w:val="none"/>
        </w:rPr>
        <w:t>（盖单位章）</w:t>
      </w:r>
    </w:p>
    <w:p>
      <w:pPr>
        <w:spacing w:line="800" w:lineRule="exact"/>
        <w:jc w:val="center"/>
        <w:rPr>
          <w:rFonts w:hint="default" w:ascii="宋体" w:eastAsia="宋体"/>
          <w:b/>
          <w:color w:val="auto"/>
          <w:sz w:val="32"/>
          <w:szCs w:val="32"/>
          <w:highlight w:val="none"/>
          <w:lang w:val="en-US" w:eastAsia="zh-CN"/>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4</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5</w:t>
      </w:r>
      <w:r>
        <w:rPr>
          <w:rFonts w:hint="eastAsia" w:ascii="宋体"/>
          <w:b/>
          <w:color w:val="auto"/>
          <w:sz w:val="32"/>
          <w:szCs w:val="32"/>
          <w:highlight w:val="none"/>
        </w:rPr>
        <w:t>月</w:t>
      </w:r>
    </w:p>
    <w:p>
      <w:pPr>
        <w:pStyle w:val="2"/>
        <w:widowControl/>
        <w:spacing w:before="0" w:beforeAutospacing="0" w:after="120" w:afterAutospacing="0"/>
        <w:ind w:left="0" w:leftChars="0" w:right="0" w:firstLine="0" w:firstLineChars="0"/>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TOC \o "1-1" \h \u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_Toc4487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第一章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招标公告</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_Toc4487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_Toc23335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0"/>
          <w:sz w:val="28"/>
          <w:szCs w:val="28"/>
          <w:highlight w:val="none"/>
          <w:lang w:val="en-US" w:eastAsia="zh-CN" w:bidi="ar"/>
        </w:rPr>
        <w:t>第二章  投标人须知</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_Toc23335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_Toc29327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44"/>
          <w:sz w:val="28"/>
          <w:szCs w:val="28"/>
          <w:highlight w:val="none"/>
          <w:lang w:val="en-US" w:eastAsia="zh-CN" w:bidi="ar"/>
        </w:rPr>
        <w:t>第三章  评标办法</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_Toc29327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15</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_Toc10480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rPr>
        <w:t>第</w:t>
      </w:r>
      <w:r>
        <w:rPr>
          <w:rFonts w:hint="eastAsia" w:ascii="宋体" w:hAnsi="宋体" w:eastAsia="宋体" w:cs="宋体"/>
          <w:b w:val="0"/>
          <w:bCs w:val="0"/>
          <w:sz w:val="28"/>
          <w:szCs w:val="28"/>
          <w:highlight w:val="none"/>
          <w:lang w:val="en-US" w:eastAsia="zh-CN"/>
        </w:rPr>
        <w:t>四</w:t>
      </w:r>
      <w:r>
        <w:rPr>
          <w:rFonts w:hint="eastAsia" w:ascii="宋体" w:hAnsi="宋体" w:eastAsia="宋体" w:cs="宋体"/>
          <w:b w:val="0"/>
          <w:bCs w:val="0"/>
          <w:sz w:val="28"/>
          <w:szCs w:val="28"/>
          <w:highlight w:val="none"/>
        </w:rPr>
        <w:t xml:space="preserve">章  </w:t>
      </w:r>
      <w:r>
        <w:rPr>
          <w:rFonts w:hint="eastAsia" w:ascii="宋体" w:hAnsi="宋体" w:eastAsia="宋体" w:cs="宋体"/>
          <w:b w:val="0"/>
          <w:bCs w:val="0"/>
          <w:sz w:val="28"/>
          <w:szCs w:val="28"/>
          <w:highlight w:val="none"/>
          <w:lang w:eastAsia="zh-CN"/>
        </w:rPr>
        <w:t>采购需求</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_Toc10480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22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19"/>
        <w:tabs>
          <w:tab w:val="right" w:leader="dot" w:pos="8306"/>
        </w:tabs>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_Toc17330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SA"/>
        </w:rPr>
        <w:t>第五章  合同条款及格式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US"/>
        </w:rPr>
        <w:fldChar w:fldCharType="end"/>
      </w:r>
      <w:r>
        <w:rPr>
          <w:rFonts w:hint="eastAsia" w:ascii="宋体" w:hAnsi="宋体" w:eastAsia="宋体" w:cs="宋体"/>
          <w:b w:val="0"/>
          <w:bCs w:val="0"/>
          <w:sz w:val="28"/>
          <w:szCs w:val="28"/>
          <w:highlight w:val="none"/>
          <w:lang w:val="en-US" w:eastAsia="zh-CN"/>
        </w:rPr>
        <w:t>5</w:t>
      </w:r>
    </w:p>
    <w:p>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_Toc24238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kern w:val="2"/>
          <w:sz w:val="28"/>
          <w:szCs w:val="28"/>
          <w:highlight w:val="none"/>
          <w:lang w:val="en-US" w:eastAsia="zh-CN" w:bidi="ar"/>
        </w:rPr>
        <w:t>第六章  投标文件格式</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_Toc24238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3</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pStyle w:val="19"/>
        <w:tabs>
          <w:tab w:val="right" w:leader="dot" w:pos="8306"/>
        </w:tabs>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rPr>
        <w:fldChar w:fldCharType="begin"/>
      </w:r>
      <w:r>
        <w:rPr>
          <w:rFonts w:hint="eastAsia" w:ascii="宋体" w:hAnsi="宋体" w:eastAsia="宋体" w:cs="宋体"/>
          <w:b w:val="0"/>
          <w:bCs w:val="0"/>
          <w:sz w:val="28"/>
          <w:szCs w:val="28"/>
          <w:highlight w:val="none"/>
          <w:lang w:val="en-US"/>
        </w:rPr>
        <w:instrText xml:space="preserve"> HYPERLINK \l _Toc7457 </w:instrText>
      </w:r>
      <w:r>
        <w:rPr>
          <w:rFonts w:hint="eastAsia" w:ascii="宋体" w:hAnsi="宋体" w:eastAsia="宋体" w:cs="宋体"/>
          <w:b w:val="0"/>
          <w:bCs w:val="0"/>
          <w:sz w:val="28"/>
          <w:szCs w:val="28"/>
          <w:highlight w:val="none"/>
          <w:lang w:val="en-US"/>
        </w:rPr>
        <w:fldChar w:fldCharType="separate"/>
      </w:r>
      <w:r>
        <w:rPr>
          <w:rFonts w:hint="eastAsia" w:ascii="宋体" w:hAnsi="宋体" w:eastAsia="宋体" w:cs="宋体"/>
          <w:b w:val="0"/>
          <w:bCs w:val="0"/>
          <w:sz w:val="28"/>
          <w:szCs w:val="28"/>
          <w:highlight w:val="none"/>
          <w:lang w:eastAsia="zh-CN"/>
        </w:rPr>
        <w:t>第</w:t>
      </w:r>
      <w:r>
        <w:rPr>
          <w:rFonts w:hint="eastAsia" w:ascii="宋体" w:hAnsi="宋体" w:eastAsia="宋体" w:cs="宋体"/>
          <w:b w:val="0"/>
          <w:bCs w:val="0"/>
          <w:sz w:val="28"/>
          <w:szCs w:val="28"/>
          <w:highlight w:val="none"/>
          <w:lang w:val="en-US" w:eastAsia="zh-CN"/>
        </w:rPr>
        <w:t>七</w:t>
      </w:r>
      <w:r>
        <w:rPr>
          <w:rFonts w:hint="eastAsia" w:ascii="宋体" w:hAnsi="宋体" w:eastAsia="宋体" w:cs="宋体"/>
          <w:b w:val="0"/>
          <w:bCs w:val="0"/>
          <w:sz w:val="28"/>
          <w:szCs w:val="28"/>
          <w:highlight w:val="none"/>
          <w:lang w:eastAsia="zh-CN"/>
        </w:rPr>
        <w:t>章</w:t>
      </w:r>
      <w:r>
        <w:rPr>
          <w:rFonts w:hint="eastAsia" w:ascii="宋体" w:hAnsi="宋体" w:eastAsia="宋体" w:cs="宋体"/>
          <w:b w:val="0"/>
          <w:bCs w:val="0"/>
          <w:sz w:val="28"/>
          <w:szCs w:val="28"/>
          <w:highlight w:val="none"/>
          <w:lang w:val="en-US"/>
        </w:rPr>
        <w:t xml:space="preserve">  </w:t>
      </w:r>
      <w:r>
        <w:rPr>
          <w:rFonts w:hint="eastAsia" w:ascii="宋体" w:hAnsi="宋体" w:eastAsia="宋体" w:cs="宋体"/>
          <w:b w:val="0"/>
          <w:bCs w:val="0"/>
          <w:sz w:val="28"/>
          <w:szCs w:val="28"/>
          <w:highlight w:val="none"/>
          <w:lang w:eastAsia="zh-CN"/>
        </w:rPr>
        <w:t>招标人、招标代理机构对本招标文件的确认</w:t>
      </w:r>
      <w:r>
        <w:rPr>
          <w:rFonts w:hint="eastAsia" w:ascii="宋体" w:hAnsi="宋体" w:eastAsia="宋体" w:cs="宋体"/>
          <w:b w:val="0"/>
          <w:bCs w:val="0"/>
          <w:sz w:val="28"/>
          <w:szCs w:val="28"/>
          <w:highlight w:val="none"/>
        </w:rPr>
        <w:tab/>
      </w:r>
      <w:r>
        <w:rPr>
          <w:rFonts w:hint="eastAsia" w:ascii="宋体" w:hAnsi="宋体" w:eastAsia="宋体" w:cs="宋体"/>
          <w:b w:val="0"/>
          <w:bCs w:val="0"/>
          <w:sz w:val="28"/>
          <w:szCs w:val="28"/>
          <w:highlight w:val="none"/>
        </w:rPr>
        <w:fldChar w:fldCharType="begin"/>
      </w:r>
      <w:r>
        <w:rPr>
          <w:rFonts w:hint="eastAsia" w:ascii="宋体" w:hAnsi="宋体" w:eastAsia="宋体" w:cs="宋体"/>
          <w:b w:val="0"/>
          <w:bCs w:val="0"/>
          <w:sz w:val="28"/>
          <w:szCs w:val="28"/>
          <w:highlight w:val="none"/>
        </w:rPr>
        <w:instrText xml:space="preserve"> PAGEREF _Toc7457 \h </w:instrText>
      </w:r>
      <w:r>
        <w:rPr>
          <w:rFonts w:hint="eastAsia" w:ascii="宋体" w:hAnsi="宋体" w:eastAsia="宋体" w:cs="宋体"/>
          <w:b w:val="0"/>
          <w:bCs w:val="0"/>
          <w:sz w:val="28"/>
          <w:szCs w:val="28"/>
          <w:highlight w:val="none"/>
        </w:rPr>
        <w:fldChar w:fldCharType="separate"/>
      </w:r>
      <w:r>
        <w:rPr>
          <w:rFonts w:hint="eastAsia" w:ascii="宋体" w:hAnsi="宋体" w:eastAsia="宋体" w:cs="宋体"/>
          <w:b w:val="0"/>
          <w:bCs w:val="0"/>
          <w:sz w:val="28"/>
          <w:szCs w:val="28"/>
          <w:highlight w:val="none"/>
        </w:rPr>
        <w:t>5</w:t>
      </w:r>
      <w:r>
        <w:rPr>
          <w:rFonts w:hint="eastAsia" w:ascii="宋体" w:hAnsi="宋体" w:eastAsia="宋体" w:cs="宋体"/>
          <w:b w:val="0"/>
          <w:bCs w:val="0"/>
          <w:sz w:val="28"/>
          <w:szCs w:val="28"/>
          <w:highlight w:val="none"/>
          <w:lang w:val="en-US" w:eastAsia="zh-CN"/>
        </w:rPr>
        <w:t>8</w:t>
      </w:r>
      <w:r>
        <w:rPr>
          <w:rFonts w:hint="eastAsia" w:ascii="宋体" w:hAnsi="宋体" w:eastAsia="宋体" w:cs="宋体"/>
          <w:b w:val="0"/>
          <w:bCs w:val="0"/>
          <w:sz w:val="28"/>
          <w:szCs w:val="28"/>
          <w:highlight w:val="none"/>
        </w:rPr>
        <w:fldChar w:fldCharType="end"/>
      </w:r>
      <w:r>
        <w:rPr>
          <w:rFonts w:hint="eastAsia" w:ascii="宋体" w:hAnsi="宋体" w:eastAsia="宋体" w:cs="宋体"/>
          <w:b w:val="0"/>
          <w:bCs w:val="0"/>
          <w:sz w:val="28"/>
          <w:szCs w:val="28"/>
          <w:highlight w:val="none"/>
          <w:lang w:val="en-US"/>
        </w:rPr>
        <w:fldChar w:fldCharType="end"/>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b w:val="0"/>
          <w:bCs w:val="0"/>
          <w:sz w:val="28"/>
          <w:szCs w:val="28"/>
          <w:highlight w:val="none"/>
          <w:lang w:val="en-US"/>
        </w:rPr>
        <w:fldChar w:fldCharType="end"/>
      </w:r>
    </w:p>
    <w:p>
      <w:pPr>
        <w:rPr>
          <w:rFonts w:hint="eastAsia" w:ascii="宋体" w:hAnsi="宋体" w:eastAsia="宋体" w:cs="宋体"/>
          <w:sz w:val="24"/>
          <w:szCs w:val="24"/>
          <w:highlight w:val="none"/>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pStyle w:val="20"/>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outlineLvl w:val="0"/>
        <w:rPr>
          <w:rFonts w:hint="eastAsia" w:ascii="宋体" w:hAnsi="宋体" w:eastAsia="宋体" w:cs="宋体"/>
          <w:b/>
          <w:bCs/>
          <w:sz w:val="32"/>
          <w:szCs w:val="32"/>
          <w:highlight w:val="none"/>
          <w:lang w:val="en-US"/>
        </w:rPr>
      </w:pPr>
      <w:bookmarkStart w:id="0" w:name="_Toc23741_WPSOffice_Level1"/>
      <w:bookmarkEnd w:id="0"/>
      <w:bookmarkStart w:id="1" w:name="_Toc29214"/>
      <w:bookmarkEnd w:id="1"/>
      <w:bookmarkStart w:id="2" w:name="_Toc4487"/>
      <w:r>
        <w:rPr>
          <w:rFonts w:hint="eastAsia" w:ascii="宋体" w:hAnsi="宋体" w:eastAsia="宋体" w:cs="宋体"/>
          <w:b/>
          <w:bCs/>
          <w:sz w:val="32"/>
          <w:szCs w:val="32"/>
          <w:highlight w:val="none"/>
          <w:lang w:eastAsia="zh-CN"/>
        </w:rPr>
        <w:t>第一章</w:t>
      </w:r>
      <w:r>
        <w:rPr>
          <w:rFonts w:hint="eastAsia" w:ascii="宋体" w:hAnsi="Calibri" w:eastAsia="楷体_GB2312" w:cs="宋体"/>
          <w:b/>
          <w:bCs/>
          <w:sz w:val="32"/>
          <w:szCs w:val="32"/>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sz w:val="32"/>
          <w:szCs w:val="32"/>
          <w:highlight w:val="none"/>
          <w:lang w:eastAsia="zh-CN"/>
        </w:rPr>
        <w:t>招标公告</w:t>
      </w:r>
      <w:bookmarkEnd w:id="2"/>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35393621"/>
      <w:bookmarkEnd w:id="5"/>
      <w:bookmarkStart w:id="6" w:name="_Toc28359002"/>
      <w:bookmarkEnd w:id="6"/>
      <w:bookmarkStart w:id="7" w:name="_Toc28359079"/>
      <w:bookmarkEnd w:id="7"/>
      <w:bookmarkStart w:id="8" w:name="_Toc58430305"/>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安徽省琅琊山旅游发展有限公司漂流艇采购项目的潜在</w:t>
      </w:r>
      <w:r>
        <w:rPr>
          <w:rFonts w:hint="eastAsia" w:ascii="宋体" w:hAnsi="宋体" w:eastAsia="宋体" w:cs="宋体"/>
          <w:color w:val="auto"/>
          <w:kern w:val="0"/>
          <w:sz w:val="21"/>
          <w:szCs w:val="21"/>
          <w:highlight w:val="none"/>
          <w:u w:color="000000"/>
          <w:lang w:val="en-US" w:eastAsia="zh-CN" w:bidi="ar"/>
        </w:rPr>
        <w:t>投标人应在【琅琊山景区】(https://www.lysfjq.cn/)获取招标文件，并于</w:t>
      </w:r>
      <w:r>
        <w:rPr>
          <w:rFonts w:hint="eastAsia" w:ascii="宋体" w:hAnsi="宋体" w:eastAsia="宋体" w:cs="宋体"/>
          <w:b/>
          <w:bCs/>
          <w:color w:val="auto"/>
          <w:kern w:val="0"/>
          <w:sz w:val="21"/>
          <w:szCs w:val="21"/>
          <w:highlight w:val="none"/>
          <w:u w:color="000000"/>
          <w:lang w:val="en-US" w:eastAsia="zh-CN" w:bidi="ar"/>
        </w:rPr>
        <w:t>202</w:t>
      </w:r>
      <w:r>
        <w:rPr>
          <w:rFonts w:hint="eastAsia" w:ascii="宋体" w:hAnsi="宋体" w:eastAsia="宋体" w:cs="宋体"/>
          <w:b/>
          <w:bCs/>
          <w:color w:val="000000"/>
          <w:kern w:val="0"/>
          <w:sz w:val="21"/>
          <w:szCs w:val="21"/>
          <w:highlight w:val="none"/>
          <w:u w:color="000000"/>
          <w:lang w:val="en-US" w:eastAsia="zh-CN" w:bidi="ar"/>
        </w:rPr>
        <w:t>4年5月23日15时00分</w:t>
      </w:r>
      <w:r>
        <w:rPr>
          <w:rFonts w:hint="eastAsia" w:ascii="宋体" w:hAnsi="宋体" w:eastAsia="宋体" w:cs="宋体"/>
          <w:color w:val="000000"/>
          <w:kern w:val="0"/>
          <w:sz w:val="21"/>
          <w:szCs w:val="21"/>
          <w:highlight w:val="none"/>
          <w:u w:color="000000"/>
          <w:lang w:val="en-US" w:eastAsia="zh-CN" w:bidi="ar"/>
        </w:rPr>
        <w:t>（北京时间）前递交投标文件。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项目名称：安徽省琅琊山旅游发展有限公司漂流艇采购项目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项目预算金额：285000</w:t>
      </w:r>
      <w:r>
        <w:rPr>
          <w:rFonts w:hint="eastAsia" w:ascii="宋体" w:hAnsi="宋体" w:eastAsia="宋体" w:cs="宋体"/>
          <w:b w:val="0"/>
          <w:bCs w:val="0"/>
          <w:color w:val="auto"/>
          <w:kern w:val="0"/>
          <w:sz w:val="21"/>
          <w:szCs w:val="21"/>
          <w:highlight w:val="none"/>
          <w:u w:color="000000"/>
          <w:lang w:val="en-US" w:eastAsia="zh-CN" w:bidi="ar"/>
        </w:rPr>
        <w:t>元</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最高限价：</w:t>
      </w:r>
      <w:r>
        <w:rPr>
          <w:rFonts w:hint="eastAsia" w:ascii="宋体" w:hAnsi="宋体" w:eastAsia="宋体" w:cs="宋体"/>
          <w:b w:val="0"/>
          <w:bCs w:val="0"/>
          <w:color w:val="auto"/>
          <w:kern w:val="0"/>
          <w:sz w:val="21"/>
          <w:szCs w:val="21"/>
          <w:highlight w:val="none"/>
          <w:u w:color="000000"/>
          <w:lang w:val="en-US" w:eastAsia="zh-CN" w:bidi="ar"/>
        </w:rPr>
        <w:t>本项目最高限价为（人民币）贰拾捌万伍仟</w:t>
      </w:r>
      <w:r>
        <w:rPr>
          <w:rFonts w:hint="eastAsia" w:ascii="宋体" w:hAnsi="宋体" w:eastAsia="宋体" w:cs="宋体"/>
          <w:color w:val="auto"/>
          <w:kern w:val="0"/>
          <w:sz w:val="21"/>
          <w:szCs w:val="21"/>
          <w:highlight w:val="none"/>
          <w:u w:color="000000"/>
          <w:lang w:val="en-US" w:eastAsia="zh-CN" w:bidi="ar"/>
        </w:rPr>
        <w:t>元整，</w:t>
      </w:r>
      <w:r>
        <w:rPr>
          <w:rFonts w:hint="eastAsia" w:ascii="宋体" w:hAnsi="宋体" w:eastAsia="宋体" w:cs="宋体"/>
          <w:b w:val="0"/>
          <w:bCs w:val="0"/>
          <w:color w:val="auto"/>
          <w:kern w:val="0"/>
          <w:sz w:val="21"/>
          <w:szCs w:val="21"/>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采购需求：漂流艇采购，具体详见项目采购需求。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供货期要求：自合同签订后接到招标人通知之日起5个日历天内完成供货并确保货物验收合格。</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color w:val="auto"/>
          <w:spacing w:val="2"/>
          <w:sz w:val="21"/>
          <w:szCs w:val="21"/>
          <w:highlight w:val="none"/>
          <w:lang w:val="en-US"/>
        </w:rPr>
      </w:pPr>
      <w:r>
        <w:rPr>
          <w:rFonts w:hint="eastAsia" w:ascii="宋体" w:hAnsi="宋体" w:eastAsia="宋体" w:cs="宋体"/>
          <w:b/>
          <w:bCs w:val="0"/>
          <w:color w:val="auto"/>
          <w:spacing w:val="2"/>
          <w:kern w:val="0"/>
          <w:sz w:val="21"/>
          <w:szCs w:val="21"/>
          <w:highlight w:val="none"/>
          <w:u w:color="000000"/>
          <w:lang w:val="en-US" w:eastAsia="zh-CN" w:bidi="ar"/>
        </w:rPr>
        <w:t>二、</w:t>
      </w:r>
      <w:r>
        <w:rPr>
          <w:rFonts w:hint="eastAsia" w:ascii="宋体" w:hAnsi="宋体" w:eastAsia="宋体" w:cs="宋体"/>
          <w:b/>
          <w:bCs w:val="0"/>
          <w:color w:val="auto"/>
          <w:kern w:val="0"/>
          <w:sz w:val="21"/>
          <w:szCs w:val="21"/>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1.投标人具有相应供货和服务能力。</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2.信誉要求：投标人不得存在以下情形：</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①投标人被人民法院列入失信被执行人的；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②投标人或其法定代表人前三年有行贿犯罪行为的；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③投标人被市场监督管理部门列入经营异常名录或者严重违法企业名单，且未被移除的；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④投标人被税务部门列入重大税收违法案件当事人的；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⑤在“信用中国”网站上披露仍在公示期的严重失信行为的；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⑥被滁州市县两级各行业主管部门及公管部门取消在一定期限内的投标资格且在取消期限内的；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⑦被滁州市县两级公管部门记入不良行为记录或者信用信息记录，且在披露期内的。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⑧被人力资源社会保障主管部门列入拖欠农民工工资‘黑名单’或因拖欠农民工工资被县级及以上有关行政主管部门限制投标资格且在限制期限内的。</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3.投标人所属分公司、办事处等分支机构存在第3条信誉要求①-⑧项情形之一的， 接受 投标人参加本项目。</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备注：第3、4条按照附件1“关于联合惩戒失信行为加强信用查询管理的通知”查询或承诺。</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4.本项目不接受联合体投标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b/>
          <w:bCs/>
          <w:sz w:val="21"/>
          <w:szCs w:val="21"/>
          <w:highlight w:val="none"/>
          <w:u w:val="single"/>
          <w:lang w:val="en-US"/>
        </w:rPr>
      </w:pPr>
      <w:r>
        <w:rPr>
          <w:rFonts w:hint="eastAsia" w:ascii="宋体" w:hAnsi="宋体" w:eastAsia="宋体" w:cs="宋体"/>
          <w:b/>
          <w:bCs/>
          <w:color w:val="000000"/>
          <w:kern w:val="0"/>
          <w:sz w:val="21"/>
          <w:szCs w:val="21"/>
          <w:highlight w:val="none"/>
          <w:u w:color="000000"/>
          <w:lang w:val="en-US" w:eastAsia="zh-CN" w:bidi="ar"/>
        </w:rPr>
        <w:t>时间：</w:t>
      </w:r>
      <w:r>
        <w:rPr>
          <w:rFonts w:hint="eastAsia" w:ascii="宋体" w:hAnsi="宋体" w:eastAsia="宋体" w:cs="宋体"/>
          <w:b/>
          <w:bCs/>
          <w:color w:val="000000"/>
          <w:kern w:val="0"/>
          <w:sz w:val="21"/>
          <w:szCs w:val="21"/>
          <w:highlight w:val="none"/>
          <w:u w:val="single" w:color="000000"/>
          <w:lang w:val="en-US" w:eastAsia="zh-CN" w:bidi="ar"/>
        </w:rPr>
        <w:t xml:space="preserve"> 2024年5月20日</w:t>
      </w:r>
      <w:r>
        <w:rPr>
          <w:rFonts w:hint="eastAsia" w:ascii="宋体" w:hAnsi="宋体" w:eastAsia="宋体" w:cs="宋体"/>
          <w:b/>
          <w:bCs/>
          <w:color w:val="000000"/>
          <w:kern w:val="0"/>
          <w:sz w:val="21"/>
          <w:szCs w:val="21"/>
          <w:highlight w:val="none"/>
          <w:u w:color="000000"/>
          <w:lang w:val="en-US" w:eastAsia="zh-CN" w:bidi="ar"/>
        </w:rPr>
        <w:t>至</w:t>
      </w:r>
      <w:r>
        <w:rPr>
          <w:rFonts w:hint="eastAsia" w:ascii="宋体" w:hAnsi="宋体" w:eastAsia="宋体" w:cs="宋体"/>
          <w:b/>
          <w:bCs/>
          <w:color w:val="000000"/>
          <w:kern w:val="0"/>
          <w:sz w:val="21"/>
          <w:szCs w:val="21"/>
          <w:highlight w:val="none"/>
          <w:u w:val="single" w:color="000000"/>
          <w:lang w:val="en-US" w:eastAsia="zh-CN" w:bidi="ar"/>
        </w:rPr>
        <w:t xml:space="preserve"> 2024年5月23日</w:t>
      </w:r>
    </w:p>
    <w:p>
      <w:pPr>
        <w:keepNext w:val="0"/>
        <w:keepLines w:val="0"/>
        <w:pageBreakBefore w:val="0"/>
        <w:kinsoku/>
        <w:overflowPunct/>
        <w:topLinePunct w:val="0"/>
        <w:autoSpaceDE/>
        <w:autoSpaceDN/>
        <w:bidi w:val="0"/>
        <w:adjustRightInd/>
        <w:snapToGrid/>
        <w:spacing w:line="440" w:lineRule="exact"/>
        <w:ind w:firstLine="540"/>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地点：【琅琊山景区】(https://www.lysfjq.cn/)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82"/>
      <w:bookmarkEnd w:id="10"/>
      <w:bookmarkStart w:id="11" w:name="_Toc58430308"/>
      <w:bookmarkEnd w:id="11"/>
      <w:bookmarkStart w:id="12" w:name="_Toc35393793"/>
      <w:bookmarkEnd w:id="12"/>
      <w:bookmarkStart w:id="13" w:name="_Toc28359005"/>
      <w:bookmarkEnd w:id="13"/>
      <w:r>
        <w:rPr>
          <w:rFonts w:hint="eastAsia" w:ascii="宋体" w:hAnsi="宋体" w:cs="宋体"/>
          <w:b/>
          <w:color w:val="auto"/>
          <w:sz w:val="21"/>
          <w:szCs w:val="21"/>
          <w:highlight w:val="none"/>
        </w:rPr>
        <w:t>四、提交投标文件截止时间、开标时间和</w:t>
      </w:r>
      <w:r>
        <w:rPr>
          <w:rFonts w:hint="eastAsia" w:ascii="宋体" w:hAnsi="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截止时间：</w:t>
      </w:r>
      <w:r>
        <w:rPr>
          <w:rFonts w:hint="eastAsia" w:ascii="宋体" w:hAnsi="宋体" w:eastAsia="宋体" w:cs="宋体"/>
          <w:b/>
          <w:bCs w:val="0"/>
          <w:color w:val="auto"/>
          <w:kern w:val="0"/>
          <w:sz w:val="21"/>
          <w:szCs w:val="21"/>
          <w:highlight w:val="none"/>
          <w:u w:val="single" w:color="000000"/>
          <w:lang w:val="en-US" w:eastAsia="zh-CN" w:bidi="ar"/>
        </w:rPr>
        <w:t>2024年5月23日15时00分</w:t>
      </w:r>
      <w:r>
        <w:rPr>
          <w:rFonts w:hint="eastAsia" w:ascii="宋体" w:hAnsi="宋体" w:eastAsia="宋体" w:cs="宋体"/>
          <w:b/>
          <w:bCs w:val="0"/>
          <w:color w:val="auto"/>
          <w:kern w:val="0"/>
          <w:sz w:val="21"/>
          <w:szCs w:val="21"/>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2" w:firstLineChars="200"/>
        <w:jc w:val="left"/>
        <w:textAlignment w:val="auto"/>
        <w:rPr>
          <w:rFonts w:hint="default" w:ascii="宋体" w:hAnsi="宋体" w:eastAsia="宋体" w:cs="宋体"/>
          <w:b/>
          <w:bCs/>
          <w:color w:val="auto"/>
          <w:kern w:val="0"/>
          <w:sz w:val="21"/>
          <w:szCs w:val="21"/>
          <w:highlight w:val="none"/>
          <w:u w:color="000000"/>
          <w:lang w:val="en-US" w:eastAsia="zh-CN" w:bidi="ar"/>
        </w:rPr>
      </w:pPr>
      <w:r>
        <w:rPr>
          <w:rFonts w:hint="eastAsia" w:ascii="宋体" w:hAnsi="宋体" w:eastAsia="宋体" w:cs="宋体"/>
          <w:b/>
          <w:bCs/>
          <w:color w:val="auto"/>
          <w:kern w:val="0"/>
          <w:sz w:val="21"/>
          <w:szCs w:val="21"/>
          <w:highlight w:val="none"/>
          <w:u w:color="000000"/>
          <w:lang w:val="en-US" w:eastAsia="zh-CN" w:bidi="ar"/>
        </w:rPr>
        <w:t xml:space="preserve">地点：安徽省琅琊山旅游发展有限公司会议室（安徽省滁州市西涧中路4306号）  </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bCs/>
          <w:sz w:val="21"/>
          <w:szCs w:val="21"/>
          <w:highlight w:val="none"/>
          <w:u w:val="single"/>
          <w:lang w:val="en-US"/>
        </w:rPr>
      </w:pPr>
      <w:r>
        <w:rPr>
          <w:rFonts w:hint="eastAsia" w:ascii="宋体" w:hAnsi="宋体" w:eastAsia="宋体" w:cs="宋体"/>
          <w:bCs/>
          <w:color w:val="000000"/>
          <w:kern w:val="0"/>
          <w:sz w:val="21"/>
          <w:szCs w:val="21"/>
          <w:highlight w:val="none"/>
          <w:u w:color="000000"/>
          <w:lang w:val="en-US" w:eastAsia="zh-CN" w:bidi="ar"/>
        </w:rPr>
        <w:t>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1.招标人信息</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称：安徽省琅琊山旅游发展有限公司</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w:t>
      </w:r>
      <w:r>
        <w:rPr>
          <w:rFonts w:hint="eastAsia" w:ascii="宋体" w:hAnsi="宋体" w:eastAsia="宋体" w:cs="宋体"/>
          <w:color w:val="auto"/>
          <w:szCs w:val="21"/>
          <w:highlight w:val="none"/>
          <w:lang w:val="en-US" w:eastAsia="zh-CN"/>
        </w:rPr>
        <w:t xml:space="preserve">安徽省滁州市西涧中路4306号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4" w:name="_Toc28359009"/>
      <w:bookmarkStart w:id="15" w:name="_Toc28359086"/>
      <w:r>
        <w:rPr>
          <w:rFonts w:hint="eastAsia" w:ascii="宋体" w:hAnsi="宋体" w:eastAsia="宋体" w:cs="宋体"/>
          <w:color w:val="auto"/>
          <w:szCs w:val="21"/>
          <w:highlight w:val="none"/>
          <w:lang w:val="en-US" w:eastAsia="zh-CN"/>
        </w:rPr>
        <w:t>17355083982</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2.采购代理机构信息</w:t>
      </w:r>
      <w:bookmarkEnd w:id="14"/>
      <w:bookmarkEnd w:id="15"/>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称：滁州市城投工程咨询管理有限公司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址：滁州市龙蟠大道109号房产大厦六楼　</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6" w:name="_Toc28359087"/>
      <w:bookmarkStart w:id="17" w:name="_Toc28359010"/>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3.项目联系方式</w:t>
      </w:r>
      <w:bookmarkEnd w:id="16"/>
      <w:bookmarkEnd w:id="17"/>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lang w:val="en-US" w:eastAsia="zh-CN"/>
        </w:rPr>
        <w:t>卞长城、周晓培</w:t>
      </w:r>
    </w:p>
    <w:p>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电　话：</w:t>
      </w:r>
      <w:r>
        <w:rPr>
          <w:rFonts w:hint="eastAsia" w:ascii="宋体" w:hAnsi="宋体" w:eastAsia="宋体" w:cs="宋体"/>
          <w:color w:val="auto"/>
          <w:szCs w:val="21"/>
          <w:highlight w:val="none"/>
          <w:lang w:val="en-US" w:eastAsia="zh-CN"/>
        </w:rPr>
        <w:t>17355083982</w:t>
      </w:r>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r>
        <w:rPr>
          <w:rFonts w:hint="eastAsia" w:ascii="宋体" w:hAnsi="宋体" w:eastAsia="宋体" w:cs="宋体"/>
          <w:bCs/>
          <w:color w:val="000000"/>
          <w:kern w:val="0"/>
          <w:sz w:val="32"/>
          <w:szCs w:val="32"/>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000000"/>
          <w:kern w:val="0"/>
          <w:sz w:val="32"/>
          <w:szCs w:val="32"/>
          <w:highlight w:val="none"/>
          <w:u w:color="000000"/>
          <w:lang w:val="en-US" w:eastAsia="zh-CN" w:bidi="ar"/>
        </w:rPr>
      </w:pP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
          <w:bCs/>
          <w:color w:val="auto"/>
          <w:kern w:val="0"/>
          <w:sz w:val="32"/>
          <w:szCs w:val="32"/>
          <w:highlight w:val="none"/>
          <w:u w:color="000000"/>
          <w:lang w:val="en-US" w:eastAsia="zh-CN" w:bidi="ar"/>
        </w:rPr>
      </w:pPr>
      <w:r>
        <w:rPr>
          <w:rFonts w:hint="eastAsia" w:ascii="宋体" w:hAnsi="宋体" w:eastAsia="宋体" w:cs="宋体"/>
          <w:bCs/>
          <w:color w:val="000000"/>
          <w:kern w:val="0"/>
          <w:sz w:val="32"/>
          <w:szCs w:val="32"/>
          <w:highlight w:val="none"/>
          <w:u w:color="000000"/>
          <w:lang w:val="en-US" w:eastAsia="zh-CN" w:bidi="ar"/>
        </w:rPr>
        <w:t xml:space="preserve"> </w:t>
      </w:r>
      <w:bookmarkStart w:id="18" w:name="_Toc23335"/>
      <w:r>
        <w:rPr>
          <w:rFonts w:hint="eastAsia" w:ascii="宋体" w:hAnsi="宋体" w:eastAsia="宋体" w:cs="宋体"/>
          <w:b/>
          <w:bCs/>
          <w:color w:val="auto"/>
          <w:kern w:val="0"/>
          <w:sz w:val="32"/>
          <w:szCs w:val="32"/>
          <w:highlight w:val="none"/>
          <w:u w:color="000000"/>
          <w:lang w:val="en-US" w:eastAsia="zh-CN" w:bidi="ar"/>
        </w:rPr>
        <w:t>第二章 投标人须知</w:t>
      </w:r>
      <w:bookmarkEnd w:id="18"/>
      <w:bookmarkStart w:id="19" w:name="_Toc9559"/>
      <w:bookmarkEnd w:id="19"/>
      <w:bookmarkStart w:id="20"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20"/>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cs="Times New Roman"/>
                <w:bCs/>
                <w:highlight w:val="none"/>
                <w:lang w:val="en-US" w:eastAsia="zh-CN"/>
              </w:rPr>
            </w:pPr>
            <w:r>
              <w:rPr>
                <w:rFonts w:hint="eastAsia" w:hAnsi="宋体" w:cs="宋体"/>
                <w:color w:val="auto"/>
                <w:sz w:val="21"/>
                <w:szCs w:val="21"/>
                <w:highlight w:val="none"/>
                <w:lang w:eastAsia="zh-CN"/>
              </w:rPr>
              <w:t>安徽省琅琊山旅游发展有限公司漂流艇采购项目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cs="Times New Roman"/>
                <w:bCs/>
                <w:highlight w:val="none"/>
                <w:lang w:val="en-US" w:eastAsia="zh-CN"/>
              </w:rPr>
            </w:pPr>
            <w:r>
              <w:rPr>
                <w:rFonts w:hint="default" w:cs="Times New Roman"/>
                <w:bCs/>
                <w:highlight w:val="none"/>
                <w:lang w:val="en-US" w:eastAsia="zh-CN"/>
              </w:rPr>
              <w:t>自合同签订后接到招标人通知之日起5个日历天内完成供货并确保货物验收合格。</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cs="Times New Roman"/>
                <w:highlight w:val="none"/>
                <w:lang w:val="en-US"/>
              </w:rPr>
            </w:pPr>
            <w:r>
              <w:rPr>
                <w:rFonts w:hint="eastAsia"/>
                <w:color w:val="auto"/>
                <w:sz w:val="21"/>
                <w:szCs w:val="21"/>
                <w:highlight w:val="none"/>
                <w:lang w:eastAsia="zh-CN"/>
              </w:rPr>
              <w:t>招标人</w:t>
            </w:r>
            <w:r>
              <w:rPr>
                <w:rFonts w:hint="eastAsia"/>
                <w:color w:val="auto"/>
                <w:sz w:val="21"/>
                <w:szCs w:val="21"/>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kinsoku/>
              <w:wordWrap/>
              <w:overflowPunct/>
              <w:topLinePunct w:val="0"/>
              <w:autoSpaceDE/>
              <w:autoSpaceDN/>
              <w:bidi w:val="0"/>
              <w:adjustRightInd/>
              <w:spacing w:line="440" w:lineRule="exact"/>
              <w:ind w:left="0" w:leftChars="0" w:right="0" w:rightChars="0"/>
              <w:textAlignment w:val="auto"/>
              <w:rPr>
                <w:rFonts w:hint="default" w:ascii="宋体" w:hAnsi="宋体" w:eastAsia="宋体" w:cs="宋体"/>
                <w:color w:val="auto"/>
                <w:kern w:val="2"/>
                <w:sz w:val="21"/>
                <w:szCs w:val="21"/>
                <w:highlight w:val="none"/>
                <w:u w:color="auto"/>
                <w:lang w:val="en-US" w:eastAsia="zh-CN" w:bidi="ar"/>
              </w:rPr>
            </w:pPr>
            <w:r>
              <w:rPr>
                <w:rFonts w:hint="eastAsia" w:ascii="宋体" w:hAnsi="宋体" w:eastAsia="宋体" w:cs="宋体"/>
                <w:color w:val="auto"/>
                <w:sz w:val="21"/>
                <w:szCs w:val="21"/>
                <w:highlight w:val="none"/>
              </w:rPr>
              <w:t>联系人：</w:t>
            </w:r>
            <w:r>
              <w:rPr>
                <w:rFonts w:hint="eastAsia" w:ascii="宋体" w:hAnsi="宋体" w:eastAsia="宋体" w:cs="宋体"/>
                <w:color w:val="auto"/>
                <w:szCs w:val="21"/>
                <w:highlight w:val="none"/>
                <w:lang w:val="en-US" w:eastAsia="zh-CN"/>
              </w:rPr>
              <w:t>卞长城</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ascii="宋体" w:hAnsi="宋体" w:eastAsia="宋体" w:cs="宋体"/>
                <w:color w:val="auto"/>
                <w:szCs w:val="21"/>
                <w:highlight w:val="none"/>
                <w:lang w:val="en-US" w:eastAsia="zh-CN"/>
              </w:rPr>
              <w:t>17355083982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招标</w:t>
            </w:r>
            <w:r>
              <w:rPr>
                <w:rFonts w:cs="Times New Roman"/>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eastAsia="宋体" w:cs="宋体"/>
                <w:highlight w:val="none"/>
                <w:lang w:val="en-US" w:eastAsia="zh-CN"/>
              </w:rPr>
            </w:pPr>
            <w:r>
              <w:rPr>
                <w:rFonts w:hint="eastAsia" w:ascii="宋体" w:hAnsi="宋体" w:eastAsia="宋体" w:cs="宋体"/>
                <w:bCs/>
                <w:color w:val="auto"/>
                <w:sz w:val="21"/>
                <w:szCs w:val="21"/>
                <w:highlight w:val="none"/>
              </w:rPr>
              <w:t>联系人：</w:t>
            </w:r>
            <w:r>
              <w:rPr>
                <w:rFonts w:hint="eastAsia" w:ascii="宋体" w:hAnsi="宋体" w:eastAsia="宋体" w:cs="宋体"/>
                <w:color w:val="auto"/>
                <w:szCs w:val="21"/>
                <w:highlight w:val="none"/>
                <w:lang w:val="en-US" w:eastAsia="zh-CN"/>
              </w:rPr>
              <w:t>周晓培</w:t>
            </w:r>
            <w:r>
              <w:rPr>
                <w:rFonts w:hint="eastAsia" w:ascii="宋体" w:hAnsi="宋体" w:eastAsia="宋体" w:cs="宋体"/>
                <w:bCs/>
                <w:color w:val="auto"/>
                <w:sz w:val="21"/>
                <w:szCs w:val="21"/>
                <w:highlight w:val="none"/>
              </w:rPr>
              <w:t>；</w:t>
            </w:r>
            <w:r>
              <w:rPr>
                <w:rFonts w:hint="eastAsia" w:hAnsi="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hint="eastAsia" w:cs="Times New Roman"/>
                <w:color w:val="auto"/>
                <w:highlight w:val="none"/>
                <w:lang w:val="en-US" w:eastAsia="zh-CN"/>
              </w:rPr>
              <w:t>自筹</w:t>
            </w:r>
            <w:r>
              <w:rPr>
                <w:rFonts w:cs="Times New Roman"/>
                <w:color w:val="auto"/>
                <w:highlight w:val="none"/>
              </w:rPr>
              <w:t>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285000.00元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285000.00元</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 w:val="0"/>
                <w:bCs w:val="0"/>
                <w:highlight w:val="none"/>
                <w:lang w:val="en-US"/>
              </w:rPr>
            </w:pPr>
            <w:r>
              <w:rPr>
                <w:rFonts w:hint="eastAsia" w:cs="Times New Roman"/>
                <w:b w:val="0"/>
                <w:bCs w:val="0"/>
                <w:highlight w:val="none"/>
              </w:rPr>
              <w:t>质疑时间：2024年5月</w:t>
            </w:r>
            <w:r>
              <w:rPr>
                <w:rFonts w:hint="eastAsia" w:cs="Times New Roman"/>
                <w:b w:val="0"/>
                <w:bCs w:val="0"/>
                <w:highlight w:val="none"/>
                <w:lang w:val="en-US" w:eastAsia="zh-CN"/>
              </w:rPr>
              <w:t>22</w:t>
            </w:r>
            <w:r>
              <w:rPr>
                <w:rFonts w:hint="eastAsia" w:cs="Times New Roman"/>
                <w:b w:val="0"/>
                <w:bCs w:val="0"/>
                <w:highlight w:val="none"/>
              </w:rPr>
              <w:t>日</w:t>
            </w:r>
            <w:r>
              <w:rPr>
                <w:rFonts w:hint="eastAsia" w:cs="Times New Roman"/>
                <w:b w:val="0"/>
                <w:bCs w:val="0"/>
                <w:highlight w:val="none"/>
                <w:lang w:val="en-US" w:eastAsia="zh-CN"/>
              </w:rPr>
              <w:t>8</w:t>
            </w:r>
            <w:r>
              <w:rPr>
                <w:rFonts w:hint="eastAsia" w:cs="Times New Roman"/>
                <w:b w:val="0"/>
                <w:bCs w:val="0"/>
                <w:highlight w:val="none"/>
              </w:rPr>
              <w:t>时前，供应商将所遇到的问题将疑问以书面形式（加盖公章）送至招标代理机构处，本项目不再集中召开投标预备会。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bCs/>
                <w:color w:val="auto"/>
                <w:kern w:val="2"/>
                <w:sz w:val="21"/>
                <w:szCs w:val="21"/>
                <w:highlight w:val="none"/>
                <w:u w:color="auto"/>
                <w:lang w:val="en-US" w:eastAsia="zh-CN" w:bidi="ar"/>
              </w:rPr>
              <w:t>2024年5月22日12时后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color w:val="auto"/>
                <w:kern w:val="0"/>
                <w:sz w:val="21"/>
                <w:szCs w:val="21"/>
                <w:highlight w:val="none"/>
                <w:u w:color="000000"/>
                <w:lang w:val="en-US" w:eastAsia="zh-CN" w:bidi="ar"/>
              </w:rPr>
              <w:t>【琅琊山景区】(https://www.lysfjq.cn/)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代理服务及专家评审等费用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代理服务费用金额：3000元，专家评审费按实计算。</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代理服务费及专家评审等费用支付主体：中标单位，中标单位在获取中标通知书时一次性支付给代理机构。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9</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投标文件须按格式文件要求签字或盖章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正本一份，副本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份。密封后递交</w:t>
            </w:r>
            <w:r>
              <w:rPr>
                <w:rFonts w:hint="eastAsia" w:ascii="宋体" w:hAnsi="宋体" w:cs="宋体"/>
                <w:color w:val="auto"/>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投标文件按顺序装订</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szCs w:val="21"/>
                <w:highlight w:val="none"/>
              </w:rPr>
            </w:pPr>
            <w:r>
              <w:rPr>
                <w:rFonts w:hint="eastAsia" w:ascii="宋体" w:hAnsi="宋体" w:cs="宋体"/>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投标人地址：</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投标人名称：</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                                   （项目名称）投标文件</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在 2024年  月  日  时  分前不得开启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vMerge w:val="restart"/>
            <w:tcBorders>
              <w:top w:val="single" w:color="auto" w:sz="8" w:space="0"/>
              <w:left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kern w:val="2"/>
                <w:highlight w:val="none"/>
                <w:lang w:val="en-US"/>
              </w:rPr>
            </w:pPr>
            <w:r>
              <w:rPr>
                <w:rFonts w:hint="eastAsia" w:ascii="宋体"/>
                <w:b/>
                <w:bCs/>
                <w:color w:val="auto"/>
                <w:sz w:val="21"/>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 xml:space="preserve"> 2024年5月23日15时00分（北京时间）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vMerge w:val="continue"/>
            <w:tcBorders>
              <w:left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开标时间：2024年5月23日15时00分（北京时间）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000000"/>
                <w:kern w:val="2"/>
                <w:sz w:val="21"/>
                <w:szCs w:val="21"/>
                <w:highlight w:val="none"/>
                <w:u w:color="000000"/>
                <w:lang w:val="en-US" w:eastAsia="zh-CN" w:bidi="ar"/>
              </w:rPr>
            </w:pPr>
            <w:r>
              <w:rPr>
                <w:rFonts w:hint="eastAsia" w:ascii="宋体" w:hAnsi="宋体" w:eastAsia="宋体" w:cs="宋体"/>
                <w:b/>
                <w:bCs/>
                <w:color w:val="000000"/>
                <w:kern w:val="2"/>
                <w:sz w:val="21"/>
                <w:szCs w:val="21"/>
                <w:highlight w:val="none"/>
                <w:u w:color="000000"/>
                <w:lang w:val="en-US" w:eastAsia="zh-CN" w:bidi="ar"/>
              </w:rPr>
              <w:t xml:space="preserve">开标地点：安徽省琅琊山旅游发展有限公司会议室（安徽省滁州市西涧中路4306号）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20" w:hRule="atLeast"/>
        </w:trPr>
        <w:tc>
          <w:tcPr>
            <w:tcW w:w="1035" w:type="dxa"/>
            <w:vMerge w:val="continue"/>
            <w:tcBorders>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密封情况：由投标人或其推选的代表检查投标文件的密封情况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开标顺序：由代理机构开启投标文件，报评标委员会评审。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w:t>
            </w:r>
            <w:r>
              <w:rPr>
                <w:rFonts w:hint="eastAsia" w:cs="宋体"/>
                <w:szCs w:val="21"/>
                <w:highlight w:val="none"/>
                <w:lang w:val="en-US" w:eastAsia="zh-CN"/>
              </w:rPr>
              <w:t>3</w:t>
            </w:r>
            <w:r>
              <w:rPr>
                <w:rFonts w:hint="eastAsia" w:ascii="宋体" w:hAnsi="宋体" w:cs="宋体"/>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w:t>
            </w:r>
            <w:r>
              <w:rPr>
                <w:rFonts w:hint="eastAsia" w:ascii="宋体" w:hAnsi="Times New Roman" w:eastAsia="宋体" w:cs="Times New Roman"/>
                <w:color w:val="auto"/>
                <w:szCs w:val="21"/>
                <w:highlight w:val="none"/>
              </w:rPr>
              <w:t>公告期为1个工作日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18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color w:val="auto"/>
                <w:sz w:val="21"/>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是否收取履约担保</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收取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形式：支持银行转账、银行电汇、银行保函、担保机构担保、保证保险使用</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金额：中标合同金额×</w:t>
            </w:r>
            <w:r>
              <w:rPr>
                <w:rFonts w:hint="eastAsia" w:ascii="宋体" w:hAnsi="宋体" w:eastAsia="宋体" w:cs="宋体"/>
                <w:b w:val="0"/>
                <w:bCs w:val="0"/>
                <w:color w:val="auto"/>
                <w:sz w:val="21"/>
                <w:szCs w:val="21"/>
                <w:highlight w:val="none"/>
                <w:lang w:val="en-US" w:eastAsia="zh-CN"/>
              </w:rPr>
              <w:t>2</w:t>
            </w:r>
            <w:r>
              <w:rPr>
                <w:rFonts w:hint="eastAsia"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收款单位：另行通知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开户银行：另行通知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银行账号：另行通知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缴纳时限：中标人须在中标通知书发出后</w:t>
            </w:r>
            <w:r>
              <w:rPr>
                <w:rFonts w:hint="eastAsia"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 xml:space="preserve">日内完成履约保证金缴纳及合同签订，如未按期交齐履约保证金或未按期签订合同的，视同放弃中标资格。 </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退还时限：履约保证金有效期满7日内。</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其他相关要求：</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1、采用银行保函的具体要求</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①保函形式须为见索即付型（无条件保函）；</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②须经招标人认可。</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2、采用担保保函的具体要求：须经招标人认可。</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3、采用商业保险的具体要求：须经招标人认可。</w:t>
            </w:r>
          </w:p>
          <w:p>
            <w:pPr>
              <w:pStyle w:val="15"/>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b w:val="0"/>
                <w:bCs w:val="0"/>
                <w:color w:val="auto"/>
                <w:sz w:val="21"/>
                <w:szCs w:val="21"/>
                <w:highlight w:val="none"/>
              </w:rPr>
              <w:t>4、采用第三方担保的具体要求：须经招标人认可。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color w:val="auto"/>
                <w:sz w:val="21"/>
                <w:szCs w:val="21"/>
                <w:highlight w:val="none"/>
              </w:rPr>
              <w:t>付款方式、时间、条件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1.无预付款，中标人将货物运至指定地点并由采购人验收合格后，一次性付清结算价款。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eastAsiaTheme="minorEastAsia"/>
                <w:color w:val="auto"/>
                <w:highlight w:val="none"/>
                <w:lang w:val="en-US" w:eastAsia="zh-CN"/>
              </w:rPr>
            </w:pPr>
            <w:r>
              <w:rPr>
                <w:rFonts w:hint="eastAsia" w:ascii="宋体" w:hAnsi="宋体" w:eastAsia="宋体" w:cs="宋体"/>
                <w:b/>
                <w:bCs/>
                <w:color w:val="auto"/>
                <w:sz w:val="21"/>
                <w:szCs w:val="21"/>
                <w:highlight w:val="none"/>
                <w:lang w:val="en-US" w:eastAsia="zh-CN"/>
              </w:rPr>
              <w:t>2.中标人中标后，须与安徽省琅耶山健身休闲有限公司签订漂流艇采购项目合同，采购费用由安徽省琅耶山健身休闲有限公司支付。（安徽省琅耶山健身休闲有限公司为安徽省琅琊山旅游发展有限公司旗下全资子公司））</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bl>
    <w:p>
      <w:pPr>
        <w:rPr>
          <w:rFonts w:hint="eastAsia" w:ascii="宋体" w:hAnsi="宋体" w:eastAsia="宋体" w:cs="宋体"/>
          <w:b/>
          <w:bCs w:val="0"/>
          <w:color w:val="000000"/>
          <w:kern w:val="0"/>
          <w:sz w:val="28"/>
          <w:szCs w:val="28"/>
          <w:highlight w:val="none"/>
          <w:u w:color="000000"/>
          <w:lang w:val="en-US" w:eastAsia="zh-CN" w:bidi="ar"/>
        </w:rPr>
      </w:pPr>
      <w:bookmarkStart w:id="21" w:name="_Toc122"/>
      <w:bookmarkEnd w:id="21"/>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2" w:name="_Toc26859"/>
      <w:bookmarkEnd w:id="22"/>
      <w:bookmarkStart w:id="23"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3"/>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综合评分法。</w:t>
      </w:r>
      <w:r>
        <w:rPr>
          <w:rFonts w:hint="eastAsia" w:ascii="宋体" w:hAnsi="宋体" w:eastAsia="宋体" w:cs="宋体"/>
          <w:color w:val="auto"/>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4" w:name="_Toc296602429"/>
      <w:bookmarkEnd w:id="24"/>
      <w:bookmarkStart w:id="25" w:name="_Toc152045539"/>
      <w:bookmarkEnd w:id="25"/>
      <w:bookmarkStart w:id="26" w:name="_Toc144974507"/>
      <w:bookmarkEnd w:id="26"/>
      <w:bookmarkStart w:id="27" w:name="_Toc247527563"/>
      <w:bookmarkEnd w:id="27"/>
      <w:bookmarkStart w:id="28" w:name="_Toc247513962"/>
      <w:bookmarkEnd w:id="28"/>
      <w:bookmarkStart w:id="29" w:name="_Toc152042315"/>
      <w:bookmarkEnd w:id="29"/>
      <w:bookmarkStart w:id="30"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30"/>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31" w:name="_Toc10668_WPSOffice_Level3"/>
      <w:bookmarkEnd w:id="31"/>
      <w:bookmarkStart w:id="32" w:name="_Toc24655"/>
      <w:bookmarkEnd w:id="32"/>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b/>
          <w:bCs w:val="0"/>
          <w:color w:val="000000"/>
          <w:kern w:val="0"/>
          <w:sz w:val="21"/>
          <w:szCs w:val="21"/>
          <w:highlight w:val="none"/>
          <w:u w:color="000000"/>
          <w:lang w:val="en-US" w:eastAsia="zh-CN" w:bidi="ar"/>
        </w:rPr>
        <w:t>【琅琊山景区】(https://www.lysfjq.cn/)</w:t>
      </w:r>
      <w:r>
        <w:rPr>
          <w:rFonts w:hint="eastAsia" w:ascii="宋体" w:hAnsi="宋体" w:eastAsia="宋体" w:cs="宋体"/>
          <w:bCs/>
          <w:color w:val="000000"/>
          <w:kern w:val="0"/>
          <w:sz w:val="21"/>
          <w:szCs w:val="21"/>
          <w:highlight w:val="none"/>
          <w:u w:color="000000"/>
          <w:lang w:val="en-US" w:eastAsia="zh-CN" w:bidi="ar"/>
        </w:rPr>
        <w:t>发出。</w:t>
      </w:r>
    </w:p>
    <w:p>
      <w:pPr>
        <w:spacing w:line="440" w:lineRule="exact"/>
        <w:ind w:firstLine="422" w:firstLineChars="200"/>
        <w:rPr>
          <w:rFonts w:hint="eastAsia" w:ascii="宋体" w:hAnsi="宋体" w:eastAsia="宋体" w:cs="宋体"/>
          <w:b/>
          <w:bCs w:val="0"/>
          <w:color w:val="000000"/>
          <w:kern w:val="0"/>
          <w:sz w:val="21"/>
          <w:szCs w:val="21"/>
          <w:highlight w:val="none"/>
          <w:u w:color="000000"/>
          <w:lang w:val="en-US" w:eastAsia="zh-CN" w:bidi="ar"/>
        </w:rPr>
      </w:pPr>
      <w:bookmarkStart w:id="33" w:name="_Toc1549_WPSOffice_Level3"/>
      <w:bookmarkEnd w:id="33"/>
      <w:bookmarkStart w:id="34" w:name="_Toc9710"/>
      <w:r>
        <w:rPr>
          <w:rFonts w:hint="eastAsia" w:ascii="宋体" w:hAnsi="宋体" w:eastAsia="宋体" w:cs="宋体"/>
          <w:b/>
          <w:bCs w:val="0"/>
          <w:color w:val="000000"/>
          <w:kern w:val="0"/>
          <w:sz w:val="21"/>
          <w:szCs w:val="21"/>
          <w:highlight w:val="none"/>
          <w:u w:color="000000"/>
          <w:lang w:val="en-US" w:eastAsia="zh-CN" w:bidi="ar"/>
        </w:rPr>
        <w:t>19.样品</w:t>
      </w:r>
      <w:bookmarkEnd w:id="34"/>
      <w:r>
        <w:rPr>
          <w:rFonts w:hint="eastAsia" w:ascii="宋体" w:hAnsi="宋体" w:eastAsia="宋体" w:cs="宋体"/>
          <w:b/>
          <w:bCs w:val="0"/>
          <w:color w:val="000000"/>
          <w:kern w:val="0"/>
          <w:sz w:val="21"/>
          <w:szCs w:val="21"/>
          <w:highlight w:val="none"/>
          <w:u w:color="000000"/>
          <w:lang w:val="en-US" w:eastAsia="zh-CN" w:bidi="ar"/>
        </w:rPr>
        <w:t>（本项目不采用）</w:t>
      </w:r>
    </w:p>
    <w:p>
      <w:pPr>
        <w:spacing w:line="440" w:lineRule="exact"/>
        <w:ind w:firstLine="420" w:firstLineChars="200"/>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b w:val="0"/>
          <w:bCs/>
          <w:color w:val="000000"/>
          <w:kern w:val="0"/>
          <w:sz w:val="21"/>
          <w:szCs w:val="21"/>
          <w:highlight w:val="none"/>
          <w:u w:color="000000"/>
          <w:lang w:val="en-US" w:eastAsia="zh-CN" w:bidi="ar"/>
        </w:rPr>
        <w:t>19.1 凡需要设置样品情形时，必须明确是否需要随样品提交检测报告，并明确检测机构的要求、检测内容、成交样品封存等事项。磋商小组无法判断样品是否合格且样品需要提供给第三方权威检测机构检测的,在供应商提供采购人认可的第三方权威检测机构检测报告后，磋商小组推荐的成交候选供应商方可生效，采购人或代理机构发布中标（成交）结果公告。磋商文件中应明确样品送检方式、检测费用支付方法、供应商在规定时间内无法提供第三方权威检测机构检测报告的处理方式。</w:t>
      </w:r>
      <w:r>
        <w:rPr>
          <w:rFonts w:hint="eastAsia" w:ascii="宋体" w:hAnsi="宋体" w:eastAsia="宋体" w:cs="宋体"/>
          <w:b/>
          <w:bCs w:val="0"/>
          <w:color w:val="000000"/>
          <w:kern w:val="0"/>
          <w:sz w:val="21"/>
          <w:szCs w:val="21"/>
          <w:highlight w:val="none"/>
          <w:u w:color="000000"/>
          <w:lang w:val="en-US" w:eastAsia="zh-CN" w:bidi="ar"/>
        </w:rPr>
        <w:t>（本项目不需要提供样品）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21.1投标文件由投标文件一（资信证明文件）、投标文件二（技术标）和投标文件三（商务标）三部分组成。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22.3投标报价的综合单价包括完成本项目全部供货及服务的一切费用：包括但不限于设备费、材料费（含</w:t>
      </w:r>
      <w:r>
        <w:rPr>
          <w:rFonts w:hint="eastAsia"/>
          <w:highlight w:val="none"/>
          <w:lang w:val="en-US" w:eastAsia="zh-CN"/>
        </w:rPr>
        <w:t>辅材）</w:t>
      </w:r>
      <w:r>
        <w:rPr>
          <w:rFonts w:hint="eastAsia" w:ascii="宋体" w:hAnsi="宋体" w:eastAsia="宋体" w:cs="宋体"/>
          <w:color w:val="000000"/>
          <w:kern w:val="0"/>
          <w:sz w:val="21"/>
          <w:szCs w:val="21"/>
          <w:highlight w:val="none"/>
          <w:u w:color="000000"/>
          <w:lang w:val="en-US" w:eastAsia="zh-CN" w:bidi="ar"/>
        </w:rPr>
        <w:t>、装卸费、运输费、管理费、其他费</w:t>
      </w:r>
      <w:r>
        <w:rPr>
          <w:rFonts w:hint="eastAsia" w:ascii="宋体" w:hAnsi="宋体" w:eastAsia="宋体" w:cs="宋体"/>
          <w:color w:val="auto"/>
          <w:kern w:val="0"/>
          <w:sz w:val="21"/>
          <w:szCs w:val="21"/>
          <w:highlight w:val="none"/>
          <w:u w:color="000000"/>
          <w:lang w:val="en-US" w:eastAsia="zh-CN" w:bidi="ar"/>
        </w:rPr>
        <w:t>用（如包装费、仓储费、保管费）、调试费、利润、招标代理费、专家评审费、售后服务费、税金</w:t>
      </w:r>
      <w:r>
        <w:rPr>
          <w:rFonts w:hint="eastAsia" w:ascii="宋体" w:hAnsi="宋体" w:eastAsia="宋体" w:cs="宋体"/>
          <w:color w:val="auto"/>
          <w:szCs w:val="21"/>
          <w:highlight w:val="none"/>
          <w:lang w:val="en-US" w:eastAsia="zh-CN"/>
        </w:rPr>
        <w:t>费用等，</w:t>
      </w:r>
      <w:r>
        <w:rPr>
          <w:rFonts w:hint="eastAsia" w:ascii="宋体" w:hAnsi="宋体" w:eastAsia="宋体" w:cs="宋体"/>
          <w:color w:val="auto"/>
          <w:kern w:val="0"/>
          <w:sz w:val="21"/>
          <w:szCs w:val="21"/>
          <w:highlight w:val="none"/>
          <w:u w:color="000000"/>
          <w:lang w:val="en-US" w:eastAsia="zh-CN" w:bidi="ar"/>
        </w:rPr>
        <w:t>政策性文件规定及合同包含的所有风险和责任等</w:t>
      </w:r>
      <w:r>
        <w:rPr>
          <w:rFonts w:hint="eastAsia" w:ascii="宋体" w:hAnsi="宋体" w:eastAsia="宋体" w:cs="宋体"/>
          <w:color w:val="000000"/>
          <w:kern w:val="0"/>
          <w:sz w:val="21"/>
          <w:szCs w:val="21"/>
          <w:highlight w:val="none"/>
          <w:u w:color="000000"/>
          <w:lang w:val="en-US" w:eastAsia="zh-CN" w:bidi="ar"/>
        </w:rPr>
        <w:t>、货物送至招标人指定地点前的各项应有费用，</w:t>
      </w:r>
      <w:r>
        <w:rPr>
          <w:rFonts w:hint="eastAsia" w:ascii="宋体" w:hAnsi="宋体" w:eastAsia="宋体" w:cs="宋体"/>
          <w:color w:val="000000"/>
          <w:szCs w:val="21"/>
          <w:highlight w:val="none"/>
          <w:lang w:val="en-US" w:eastAsia="zh-CN"/>
        </w:rPr>
        <w:t>采购人后期不再追加任何费用</w:t>
      </w:r>
      <w:r>
        <w:rPr>
          <w:rFonts w:hint="eastAsia" w:ascii="宋体" w:hAnsi="宋体" w:eastAsia="宋体" w:cs="宋体"/>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spacing w:line="440" w:lineRule="exact"/>
        <w:ind w:firstLine="403" w:firstLineChars="192"/>
        <w:rPr>
          <w:rFonts w:hint="eastAsia" w:ascii="宋体"/>
          <w:color w:val="000000"/>
          <w:szCs w:val="21"/>
          <w:highlight w:val="none"/>
        </w:rPr>
      </w:pPr>
      <w:r>
        <w:rPr>
          <w:rFonts w:hint="eastAsia" w:ascii="宋体"/>
          <w:szCs w:val="21"/>
          <w:highlight w:val="none"/>
        </w:rPr>
        <w:t>22.9</w:t>
      </w:r>
      <w:r>
        <w:rPr>
          <w:rFonts w:hint="eastAsia" w:ascii="宋体"/>
          <w:color w:val="000000"/>
          <w:szCs w:val="21"/>
          <w:highlight w:val="none"/>
        </w:rPr>
        <w:t>如投标文件中未列明全面实现投标货物功能而必须配置的配套或辅助设施及相应技术措施的费用，这些费用将被视为已包含在总投标价中。</w:t>
      </w:r>
    </w:p>
    <w:p>
      <w:pPr>
        <w:spacing w:line="440" w:lineRule="exact"/>
        <w:ind w:firstLine="403" w:firstLineChars="192"/>
        <w:rPr>
          <w:rFonts w:hint="eastAsia" w:ascii="宋体"/>
          <w:color w:val="000000"/>
          <w:szCs w:val="21"/>
          <w:highlight w:val="none"/>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.1</w:t>
      </w:r>
      <w:r>
        <w:rPr>
          <w:rFonts w:hint="eastAsia" w:ascii="宋体"/>
          <w:color w:val="000000"/>
          <w:szCs w:val="21"/>
          <w:highlight w:val="none"/>
          <w:lang w:val="en-US" w:eastAsia="zh-CN"/>
        </w:rPr>
        <w:t>0</w:t>
      </w:r>
      <w:r>
        <w:rPr>
          <w:rFonts w:hint="eastAsia" w:ascii="宋体"/>
          <w:color w:val="000000"/>
          <w:szCs w:val="21"/>
          <w:highlight w:val="none"/>
        </w:rPr>
        <w:t>投标人不得对从第三方采购货物的随机备品、备件另行收费，否则在计算评标价时这部分费用将不予扣除，在授予合同时将从中标价格中扣除该部分费用。</w:t>
      </w:r>
    </w:p>
    <w:p>
      <w:pPr>
        <w:spacing w:line="440" w:lineRule="exact"/>
        <w:ind w:firstLine="403" w:firstLineChars="192"/>
        <w:rPr>
          <w:rFonts w:hint="eastAsia" w:ascii="宋体" w:hAnsi="宋体" w:eastAsia="宋体" w:cs="宋体"/>
          <w:b/>
          <w:bCs w:val="0"/>
          <w:color w:val="000000"/>
          <w:kern w:val="0"/>
          <w:sz w:val="21"/>
          <w:szCs w:val="21"/>
          <w:highlight w:val="none"/>
          <w:u w:color="000000"/>
          <w:lang w:val="en-US" w:eastAsia="zh-CN" w:bidi="ar"/>
        </w:rPr>
      </w:pPr>
      <w:r>
        <w:rPr>
          <w:rFonts w:hint="eastAsia" w:ascii="宋体"/>
          <w:color w:val="000000"/>
          <w:szCs w:val="21"/>
          <w:highlight w:val="none"/>
        </w:rPr>
        <w:t>2</w:t>
      </w:r>
      <w:r>
        <w:rPr>
          <w:rFonts w:hint="eastAsia" w:ascii="宋体"/>
          <w:color w:val="000000"/>
          <w:szCs w:val="21"/>
          <w:highlight w:val="none"/>
          <w:lang w:val="en-US" w:eastAsia="zh-CN"/>
        </w:rPr>
        <w:t>2</w:t>
      </w:r>
      <w:r>
        <w:rPr>
          <w:rFonts w:hint="eastAsia" w:ascii="宋体"/>
          <w:color w:val="000000"/>
          <w:szCs w:val="21"/>
          <w:highlight w:val="none"/>
        </w:rPr>
        <w:t>.</w:t>
      </w:r>
      <w:r>
        <w:rPr>
          <w:rFonts w:hint="eastAsia" w:ascii="宋体"/>
          <w:color w:val="000000"/>
          <w:szCs w:val="21"/>
          <w:highlight w:val="none"/>
          <w:lang w:val="en-US" w:eastAsia="zh-CN"/>
        </w:rPr>
        <w:t>11</w:t>
      </w:r>
      <w:r>
        <w:rPr>
          <w:rFonts w:hint="eastAsia" w:ascii="宋体"/>
          <w:color w:val="000000"/>
          <w:szCs w:val="21"/>
          <w:highlight w:val="none"/>
        </w:rPr>
        <w:t>投标人应根据</w:t>
      </w:r>
      <w:r>
        <w:rPr>
          <w:rFonts w:hint="eastAsia" w:ascii="宋体"/>
          <w:color w:val="000000"/>
          <w:szCs w:val="21"/>
          <w:highlight w:val="none"/>
          <w:lang w:eastAsia="zh-CN"/>
        </w:rPr>
        <w:t>货物</w:t>
      </w:r>
      <w:r>
        <w:rPr>
          <w:rFonts w:hint="eastAsia" w:ascii="宋体"/>
          <w:color w:val="000000"/>
          <w:szCs w:val="21"/>
          <w:highlight w:val="none"/>
        </w:rPr>
        <w:t>的状况列出随机备品备件的清单和数量，并将该备品备件价格计入总投标价，若所提供的产品无需备件，则应在投标文件中说明；无论投标人在报价中列明随机备品备件的数量及价格多少，在</w:t>
      </w:r>
      <w:r>
        <w:rPr>
          <w:rFonts w:hint="eastAsia" w:ascii="宋体"/>
          <w:color w:val="000000"/>
          <w:szCs w:val="21"/>
          <w:highlight w:val="none"/>
          <w:lang w:eastAsia="zh-CN"/>
        </w:rPr>
        <w:t>质保</w:t>
      </w:r>
      <w:r>
        <w:rPr>
          <w:rFonts w:hint="eastAsia" w:ascii="宋体"/>
          <w:color w:val="000000"/>
          <w:szCs w:val="21"/>
          <w:highlight w:val="none"/>
        </w:rPr>
        <w:t>期内采购人均无需为维护维修保养所需的专用工具和备品备件另行支付费用。</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除投标人须知前附表另有规定外，投标有效期为90天。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5" w:name="_Toc6570_WPSOffice_Level3"/>
      <w:bookmarkEnd w:id="35"/>
      <w:bookmarkStart w:id="36"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6"/>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7" w:name="_Toc30407_WPSOffice_Level3"/>
      <w:bookmarkEnd w:id="37"/>
      <w:bookmarkStart w:id="38" w:name="_Toc490"/>
      <w:bookmarkEnd w:id="38"/>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25.1投标文件份数：正本1份，副本2份。</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投标人须在投标人须知前附表规定的投标截止时间前递交投标文件。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宋体"/>
          <w:color w:val="000000"/>
          <w:szCs w:val="21"/>
          <w:highlight w:val="none"/>
          <w:lang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在投标人须知前附表规定的投标截止时间前，投标人可以修改或撤回已递交的投标文件，但应以书面形式通知招标人</w:t>
      </w:r>
      <w:r>
        <w:rPr>
          <w:rFonts w:hint="eastAsia" w:ascii="宋体" w:hAnsi="宋体" w:eastAsia="宋体" w:cs="宋体"/>
          <w:color w:val="000000"/>
          <w:szCs w:val="21"/>
          <w:highlight w:val="none"/>
          <w:lang w:eastAsia="zh-CN"/>
        </w:rPr>
        <w:t>。</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2 投标人修改或撤回已递交投标文件的书面通知应按照本章的要求签字或盖章。招标人收到书面通知后，投标人签到登记。</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.3 投标人撤回投标文件的，招标人自收到投标人书面撤回通知之日起5日内退还已收取的投标保证金。</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szCs w:val="21"/>
          <w:highlight w:val="none"/>
          <w:lang w:val="en-US" w:eastAsia="zh-CN"/>
        </w:rPr>
        <w:t>27</w:t>
      </w:r>
      <w:r>
        <w:rPr>
          <w:rFonts w:hint="eastAsia" w:ascii="宋体" w:hAnsi="宋体" w:eastAsia="宋体" w:cs="宋体"/>
          <w:color w:val="000000"/>
          <w:szCs w:val="21"/>
          <w:highlight w:val="none"/>
        </w:rPr>
        <w:t>.4 修改的内容为投标文件的组成部分。修改的投标文件应按照本章第3条、第4条规定进行编制、密封、标记和递交，并标明“修改”字样。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9" w:name="_Toc28864"/>
      <w:bookmarkEnd w:id="39"/>
      <w:bookmarkStart w:id="40"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41" w:name="_Toc15542_WPSOffice_Level3"/>
      <w:bookmarkEnd w:id="41"/>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（3）按照投标人须知前附表规定检查投标文件的密封情况；</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（4）按照投标人须知前附表的规定确定并宣布投标文件开标顺序；</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2" w:name="_Toc5272_WPSOffice_Level3"/>
      <w:bookmarkEnd w:id="42"/>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40"/>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w:t>
      </w:r>
      <w:r>
        <w:rPr>
          <w:rFonts w:hint="eastAsia" w:ascii="宋体" w:hAnsi="Times New Roman" w:eastAsia="宋体" w:cs="Times New Roman"/>
          <w:color w:val="auto"/>
          <w:spacing w:val="0"/>
          <w:sz w:val="21"/>
          <w:szCs w:val="21"/>
          <w:highlight w:val="none"/>
          <w:lang w:val="en-US" w:eastAsia="zh-CN"/>
        </w:rPr>
        <w:t>1</w:t>
      </w:r>
      <w:r>
        <w:rPr>
          <w:rFonts w:hint="eastAsia" w:ascii="宋体" w:hAnsi="Times New Roman" w:eastAsia="宋体" w:cs="Times New Roman"/>
          <w:color w:val="auto"/>
          <w:spacing w:val="0"/>
          <w:sz w:val="21"/>
          <w:szCs w:val="21"/>
          <w:highlight w:val="none"/>
        </w:rPr>
        <w:t>日。</w:t>
      </w:r>
    </w:p>
    <w:p>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kern w:val="2"/>
          <w:sz w:val="21"/>
          <w:szCs w:val="21"/>
          <w:lang w:val="en-US" w:eastAsia="zh-CN" w:bidi="ar-SA"/>
        </w:rPr>
        <w:t>34.</w:t>
      </w: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default" w:ascii="宋体" w:hAnsi="Times New Roman" w:eastAsia="宋体" w:cs="Times New Roman"/>
          <w:b/>
          <w:color w:val="auto"/>
          <w:spacing w:val="0"/>
          <w:kern w:val="2"/>
          <w:sz w:val="21"/>
          <w:szCs w:val="21"/>
          <w:lang w:val="en-US" w:eastAsia="zh-CN" w:bidi="ar-SA"/>
        </w:rPr>
        <w:t>3</w:t>
      </w:r>
      <w:r>
        <w:rPr>
          <w:rFonts w:hint="eastAsia" w:ascii="宋体" w:hAnsi="Times New Roman" w:eastAsia="宋体" w:cs="Times New Roman"/>
          <w:b/>
          <w:color w:val="auto"/>
          <w:spacing w:val="0"/>
          <w:kern w:val="2"/>
          <w:sz w:val="21"/>
          <w:szCs w:val="21"/>
          <w:lang w:val="en-US" w:eastAsia="zh-CN" w:bidi="ar-SA"/>
        </w:rPr>
        <w:t>5</w:t>
      </w:r>
      <w:r>
        <w:rPr>
          <w:rFonts w:hint="default" w:ascii="宋体" w:hAnsi="Times New Roman" w:eastAsia="宋体" w:cs="Times New Roman"/>
          <w:b/>
          <w:color w:val="auto"/>
          <w:spacing w:val="0"/>
          <w:kern w:val="2"/>
          <w:sz w:val="21"/>
          <w:szCs w:val="21"/>
          <w:lang w:val="en-US" w:eastAsia="zh-CN" w:bidi="ar-SA"/>
        </w:rPr>
        <w:t>.</w:t>
      </w: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kern w:val="2"/>
          <w:sz w:val="21"/>
          <w:szCs w:val="21"/>
          <w:lang w:val="en-US" w:eastAsia="zh-CN" w:bidi="ar-SA"/>
        </w:rPr>
        <w:t>36.</w:t>
      </w: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3" w:name="_Toc7247"/>
      <w:bookmarkEnd w:id="43"/>
      <w:r>
        <w:rPr>
          <w:rFonts w:hint="eastAsia" w:ascii="宋体" w:hAnsi="Times New Roman" w:eastAsia="宋体" w:cs="Times New Roman"/>
          <w:b/>
          <w:color w:val="auto"/>
          <w:spacing w:val="0"/>
          <w:sz w:val="21"/>
          <w:szCs w:val="21"/>
          <w:highlight w:val="none"/>
          <w:lang w:val="en-US" w:eastAsia="zh-CN"/>
        </w:rPr>
        <w:t xml:space="preserve"> 37.</w:t>
      </w:r>
      <w:bookmarkStart w:id="44" w:name="_Toc217446068"/>
      <w:r>
        <w:rPr>
          <w:rFonts w:hint="eastAsia" w:ascii="宋体" w:hAnsi="Times New Roman" w:eastAsia="宋体" w:cs="Times New Roman"/>
          <w:b/>
          <w:color w:val="auto"/>
          <w:spacing w:val="0"/>
          <w:sz w:val="21"/>
          <w:szCs w:val="21"/>
          <w:highlight w:val="none"/>
          <w:lang w:val="en-US" w:eastAsia="zh-CN"/>
        </w:rPr>
        <w:t>履约保证金</w:t>
      </w:r>
      <w:bookmarkEnd w:id="44"/>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5" w:name="_Toc316_WPSOffice_Level3"/>
      <w:bookmarkEnd w:id="45"/>
      <w:bookmarkStart w:id="46" w:name="_Toc23484"/>
      <w:r>
        <w:rPr>
          <w:rFonts w:hint="eastAsia" w:ascii="宋体" w:hAnsi="Times New Roman" w:eastAsia="宋体" w:cs="Times New Roman"/>
          <w:color w:val="auto"/>
          <w:spacing w:val="0"/>
          <w:sz w:val="21"/>
          <w:szCs w:val="21"/>
          <w:highlight w:val="none"/>
          <w:lang w:val="en-US" w:eastAsia="zh-CN"/>
        </w:rPr>
        <w:t>37.1</w:t>
      </w:r>
      <w:bookmarkEnd w:id="46"/>
      <w:r>
        <w:rPr>
          <w:rFonts w:hint="eastAsia" w:ascii="宋体" w:hAnsi="Times New Roman" w:eastAsia="宋体" w:cs="Times New Roman"/>
          <w:color w:val="auto"/>
          <w:spacing w:val="0"/>
          <w:sz w:val="21"/>
          <w:szCs w:val="21"/>
          <w:highlight w:val="none"/>
          <w:lang w:val="en-US" w:eastAsia="zh-CN"/>
        </w:rPr>
        <w:t>详见投标人须知前附表要求。</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hAnsi="宋体" w:eastAsia="宋体" w:cs="宋体"/>
          <w:b/>
          <w:bCs w:val="0"/>
          <w:color w:val="000000"/>
          <w:kern w:val="44"/>
          <w:sz w:val="28"/>
          <w:szCs w:val="28"/>
          <w:highlight w:val="none"/>
          <w:u w:color="000000"/>
          <w:lang w:val="en-US" w:eastAsia="zh-CN" w:bidi="ar"/>
        </w:rPr>
      </w:pPr>
      <w:r>
        <w:rPr>
          <w:rFonts w:hint="eastAsia" w:ascii="宋体" w:hAnsi="宋体" w:eastAsia="宋体" w:cs="宋体"/>
          <w:b/>
          <w:bCs w:val="0"/>
          <w:color w:val="000000"/>
          <w:kern w:val="44"/>
          <w:sz w:val="28"/>
          <w:szCs w:val="28"/>
          <w:highlight w:val="none"/>
          <w:u w:color="000000"/>
          <w:lang w:val="en-US" w:eastAsia="zh-CN" w:bidi="ar"/>
        </w:rPr>
        <w:br w:type="page"/>
      </w:r>
    </w:p>
    <w:p>
      <w:pPr>
        <w:numPr>
          <w:ilvl w:val="0"/>
          <w:numId w:val="0"/>
        </w:numPr>
        <w:spacing w:before="156" w:beforeLines="50" w:after="156" w:afterLines="50"/>
        <w:jc w:val="center"/>
        <w:outlineLvl w:val="0"/>
        <w:rPr>
          <w:rFonts w:hint="default" w:ascii="宋体" w:hAnsi="宋体" w:eastAsia="宋体" w:cs="宋体"/>
          <w:b/>
          <w:bCs w:val="0"/>
          <w:color w:val="000000"/>
          <w:kern w:val="44"/>
          <w:sz w:val="32"/>
          <w:szCs w:val="32"/>
          <w:highlight w:val="none"/>
          <w:u w:color="000000"/>
          <w:lang w:val="en-US" w:eastAsia="zh-CN" w:bidi="ar"/>
        </w:rPr>
      </w:pPr>
      <w:bookmarkStart w:id="47" w:name="_Toc29327"/>
      <w:r>
        <w:rPr>
          <w:rFonts w:hint="eastAsia" w:ascii="宋体" w:hAnsi="宋体" w:eastAsia="宋体" w:cs="宋体"/>
          <w:b/>
          <w:bCs w:val="0"/>
          <w:color w:val="000000"/>
          <w:kern w:val="44"/>
          <w:sz w:val="32"/>
          <w:szCs w:val="32"/>
          <w:highlight w:val="none"/>
          <w:u w:color="000000"/>
          <w:lang w:val="en-US" w:eastAsia="zh-CN" w:bidi="ar"/>
        </w:rPr>
        <w:t>第三章 评标办法</w:t>
      </w:r>
      <w:bookmarkEnd w:id="47"/>
      <w:r>
        <w:rPr>
          <w:rFonts w:hint="eastAsia" w:ascii="宋体" w:hAnsi="宋体" w:eastAsia="宋体" w:cs="宋体"/>
          <w:b/>
          <w:bCs w:val="0"/>
          <w:color w:val="000000"/>
          <w:kern w:val="44"/>
          <w:sz w:val="32"/>
          <w:szCs w:val="32"/>
          <w:highlight w:val="none"/>
          <w:u w:color="000000"/>
          <w:lang w:val="en-US" w:eastAsia="zh-CN" w:bidi="ar"/>
        </w:rPr>
        <w:t xml:space="preserve">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8"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8"/>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9" w:name="_Toc14651"/>
      <w:bookmarkEnd w:id="49"/>
      <w:bookmarkStart w:id="50"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50"/>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本次评标采用</w:t>
      </w:r>
      <w:r>
        <w:rPr>
          <w:rFonts w:hint="eastAsia" w:ascii="宋体" w:hAnsi="宋体" w:cs="宋体"/>
          <w:color w:val="000000"/>
          <w:szCs w:val="21"/>
          <w:highlight w:val="none"/>
          <w:lang w:val="en-US" w:eastAsia="zh-CN"/>
        </w:rPr>
        <w:t>综合评分</w:t>
      </w:r>
      <w:r>
        <w:rPr>
          <w:rFonts w:hint="eastAsia" w:ascii="宋体" w:hAnsi="宋体" w:cs="宋体"/>
          <w:color w:val="000000"/>
          <w:szCs w:val="21"/>
          <w:highlight w:val="none"/>
        </w:rPr>
        <w:t>法。评标委员会对满足招标文件实质性要求的投标文件，按照本章规定的评分标准进行打分，并按总得分由高到低顺序推荐中标候选人应当不超过3名</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本项目推荐3名中标候选人</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，并标明排序，但投标报价低于其成本的除外。如总得分相等，以投标报价低的优先，投标报价仍相等由招标人随机抽取确定排名。</w:t>
      </w:r>
    </w:p>
    <w:p>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51" w:name="_Toc9092_WPSOffice_Level3"/>
      <w:bookmarkEnd w:id="51"/>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6"/>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4"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 xml:space="preserve"> </w:t>
            </w:r>
            <w:r>
              <w:rPr>
                <w:rFonts w:hint="eastAsia" w:ascii="宋体" w:hAnsi="宋体" w:eastAsia="宋体" w:cs="宋体"/>
                <w:color w:val="000000"/>
                <w:kern w:val="2"/>
                <w:sz w:val="21"/>
                <w:szCs w:val="21"/>
                <w:highlight w:val="none"/>
                <w:u w:color="000000"/>
                <w:lang w:val="en-US" w:eastAsia="zh-CN" w:bidi="ar"/>
              </w:rPr>
              <w:t>法定代表人身份证明和有效身份复印件（或授权委托书及委托代理人有效身份证复印件）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0"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color w:val="000000"/>
                <w:szCs w:val="21"/>
                <w:highlight w:val="none"/>
                <w:lang w:val="en-US" w:eastAsia="zh-CN"/>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诚信投标承诺书，核验标书 </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52" w:name="_Toc4660368"/>
      <w:bookmarkEnd w:id="52"/>
      <w:r>
        <w:rPr>
          <w:rFonts w:hint="eastAsia" w:ascii="宋体" w:hAnsi="宋体" w:eastAsia="宋体" w:cs="宋体"/>
          <w:color w:val="000000"/>
          <w:kern w:val="0"/>
          <w:sz w:val="21"/>
          <w:szCs w:val="21"/>
          <w:highlight w:val="none"/>
          <w:u w:color="000000"/>
          <w:lang w:val="en-US" w:eastAsia="zh-CN" w:bidi="ar"/>
        </w:rPr>
        <w:t>4.1评审细则</w:t>
      </w:r>
    </w:p>
    <w:tbl>
      <w:tblPr>
        <w:tblStyle w:val="26"/>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sz w:val="21"/>
                <w:szCs w:val="24"/>
                <w:highlight w:val="none"/>
                <w:lang w:val="en-US" w:eastAsia="zh-CN" w:bidi="ar-SA"/>
              </w:rPr>
            </w:pPr>
            <w:r>
              <w:rPr>
                <w:rFonts w:hint="eastAsia" w:ascii="宋体" w:hAnsi="宋体" w:eastAsia="宋体" w:cs="宋体"/>
                <w:color w:val="000000"/>
                <w:kern w:val="2"/>
                <w:sz w:val="21"/>
                <w:szCs w:val="21"/>
                <w:highlight w:val="none"/>
                <w:u w:color="000000"/>
                <w:lang w:val="en-US" w:eastAsia="zh-CN" w:bidi="ar"/>
              </w:rPr>
              <w:t>投标文件内容清晰、齐全无遗漏。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567"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w:t>
            </w:r>
          </w:p>
        </w:tc>
        <w:tc>
          <w:tcPr>
            <w:tcW w:w="100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r>
              <w:rPr>
                <w:rFonts w:hint="default" w:ascii="宋体" w:hAnsi="宋体" w:eastAsia="宋体" w:cs="宋体"/>
                <w:kern w:val="2"/>
                <w:highlight w:val="none"/>
                <w:lang w:val="en-US"/>
              </w:rPr>
              <w:t>标书的响应程度</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（7）技术参数响应程度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 xml:space="preserve">最大限度满足招标文件要求。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100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kern w:val="2"/>
                <w:highlight w:val="none"/>
                <w:lang w:val="en-US"/>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（8）商务条款响应程度</w:t>
            </w:r>
          </w:p>
        </w:tc>
        <w:tc>
          <w:tcPr>
            <w:tcW w:w="47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sz w:val="21"/>
                <w:szCs w:val="24"/>
                <w:highlight w:val="none"/>
                <w:lang w:val="en-US" w:eastAsia="zh-CN" w:bidi="ar-SA"/>
              </w:rPr>
            </w:pPr>
            <w:r>
              <w:rPr>
                <w:rFonts w:hint="eastAsia" w:ascii="宋体" w:hAnsi="宋体" w:eastAsia="宋体" w:cs="仿宋_GB2312"/>
                <w:color w:val="000000"/>
                <w:kern w:val="2"/>
                <w:sz w:val="21"/>
                <w:szCs w:val="21"/>
                <w:highlight w:val="none"/>
                <w:u w:color="000000"/>
                <w:lang w:val="en-US" w:eastAsia="zh-CN" w:bidi="ar"/>
              </w:rPr>
              <w:t>最大限度满足招标文件要求。不满足者按评分细则进行评审评分。</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numPr>
          <w:ilvl w:val="0"/>
          <w:numId w:val="3"/>
        </w:numPr>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比较与评价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资信和</w:t>
      </w:r>
      <w:r>
        <w:rPr>
          <w:rFonts w:hint="eastAsia" w:ascii="宋体" w:hAnsi="宋体"/>
          <w:b/>
          <w:szCs w:val="21"/>
          <w:highlight w:val="none"/>
        </w:rPr>
        <w:t>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spacing w:line="440" w:lineRule="exact"/>
        <w:ind w:right="36" w:rightChars="17" w:firstLine="417" w:firstLineChars="198"/>
        <w:jc w:val="left"/>
        <w:rPr>
          <w:rFonts w:hint="eastAsia" w:ascii="宋体" w:hAnsi="宋体" w:eastAsia="宋体" w:cs="宋体"/>
          <w:b/>
          <w:color w:val="auto"/>
          <w:sz w:val="21"/>
          <w:szCs w:val="21"/>
          <w:highlight w:val="none"/>
        </w:rPr>
      </w:pPr>
      <w:r>
        <w:rPr>
          <w:rFonts w:hint="eastAsia" w:ascii="宋体" w:hAnsi="宋体"/>
          <w:b/>
          <w:color w:val="auto"/>
          <w:szCs w:val="21"/>
          <w:highlight w:val="none"/>
          <w:lang w:val="en-US" w:eastAsia="zh-CN"/>
        </w:rPr>
        <w:t>5.1</w:t>
      </w:r>
      <w:r>
        <w:rPr>
          <w:rFonts w:hint="eastAsia" w:ascii="宋体" w:hAnsi="宋体" w:eastAsia="宋体" w:cs="宋体"/>
          <w:b/>
          <w:color w:val="auto"/>
          <w:sz w:val="21"/>
          <w:szCs w:val="21"/>
          <w:highlight w:val="none"/>
        </w:rPr>
        <w:t>资信标评审细则（</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分）</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18"/>
        <w:gridCol w:w="780"/>
        <w:gridCol w:w="6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21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780"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50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21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企业业绩</w:t>
            </w:r>
          </w:p>
        </w:tc>
        <w:tc>
          <w:tcPr>
            <w:tcW w:w="780"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10分</w:t>
            </w:r>
          </w:p>
        </w:tc>
        <w:tc>
          <w:tcPr>
            <w:tcW w:w="6508" w:type="dxa"/>
            <w:noWrap w:val="0"/>
            <w:vAlign w:val="center"/>
          </w:tcPr>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2021年1月1日以来至投标截止时间，投标单位具有供货业绩（业绩内容需含漂流艇）的，每提供一个得5分，本项最高得10分。</w:t>
            </w:r>
          </w:p>
          <w:p>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eastAsia="宋体" w:cs="宋体"/>
                <w:b/>
                <w:bCs/>
                <w:color w:val="auto"/>
                <w:szCs w:val="21"/>
                <w:highlight w:val="none"/>
                <w:lang w:val="en-US" w:eastAsia="zh-CN"/>
              </w:rPr>
              <w:t>注：投标文件中须提供业绩合同扫描件和供货记录或收款记录，若业绩合同中体现不出合同签订时间、金额或服务内容等评审因素，还须另外提供业绩合同甲方出具的证明材料，否则不予认可。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2</w:t>
            </w:r>
          </w:p>
        </w:tc>
        <w:tc>
          <w:tcPr>
            <w:tcW w:w="1218"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企认体系</w:t>
            </w:r>
          </w:p>
        </w:tc>
        <w:tc>
          <w:tcPr>
            <w:tcW w:w="780"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6分</w:t>
            </w:r>
          </w:p>
        </w:tc>
        <w:tc>
          <w:tcPr>
            <w:tcW w:w="6508" w:type="dxa"/>
            <w:noWrap w:val="0"/>
            <w:vAlign w:val="center"/>
          </w:tcPr>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投标人所投产品的制造商具有经国家认证认可监督管理委员会认证机构颁发的有效下列证书：</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1.质量管理体系认证；</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2.知识产权管理体系；</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3.工业化和信息化融合管理体系认证；</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每提供一个得2分，满分 6分。 </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bCs/>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注：投标文件中需提供有效的证书复印件以及全国认证认可信息公共服务平台证书信息查询截图（官网查询截图和供应商所提供的认证证书一致，否则不得分）。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w:t>
            </w:r>
          </w:p>
        </w:tc>
        <w:tc>
          <w:tcPr>
            <w:tcW w:w="1218"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企业实力</w:t>
            </w:r>
          </w:p>
        </w:tc>
        <w:tc>
          <w:tcPr>
            <w:tcW w:w="780"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4分</w:t>
            </w:r>
          </w:p>
        </w:tc>
        <w:tc>
          <w:tcPr>
            <w:tcW w:w="6508" w:type="dxa"/>
            <w:noWrap w:val="0"/>
            <w:vAlign w:val="center"/>
          </w:tcPr>
          <w:p>
            <w:pPr>
              <w:keepNext w:val="0"/>
              <w:keepLines w:val="0"/>
              <w:numPr>
                <w:ilvl w:val="0"/>
                <w:numId w:val="4"/>
              </w:numPr>
              <w:suppressLineNumbers w:val="0"/>
              <w:spacing w:before="0" w:beforeAutospacing="0" w:after="0" w:afterAutospacing="0" w:line="440" w:lineRule="exact"/>
              <w:ind w:left="0" w:right="0"/>
              <w:rPr>
                <w:rFonts w:hint="eastAsia" w:ascii="宋体" w:hAnsi="宋体" w:cs="宋体"/>
                <w:szCs w:val="21"/>
                <w:highlight w:val="none"/>
              </w:rPr>
            </w:pPr>
            <w:r>
              <w:rPr>
                <w:rFonts w:hint="eastAsia" w:ascii="Times New Roman" w:hAnsi="Times New Roman" w:eastAsia="宋体" w:cs="Times New Roman"/>
                <w:b w:val="0"/>
                <w:bCs/>
                <w:color w:val="auto"/>
                <w:szCs w:val="21"/>
                <w:highlight w:val="none"/>
                <w:lang w:val="en-US" w:eastAsia="zh-CN"/>
              </w:rPr>
              <w:t>供应商自2021年1月1日</w:t>
            </w:r>
            <w:r>
              <w:rPr>
                <w:rFonts w:hint="eastAsia" w:ascii="宋体" w:hAnsi="宋体" w:cs="宋体"/>
                <w:szCs w:val="21"/>
                <w:highlight w:val="none"/>
              </w:rPr>
              <w:t>至投标截止日</w:t>
            </w:r>
            <w:r>
              <w:rPr>
                <w:rFonts w:hint="eastAsia" w:ascii="Times New Roman" w:hAnsi="Times New Roman" w:eastAsia="宋体" w:cs="Times New Roman"/>
                <w:b w:val="0"/>
                <w:bCs/>
                <w:color w:val="auto"/>
                <w:szCs w:val="21"/>
                <w:highlight w:val="none"/>
                <w:lang w:val="en-US" w:eastAsia="zh-CN"/>
              </w:rPr>
              <w:t>（以颁发时间为准），获得省级及以上行政主管部门颁发的荣誉或奖项的，</w:t>
            </w:r>
            <w:r>
              <w:rPr>
                <w:rFonts w:hint="eastAsia" w:ascii="宋体" w:hAnsi="宋体" w:cs="宋体"/>
                <w:szCs w:val="21"/>
                <w:highlight w:val="none"/>
              </w:rPr>
              <w:t>每提供一个得2分，最高得</w:t>
            </w:r>
            <w:r>
              <w:rPr>
                <w:rFonts w:hint="eastAsia" w:ascii="宋体" w:hAnsi="宋体" w:cs="宋体"/>
                <w:szCs w:val="21"/>
                <w:highlight w:val="none"/>
                <w:lang w:val="en-US" w:eastAsia="zh-CN"/>
              </w:rPr>
              <w:t>2</w:t>
            </w:r>
            <w:r>
              <w:rPr>
                <w:rFonts w:hint="eastAsia" w:ascii="宋体" w:hAnsi="宋体" w:cs="宋体"/>
                <w:szCs w:val="21"/>
                <w:highlight w:val="none"/>
              </w:rPr>
              <w:t>分。</w:t>
            </w:r>
          </w:p>
          <w:p>
            <w:pPr>
              <w:keepNext w:val="0"/>
              <w:keepLines w:val="0"/>
              <w:suppressLineNumbers w:val="0"/>
              <w:spacing w:before="0" w:beforeAutospacing="0" w:after="0" w:afterAutospacing="0" w:line="440" w:lineRule="exact"/>
              <w:ind w:left="0" w:right="0"/>
              <w:jc w:val="left"/>
              <w:rPr>
                <w:rFonts w:hint="eastAsia" w:ascii="Times New Roman" w:hAnsi="Times New Roman" w:eastAsia="宋体" w:cs="Times New Roman"/>
                <w:b w:val="0"/>
                <w:bCs/>
                <w:color w:val="auto"/>
                <w:szCs w:val="21"/>
                <w:highlight w:val="none"/>
                <w:lang w:val="en-US" w:eastAsia="zh-CN"/>
              </w:rPr>
            </w:pPr>
            <w:r>
              <w:rPr>
                <w:rFonts w:hint="eastAsia" w:ascii="宋体" w:hAnsi="宋体" w:cs="宋体"/>
                <w:szCs w:val="21"/>
                <w:highlight w:val="none"/>
                <w:lang w:val="en-US" w:eastAsia="zh-CN"/>
              </w:rPr>
              <w:t>2.</w:t>
            </w:r>
            <w:r>
              <w:rPr>
                <w:rFonts w:hint="eastAsia" w:ascii="宋体" w:hAnsi="宋体" w:cs="宋体"/>
                <w:szCs w:val="21"/>
                <w:highlight w:val="none"/>
              </w:rPr>
              <w:t>供应商承诺中标后具有售后服务部门，可提供上门维修服务</w:t>
            </w:r>
            <w:r>
              <w:rPr>
                <w:rFonts w:hint="eastAsia" w:ascii="Times New Roman" w:hAnsi="Times New Roman" w:eastAsia="宋体" w:cs="Times New Roman"/>
                <w:b w:val="0"/>
                <w:bCs/>
                <w:color w:val="auto"/>
                <w:szCs w:val="21"/>
                <w:highlight w:val="none"/>
                <w:lang w:val="en-US" w:eastAsia="zh-CN"/>
              </w:rPr>
              <w:t>的得2分。</w:t>
            </w:r>
            <w:r>
              <w:rPr>
                <w:rFonts w:hint="eastAsia" w:ascii="Times New Roman" w:hAnsi="Times New Roman" w:eastAsia="宋体" w:cs="Times New Roman"/>
                <w:b/>
                <w:bCs w:val="0"/>
                <w:color w:val="auto"/>
                <w:szCs w:val="21"/>
                <w:highlight w:val="none"/>
                <w:lang w:val="en-US" w:eastAsia="zh-CN"/>
              </w:rPr>
              <w:t>(承诺函格式自拟，未提供的不得分）</w:t>
            </w:r>
          </w:p>
          <w:p>
            <w:pPr>
              <w:keepNext w:val="0"/>
              <w:keepLines w:val="0"/>
              <w:suppressLineNumbers w:val="0"/>
              <w:spacing w:before="0" w:beforeAutospacing="0" w:after="0" w:afterAutospacing="0" w:line="440" w:lineRule="exact"/>
              <w:ind w:left="0" w:right="0"/>
              <w:jc w:val="both"/>
              <w:rPr>
                <w:rFonts w:hint="eastAsia"/>
                <w:highlight w:val="none"/>
                <w:lang w:val="en-US" w:eastAsia="zh-CN"/>
              </w:rPr>
            </w:pPr>
            <w:r>
              <w:rPr>
                <w:rFonts w:hint="eastAsia" w:ascii="Times New Roman" w:hAnsi="Times New Roman" w:eastAsia="宋体" w:cs="Times New Roman"/>
                <w:b w:val="0"/>
                <w:bCs/>
                <w:color w:val="auto"/>
                <w:szCs w:val="21"/>
                <w:highlight w:val="none"/>
                <w:lang w:val="en-US" w:eastAsia="zh-CN"/>
              </w:rPr>
              <w:t>注:上述评分项最多提供一个荣誉或奖项，按照排列顺序从首个荣誉或奖项开始评审至对应数量，超出部分不进行评审。有效时间以荣誉证书文件颁发时间为准。</w:t>
            </w:r>
          </w:p>
        </w:tc>
      </w:tr>
    </w:tbl>
    <w:p>
      <w:pPr>
        <w:spacing w:line="440" w:lineRule="exact"/>
        <w:ind w:firstLine="422" w:firstLineChars="200"/>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6.2技术标评审细则（50分）</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83"/>
        <w:gridCol w:w="886"/>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237"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技术参数响应</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35</w:t>
            </w:r>
            <w:r>
              <w:rPr>
                <w:rFonts w:hint="eastAsia" w:ascii="宋体" w:hAnsi="Times New Roman" w:eastAsia="宋体" w:cs="Times New Roman"/>
                <w:b/>
                <w:bCs/>
                <w:color w:val="auto"/>
                <w:szCs w:val="21"/>
                <w:highlight w:val="none"/>
                <w:lang w:val="en-US" w:eastAsia="zh-CN"/>
              </w:rPr>
              <w:t>分</w:t>
            </w:r>
          </w:p>
        </w:tc>
        <w:tc>
          <w:tcPr>
            <w:tcW w:w="6237" w:type="dxa"/>
            <w:noWrap w:val="0"/>
            <w:vAlign w:val="center"/>
          </w:tcPr>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1、技术参数中标注“★”的须全部满足，任何一项不响应或负偏离按无效标处理。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2、技术参数中标注“▲”的每满足或优于一项指标的加5分，共7项，满分35分。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3、未标符号的为一般参数，投标文件中无需列明，但在合同签订后将作为履约验收的依据，投标人在投标文件中提供相关承诺函扫描件，承诺函格式自拟，但须明确体现上述内容，否则投标无效；</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注：（1）如某项标识中包含多条技术参数或要求，则该项标识所含内容均需满足或优于招标文件要求，否则不予认可。</w:t>
            </w:r>
          </w:p>
          <w:p>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2）以技术参数响应表、货物的详细配置清单中要求提供的证明材料作为评审依据。技术参数响应情况投标人须依据所投产品如实填写，若自填响应或正偏离，供货时实际产品不响应或负偏离，弄虚作假谋取中标资格的，采购人有权上报相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2</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供货及安装方案</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5分</w:t>
            </w:r>
          </w:p>
        </w:tc>
        <w:tc>
          <w:tcPr>
            <w:tcW w:w="6237" w:type="dxa"/>
            <w:noWrap w:val="0"/>
            <w:vAlign w:val="top"/>
          </w:tcPr>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根据投标人投标文件中提供的供货及安装方案，由评标委员会进行综合评审：</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（1）对本项目特点理解准确，优于本项目采购需求，完整详细，可行性、实用性、针对性强，得 5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（2）对本项目特点理解基本准确，适合本项目采购需求，完整详细，具有可行性、实用性和针对性，得 3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（3）对本项目特点和难点理解有待提升，基本适合本项目采购需求，可行性、实用性、针对性有待改善，得 1 分；</w:t>
            </w:r>
          </w:p>
          <w:p>
            <w:pPr>
              <w:keepNext w:val="0"/>
              <w:keepLines w:val="0"/>
              <w:suppressLineNumbers w:val="0"/>
              <w:spacing w:before="0" w:beforeAutospacing="0" w:after="0" w:afterAutospacing="0" w:line="440" w:lineRule="exact"/>
              <w:ind w:left="0" w:right="0"/>
              <w:jc w:val="both"/>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售后服务方案</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cs="Times New Roman"/>
                <w:b/>
                <w:bCs/>
                <w:color w:val="auto"/>
                <w:kern w:val="2"/>
                <w:sz w:val="21"/>
                <w:szCs w:val="21"/>
                <w:highlight w:val="none"/>
                <w:lang w:val="en-US" w:eastAsia="zh-CN" w:bidi="ar-SA"/>
              </w:rPr>
            </w:pPr>
            <w:r>
              <w:rPr>
                <w:rFonts w:hint="eastAsia" w:ascii="宋体" w:hAnsi="Times New Roman" w:cs="Times New Roman"/>
                <w:b/>
                <w:bCs/>
                <w:color w:val="auto"/>
                <w:szCs w:val="21"/>
                <w:highlight w:val="none"/>
                <w:lang w:val="en-US" w:eastAsia="zh-CN"/>
              </w:rPr>
              <w:t>5分</w:t>
            </w:r>
          </w:p>
        </w:tc>
        <w:tc>
          <w:tcPr>
            <w:tcW w:w="6237" w:type="dxa"/>
            <w:noWrap w:val="0"/>
            <w:vAlign w:val="top"/>
          </w:tcPr>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根据投标人投标文件中提供的售后服务方案，由评标委员会进行综合评审：</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（1）方案体系完备、有针对性地提出服务理念、方法，有创新举措、服务响应或故障排除及时得 5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（2）方案体系较完备，服务理念、方法适合，服务响应或故障排除方案有待改善，得 3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（3）方案体系、服务理念、方法一般，服务响应或故障排除方案不全面，得 1分；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4</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培训方案</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cs="Times New Roman"/>
                <w:b/>
                <w:bCs/>
                <w:color w:val="auto"/>
                <w:szCs w:val="21"/>
                <w:highlight w:val="none"/>
                <w:lang w:val="en-US" w:eastAsia="zh-CN"/>
              </w:rPr>
              <w:t>5分</w:t>
            </w:r>
          </w:p>
        </w:tc>
        <w:tc>
          <w:tcPr>
            <w:tcW w:w="6237" w:type="dxa"/>
            <w:noWrap w:val="0"/>
            <w:vAlign w:val="top"/>
          </w:tcPr>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根据投标人投标文件中提供的培训方案，由评标委员会进行综合评审：</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（1）培训方案内容完整，团队水平资深，课程内容丰富，贴合日常使用及维护，实用性强的，得 5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（2）培训方案内容基本完整，团队水平较好，课程内容常规，对日常使用及维护有一定作用，实用性一般，得 3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（3）培训方案内容简单，团队水平一般，课程内容较少，对日常使用及维护无指导作用，实用性差的，得 1 分；</w:t>
            </w:r>
          </w:p>
          <w:p>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（4）方案不可行或者未提供得 0 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1" w:firstLineChars="1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5.2</w:t>
      </w:r>
      <w:r>
        <w:rPr>
          <w:rFonts w:hint="eastAsia" w:ascii="宋体" w:hAnsi="宋体"/>
          <w:b/>
          <w:color w:val="auto"/>
          <w:szCs w:val="21"/>
          <w:highlight w:val="none"/>
        </w:rPr>
        <w:t>商务标评审细则</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30</w:t>
      </w:r>
      <w:r>
        <w:rPr>
          <w:rFonts w:hint="eastAsia" w:ascii="宋体" w:hAnsi="宋体"/>
          <w:b/>
          <w:color w:val="auto"/>
          <w:szCs w:val="21"/>
          <w:highlight w:val="none"/>
        </w:rPr>
        <w:t>分</w:t>
      </w:r>
      <w:r>
        <w:rPr>
          <w:rFonts w:hint="eastAsia" w:ascii="宋体" w:hAnsi="宋体"/>
          <w:b/>
          <w:color w:val="auto"/>
          <w:szCs w:val="21"/>
          <w:highlight w:val="none"/>
          <w:lang w:eastAsia="zh-CN"/>
        </w:rPr>
        <w:t>）</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83"/>
        <w:gridCol w:w="886"/>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237"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1</w:t>
            </w:r>
          </w:p>
        </w:tc>
        <w:tc>
          <w:tcPr>
            <w:tcW w:w="1383"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报价</w:t>
            </w:r>
          </w:p>
        </w:tc>
        <w:tc>
          <w:tcPr>
            <w:tcW w:w="886" w:type="dxa"/>
            <w:noWrap w:val="0"/>
            <w:vAlign w:val="center"/>
          </w:tcPr>
          <w:p>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30分</w:t>
            </w:r>
          </w:p>
        </w:tc>
        <w:tc>
          <w:tcPr>
            <w:tcW w:w="6237" w:type="dxa"/>
            <w:noWrap w:val="0"/>
            <w:vAlign w:val="center"/>
          </w:tcPr>
          <w:p>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lang w:val="en-US" w:eastAsia="zh-CN"/>
              </w:rPr>
              <w:t>采购人</w:t>
            </w:r>
            <w:r>
              <w:rPr>
                <w:rFonts w:hint="eastAsia" w:ascii="宋体" w:hAnsi="宋体"/>
                <w:color w:val="auto"/>
                <w:szCs w:val="21"/>
                <w:highlight w:val="none"/>
              </w:rPr>
              <w:t>设置投标报价最高限价，各投标人有效报价不得高于最高限价，否则，其投标文件按无效标处理。</w:t>
            </w:r>
          </w:p>
          <w:p>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rPr>
              <w:t>1.评审基准价=所有有效投标人的最低报价；其得分为满分；</w:t>
            </w:r>
          </w:p>
          <w:p>
            <w:pPr>
              <w:keepNext w:val="0"/>
              <w:keepLines w:val="0"/>
              <w:suppressLineNumbers w:val="0"/>
              <w:spacing w:before="0" w:beforeAutospacing="0" w:after="0" w:afterAutospacing="0" w:line="440" w:lineRule="exact"/>
              <w:ind w:left="0" w:right="0"/>
              <w:jc w:val="both"/>
              <w:rPr>
                <w:rFonts w:hint="eastAsia" w:ascii="宋体" w:hAnsi="宋体"/>
                <w:color w:val="auto"/>
                <w:szCs w:val="21"/>
                <w:highlight w:val="none"/>
              </w:rPr>
            </w:pPr>
            <w:r>
              <w:rPr>
                <w:rFonts w:hint="eastAsia" w:ascii="宋体" w:hAnsi="宋体"/>
                <w:color w:val="auto"/>
                <w:szCs w:val="21"/>
                <w:highlight w:val="none"/>
              </w:rPr>
              <w:t>2.其它报价得分=评审基准价/投标报价*满分，小数点后保留两位小数，第三位四舍五入；</w:t>
            </w:r>
          </w:p>
          <w:p>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bCs/>
                <w:color w:val="auto"/>
                <w:szCs w:val="21"/>
                <w:highlight w:val="none"/>
                <w:lang w:val="en-US" w:eastAsia="zh-CN"/>
              </w:rPr>
            </w:pPr>
            <w:r>
              <w:rPr>
                <w:rFonts w:hint="eastAsia" w:ascii="宋体" w:hAnsi="宋体"/>
                <w:color w:val="auto"/>
                <w:szCs w:val="21"/>
                <w:highlight w:val="none"/>
              </w:rPr>
              <w:t>3.本项分值由评审委员会负责组织计算。</w:t>
            </w:r>
          </w:p>
        </w:tc>
      </w:tr>
    </w:tbl>
    <w:p>
      <w:pPr>
        <w:spacing w:line="440" w:lineRule="exact"/>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特别说明：</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1.评标专家检验电子投标文件的上述材料，如果由于投标人自身原因导致评标专家无法查看并检验电子投标文件中以上相关资料的，后果有投标人自行承担。</w:t>
      </w:r>
    </w:p>
    <w:p>
      <w:pPr>
        <w:spacing w:line="40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2.以上分值均保留二位小数，小数点后第三位四舍五入。</w:t>
      </w:r>
    </w:p>
    <w:p>
      <w:pPr>
        <w:spacing w:line="400" w:lineRule="exact"/>
        <w:ind w:firstLine="422" w:firstLineChars="200"/>
        <w:rPr>
          <w:rFonts w:hint="eastAsia"/>
          <w:b/>
          <w:color w:val="auto"/>
          <w:szCs w:val="21"/>
          <w:highlight w:val="none"/>
        </w:rPr>
      </w:pPr>
      <w:r>
        <w:rPr>
          <w:rFonts w:hint="eastAsia" w:ascii="Times New Roman" w:hAnsi="Times New Roman" w:eastAsia="宋体" w:cs="Times New Roman"/>
          <w:b/>
          <w:color w:val="auto"/>
          <w:szCs w:val="21"/>
          <w:highlight w:val="none"/>
          <w:lang w:val="en-US" w:eastAsia="zh-CN"/>
        </w:rPr>
        <w:t>注：1.</w:t>
      </w:r>
      <w:r>
        <w:rPr>
          <w:rFonts w:hint="eastAsia" w:ascii="Times New Roman" w:hAnsi="Times New Roman" w:eastAsia="宋体" w:cs="Times New Roman"/>
          <w:b/>
          <w:color w:val="auto"/>
          <w:szCs w:val="21"/>
          <w:highlight w:val="none"/>
        </w:rPr>
        <w:t>提</w:t>
      </w:r>
      <w:r>
        <w:rPr>
          <w:rFonts w:hint="eastAsia"/>
          <w:b/>
          <w:color w:val="auto"/>
          <w:szCs w:val="21"/>
          <w:highlight w:val="none"/>
        </w:rPr>
        <w:t>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p>
      <w:pPr>
        <w:pStyle w:val="2"/>
        <w:keepNext w:val="0"/>
        <w:keepLines w:val="0"/>
        <w:pageBreakBefore w:val="0"/>
        <w:kinsoku/>
        <w:wordWrap/>
        <w:overflowPunct/>
        <w:topLinePunct w:val="0"/>
        <w:autoSpaceDE/>
        <w:autoSpaceDN/>
        <w:bidi w:val="0"/>
        <w:spacing w:line="320" w:lineRule="exact"/>
        <w:ind w:left="0" w:leftChars="0" w:firstLine="0" w:firstLineChars="0"/>
        <w:jc w:val="left"/>
        <w:textAlignment w:val="auto"/>
        <w:rPr>
          <w:rFonts w:hint="eastAsia"/>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四、推荐中标候选人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7.评标委员会按资信标和商务标得分之和，从高到低按顺序推荐3名中标候选人。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7.1如总得分相等，以投标报价低的优先，投标报价仍相等由招标人随机抽取确定排名。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未在投标截止时间前递交投标文件的，投标将被拒绝。</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3" w:name="_Toc95223440"/>
      <w:r>
        <w:rPr>
          <w:rFonts w:hint="eastAsia" w:ascii="宋体"/>
          <w:color w:val="auto"/>
          <w:szCs w:val="21"/>
          <w:highlight w:val="none"/>
          <w:lang w:val="en-US" w:eastAsia="zh-CN"/>
        </w:rPr>
        <w:t>10.评分标准</w:t>
      </w:r>
      <w:bookmarkEnd w:id="53"/>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10.1评分标准：见资信、商务评分表。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ascii="宋体" w:cs="宋体"/>
          <w:b/>
          <w:bCs/>
          <w:color w:val="auto"/>
          <w:sz w:val="32"/>
          <w:szCs w:val="32"/>
          <w:highlight w:val="none"/>
        </w:rPr>
      </w:pPr>
      <w:bookmarkStart w:id="54" w:name="_Toc10480"/>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eastAsiaTheme="minorEastAsia"/>
          <w:sz w:val="32"/>
          <w:szCs w:val="32"/>
          <w:highlight w:val="none"/>
          <w:lang w:eastAsia="zh-CN"/>
        </w:rPr>
      </w:pPr>
      <w:r>
        <w:rPr>
          <w:rFonts w:hint="eastAsia" w:ascii="宋体" w:cs="宋体"/>
          <w:b/>
          <w:bCs/>
          <w:color w:val="auto"/>
          <w:sz w:val="32"/>
          <w:szCs w:val="32"/>
          <w:highlight w:val="none"/>
        </w:rPr>
        <w:t>第</w:t>
      </w:r>
      <w:r>
        <w:rPr>
          <w:rFonts w:hint="eastAsia" w:ascii="宋体" w:cs="宋体"/>
          <w:b/>
          <w:bCs/>
          <w:color w:val="auto"/>
          <w:sz w:val="32"/>
          <w:szCs w:val="32"/>
          <w:highlight w:val="none"/>
          <w:lang w:val="en-US" w:eastAsia="zh-CN"/>
        </w:rPr>
        <w:t>四</w:t>
      </w:r>
      <w:r>
        <w:rPr>
          <w:rFonts w:hint="eastAsia" w:ascii="宋体" w:cs="宋体"/>
          <w:b/>
          <w:bCs/>
          <w:color w:val="auto"/>
          <w:sz w:val="32"/>
          <w:szCs w:val="32"/>
          <w:highlight w:val="none"/>
        </w:rPr>
        <w:t xml:space="preserve">章  </w:t>
      </w:r>
      <w:r>
        <w:rPr>
          <w:rFonts w:hint="eastAsia" w:ascii="宋体" w:cs="宋体"/>
          <w:b/>
          <w:bCs/>
          <w:color w:val="auto"/>
          <w:sz w:val="32"/>
          <w:szCs w:val="32"/>
          <w:highlight w:val="none"/>
          <w:lang w:eastAsia="zh-CN"/>
        </w:rPr>
        <w:t>采购需求</w:t>
      </w:r>
      <w:bookmarkEnd w:id="54"/>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一、项目概况</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本项目为安徽省琅琊山旅游发展有限公司漂流艇采购，所有产品均须符合相关国家标准。</w:t>
      </w:r>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二、采购需求清单</w:t>
      </w:r>
    </w:p>
    <w:tbl>
      <w:tblPr>
        <w:tblStyle w:val="26"/>
        <w:tblW w:w="8918" w:type="dxa"/>
        <w:tblInd w:w="-2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484"/>
        <w:gridCol w:w="5007"/>
        <w:gridCol w:w="832"/>
        <w:gridCol w:w="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4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器材名称</w:t>
            </w:r>
          </w:p>
        </w:tc>
        <w:tc>
          <w:tcPr>
            <w:tcW w:w="50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规格参数</w:t>
            </w:r>
          </w:p>
        </w:tc>
        <w:tc>
          <w:tcPr>
            <w:tcW w:w="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3" w:hRule="atLeast"/>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w:t>
            </w:r>
          </w:p>
        </w:tc>
        <w:tc>
          <w:tcPr>
            <w:tcW w:w="14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双人皮艇</w:t>
            </w:r>
          </w:p>
        </w:tc>
        <w:tc>
          <w:tcPr>
            <w:tcW w:w="5007" w:type="dxa"/>
            <w:tcBorders>
              <w:top w:val="single" w:color="000000" w:sz="4" w:space="0"/>
              <w:left w:val="single" w:color="000000" w:sz="4" w:space="0"/>
              <w:bottom w:val="single" w:color="000000" w:sz="4" w:space="0"/>
              <w:right w:val="single" w:color="000000" w:sz="4" w:space="0"/>
            </w:tcBorders>
            <w:noWrap/>
            <w:vAlign w:val="center"/>
          </w:tcPr>
          <w:p>
            <w:pPr>
              <w:pStyle w:val="62"/>
              <w:keepNext w:val="0"/>
              <w:keepLines w:val="0"/>
              <w:pageBreakBefore w:val="0"/>
              <w:suppressLineNumbers w:val="0"/>
              <w:kinsoku/>
              <w:wordWrap/>
              <w:overflowPunct/>
              <w:topLinePunct w:val="0"/>
              <w:autoSpaceDE/>
              <w:autoSpaceDN/>
              <w:bidi w:val="0"/>
              <w:adjustRightInd/>
              <w:snapToGrid/>
              <w:spacing w:before="71" w:beforeAutospacing="0" w:after="0" w:afterAutospacing="0" w:line="300" w:lineRule="exact"/>
              <w:ind w:left="0" w:right="103"/>
              <w:jc w:val="left"/>
              <w:rPr>
                <w:rFonts w:hint="eastAsia" w:ascii="宋体" w:hAnsi="宋体" w:eastAsia="宋体" w:cs="宋体"/>
                <w:b w:val="0"/>
                <w:bCs w:val="0"/>
                <w:color w:val="auto"/>
                <w:sz w:val="21"/>
                <w:szCs w:val="21"/>
                <w:highlight w:val="none"/>
                <w:lang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定制型加强玻璃漂河道漂尺寸：</w:t>
            </w:r>
            <w:r>
              <w:rPr>
                <w:rFonts w:hint="eastAsia" w:cs="宋体"/>
                <w:b w:val="0"/>
                <w:bCs w:val="0"/>
                <w:i w:val="0"/>
                <w:iCs w:val="0"/>
                <w:color w:val="auto"/>
                <w:sz w:val="21"/>
                <w:szCs w:val="21"/>
                <w:highlight w:val="none"/>
                <w:u w:val="none"/>
                <w:lang w:val="en-US" w:eastAsia="zh-CN"/>
              </w:rPr>
              <w:t>长</w:t>
            </w:r>
            <w:r>
              <w:rPr>
                <w:rFonts w:hint="eastAsia" w:ascii="宋体" w:hAnsi="宋体" w:eastAsia="宋体" w:cs="宋体"/>
                <w:b w:val="0"/>
                <w:bCs w:val="0"/>
                <w:color w:val="auto"/>
                <w:spacing w:val="-4"/>
                <w:sz w:val="21"/>
                <w:szCs w:val="21"/>
                <w:highlight w:val="none"/>
              </w:rPr>
              <w:t>23</w:t>
            </w:r>
            <w:r>
              <w:rPr>
                <w:rFonts w:hint="eastAsia" w:ascii="宋体" w:hAnsi="宋体" w:eastAsia="宋体" w:cs="宋体"/>
                <w:b w:val="0"/>
                <w:bCs w:val="0"/>
                <w:color w:val="auto"/>
                <w:spacing w:val="-4"/>
                <w:sz w:val="21"/>
                <w:szCs w:val="21"/>
                <w:highlight w:val="none"/>
                <w:lang w:val="en-US" w:eastAsia="zh-CN"/>
              </w:rPr>
              <w:t>5</w:t>
            </w:r>
            <w:r>
              <w:rPr>
                <w:rFonts w:hint="eastAsia" w:ascii="宋体" w:hAnsi="宋体" w:eastAsia="宋体" w:cs="宋体"/>
                <w:b w:val="0"/>
                <w:bCs w:val="0"/>
                <w:color w:val="auto"/>
                <w:spacing w:val="-4"/>
                <w:sz w:val="21"/>
                <w:szCs w:val="21"/>
                <w:highlight w:val="none"/>
              </w:rPr>
              <w:t>0*</w:t>
            </w:r>
            <w:r>
              <w:rPr>
                <w:rFonts w:hint="eastAsia" w:cs="宋体"/>
                <w:b w:val="0"/>
                <w:bCs w:val="0"/>
                <w:color w:val="auto"/>
                <w:spacing w:val="-4"/>
                <w:sz w:val="21"/>
                <w:szCs w:val="21"/>
                <w:highlight w:val="none"/>
                <w:lang w:val="en-US" w:eastAsia="zh-CN"/>
              </w:rPr>
              <w:t>宽</w:t>
            </w:r>
            <w:r>
              <w:rPr>
                <w:rFonts w:hint="eastAsia" w:ascii="宋体" w:hAnsi="宋体" w:eastAsia="宋体" w:cs="宋体"/>
                <w:b w:val="0"/>
                <w:bCs w:val="0"/>
                <w:color w:val="auto"/>
                <w:spacing w:val="-4"/>
                <w:sz w:val="21"/>
                <w:szCs w:val="21"/>
                <w:highlight w:val="none"/>
              </w:rPr>
              <w:t>1</w:t>
            </w:r>
            <w:r>
              <w:rPr>
                <w:rFonts w:hint="eastAsia" w:cs="宋体"/>
                <w:b w:val="0"/>
                <w:bCs w:val="0"/>
                <w:color w:val="auto"/>
                <w:spacing w:val="-4"/>
                <w:sz w:val="21"/>
                <w:szCs w:val="21"/>
                <w:highlight w:val="none"/>
                <w:lang w:val="en-US" w:eastAsia="zh-CN"/>
              </w:rPr>
              <w:t>20</w:t>
            </w:r>
            <w:r>
              <w:rPr>
                <w:rFonts w:hint="eastAsia" w:ascii="宋体" w:hAnsi="宋体" w:eastAsia="宋体" w:cs="宋体"/>
                <w:b w:val="0"/>
                <w:bCs w:val="0"/>
                <w:color w:val="auto"/>
                <w:spacing w:val="-4"/>
                <w:sz w:val="21"/>
                <w:szCs w:val="21"/>
                <w:highlight w:val="none"/>
              </w:rPr>
              <w:t>0*</w:t>
            </w:r>
            <w:r>
              <w:rPr>
                <w:rFonts w:hint="eastAsia" w:ascii="宋体" w:hAnsi="宋体" w:eastAsia="宋体" w:cs="宋体"/>
                <w:b w:val="0"/>
                <w:bCs w:val="0"/>
                <w:color w:val="auto"/>
                <w:spacing w:val="5"/>
                <w:sz w:val="21"/>
                <w:szCs w:val="21"/>
                <w:highlight w:val="none"/>
                <w:lang w:val="en-US" w:eastAsia="zh-CN"/>
              </w:rPr>
              <w:t>深</w:t>
            </w:r>
            <w:r>
              <w:rPr>
                <w:rFonts w:hint="eastAsia" w:ascii="宋体" w:hAnsi="宋体" w:eastAsia="宋体" w:cs="宋体"/>
                <w:b w:val="0"/>
                <w:bCs w:val="0"/>
                <w:color w:val="auto"/>
                <w:spacing w:val="-6"/>
                <w:sz w:val="21"/>
                <w:szCs w:val="21"/>
                <w:highlight w:val="none"/>
              </w:rPr>
              <w:t>350</w:t>
            </w:r>
            <w:r>
              <w:rPr>
                <w:rFonts w:hint="eastAsia" w:cs="宋体"/>
                <w:b w:val="0"/>
                <w:bCs w:val="0"/>
                <w:color w:val="auto"/>
                <w:spacing w:val="-6"/>
                <w:sz w:val="21"/>
                <w:szCs w:val="21"/>
                <w:highlight w:val="none"/>
                <w:lang w:val="en-US" w:eastAsia="zh-CN"/>
              </w:rPr>
              <w:t>mm</w:t>
            </w:r>
            <w:r>
              <w:rPr>
                <w:rFonts w:hint="eastAsia" w:cs="宋体"/>
                <w:b w:val="0"/>
                <w:bCs w:val="0"/>
                <w:color w:val="auto"/>
                <w:spacing w:val="-6"/>
                <w:sz w:val="21"/>
                <w:szCs w:val="21"/>
                <w:highlight w:val="none"/>
                <w:lang w:eastAsia="zh-CN"/>
              </w:rPr>
              <w:t>（</w:t>
            </w:r>
            <w:r>
              <w:rPr>
                <w:rFonts w:hint="eastAsia" w:cs="宋体"/>
                <w:b w:val="0"/>
                <w:bCs w:val="0"/>
                <w:color w:val="auto"/>
                <w:spacing w:val="-4"/>
                <w:sz w:val="21"/>
                <w:szCs w:val="21"/>
                <w:highlight w:val="none"/>
                <w:lang w:val="en-US" w:eastAsia="zh-CN"/>
              </w:rPr>
              <w:t>±50</w:t>
            </w:r>
            <w:r>
              <w:rPr>
                <w:rFonts w:hint="eastAsia" w:cs="宋体"/>
                <w:b w:val="0"/>
                <w:bCs w:val="0"/>
                <w:color w:val="auto"/>
                <w:spacing w:val="-6"/>
                <w:sz w:val="21"/>
                <w:szCs w:val="21"/>
                <w:highlight w:val="none"/>
                <w:lang w:val="en-US" w:eastAsia="zh-CN"/>
              </w:rPr>
              <w:t>mm，具体尺寸在中标后，到现场进行实地测量后，与招标单位共同确认为准</w:t>
            </w:r>
            <w:r>
              <w:rPr>
                <w:rFonts w:hint="eastAsia" w:cs="宋体"/>
                <w:b w:val="0"/>
                <w:bCs w:val="0"/>
                <w:color w:val="auto"/>
                <w:spacing w:val="-6"/>
                <w:sz w:val="21"/>
                <w:szCs w:val="21"/>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气室：2个</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i w:val="0"/>
                <w:iCs w:val="0"/>
                <w:color w:val="auto"/>
                <w:sz w:val="21"/>
                <w:szCs w:val="21"/>
                <w:highlight w:val="none"/>
                <w:u w:val="none"/>
                <w:lang w:val="en-US" w:eastAsia="zh-CN"/>
              </w:rPr>
              <w:t>额定乘员：2人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color w:val="auto"/>
                <w:sz w:val="21"/>
                <w:szCs w:val="21"/>
                <w:highlight w:val="none"/>
                <w:lang w:val="en-US" w:eastAsia="zh-CN"/>
              </w:rPr>
              <w:t>颜色根据客户要求定制；</w:t>
            </w:r>
            <w:r>
              <w:rPr>
                <w:rFonts w:hint="eastAsia" w:ascii="宋体" w:hAnsi="宋体" w:eastAsia="宋体" w:cs="宋体"/>
                <w:b/>
                <w:bCs/>
                <w:color w:val="auto"/>
                <w:sz w:val="21"/>
                <w:szCs w:val="21"/>
                <w:highlight w:val="none"/>
                <w:lang w:val="en-US" w:eastAsia="zh-CN"/>
              </w:rPr>
              <w:t>（无需证明材料）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宋体" w:hAnsi="宋体" w:eastAsia="宋体" w:cs="宋体"/>
                <w:b/>
                <w:bCs/>
                <w:color w:val="auto"/>
                <w:sz w:val="21"/>
                <w:szCs w:val="21"/>
                <w:highlight w:val="none"/>
                <w:lang w:val="en-US" w:eastAsia="zh-CN"/>
              </w:rPr>
            </w:pPr>
            <w:r>
              <w:rPr>
                <w:rFonts w:hint="eastAsia" w:ascii="宋体" w:hAnsi="Times New Roman" w:eastAsia="宋体" w:cs="Times New Roman"/>
                <w:b w:val="0"/>
                <w:bCs w:val="0"/>
                <w:color w:val="auto"/>
                <w:szCs w:val="21"/>
                <w:highlight w:val="none"/>
                <w:lang w:val="en-US" w:eastAsia="zh-CN"/>
              </w:rPr>
              <w:t>★</w:t>
            </w:r>
            <w:r>
              <w:rPr>
                <w:rFonts w:hint="eastAsia" w:ascii="宋体" w:hAnsi="宋体" w:eastAsia="宋体" w:cs="宋体"/>
                <w:b w:val="0"/>
                <w:bCs w:val="0"/>
                <w:color w:val="auto"/>
                <w:sz w:val="21"/>
                <w:szCs w:val="21"/>
                <w:highlight w:val="none"/>
                <w:lang w:val="en-US" w:eastAsia="zh-CN"/>
              </w:rPr>
              <w:t>含船桨（塑料杆、塑料桨）2只、安全头盔2顶、救生衣2件；</w:t>
            </w:r>
            <w:r>
              <w:rPr>
                <w:rFonts w:hint="eastAsia" w:ascii="宋体" w:hAnsi="宋体" w:eastAsia="宋体" w:cs="宋体"/>
                <w:b/>
                <w:bCs/>
                <w:color w:val="auto"/>
                <w:sz w:val="21"/>
                <w:szCs w:val="21"/>
                <w:highlight w:val="none"/>
                <w:lang w:val="en-US" w:eastAsia="zh-CN"/>
              </w:rPr>
              <w:t>（无需证明材料）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▲主材：0.9mmPVC、复合织材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▲阀门：铜质专用止回阀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▲一、坐垫：EVA泡棉直型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防磨材料：亮光增滑专用防磨条，防磨强度高。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安全绳：直径不小于8mm涤纶多股绳，在30min内，承受800-1200N拉力，结实耐用。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▲二、安全把手：采用柔软合成纤维材料，宽度20-30mm，30min内，承受800-1200N拉力</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▲底部处理：长形聚氯聚乙烯泡沫坐垫（聚乙烯泡沫需提供表观密度、吸水率、硬度、抗压强度数据）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auto"/>
                <w:sz w:val="21"/>
                <w:szCs w:val="21"/>
                <w:highlight w:val="none"/>
                <w:u w:val="none"/>
                <w:lang w:val="en-US" w:eastAsia="zh-CN"/>
              </w:rPr>
              <w:t>▲</w:t>
            </w:r>
            <w:r>
              <w:rPr>
                <w:rFonts w:hint="eastAsia" w:ascii="宋体" w:hAnsi="宋体" w:eastAsia="宋体" w:cs="宋体"/>
                <w:b w:val="0"/>
                <w:bCs w:val="0"/>
                <w:i w:val="0"/>
                <w:iCs w:val="0"/>
                <w:color w:val="auto"/>
                <w:kern w:val="2"/>
                <w:sz w:val="21"/>
                <w:szCs w:val="21"/>
                <w:highlight w:val="none"/>
                <w:u w:val="none"/>
                <w:lang w:val="en-US" w:eastAsia="zh-CN" w:bidi="ar-SA"/>
              </w:rPr>
              <w:t>检测机构：中国船级社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宋体" w:hAnsi="宋体" w:eastAsia="宋体" w:cs="宋体"/>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auto"/>
                <w:kern w:val="2"/>
                <w:sz w:val="21"/>
                <w:szCs w:val="21"/>
                <w:highlight w:val="none"/>
                <w:u w:val="none"/>
                <w:lang w:val="en-US" w:eastAsia="zh-CN" w:bidi="ar-SA"/>
              </w:rPr>
              <w:t>（需提供产品证书、型式认可证书）</w:t>
            </w:r>
          </w:p>
          <w:p>
            <w:pPr>
              <w:pStyle w:val="2"/>
              <w:keepNext w:val="0"/>
              <w:keepLines w:val="0"/>
              <w:pageBreakBefore w:val="0"/>
              <w:kinsoku/>
              <w:wordWrap/>
              <w:overflowPunct/>
              <w:topLinePunct w:val="0"/>
              <w:autoSpaceDE/>
              <w:autoSpaceDN/>
              <w:bidi w:val="0"/>
              <w:adjustRightInd/>
              <w:snapToGrid/>
              <w:spacing w:line="300" w:lineRule="exact"/>
              <w:ind w:left="0" w:leftChars="0" w:firstLine="0" w:firstLineChars="0"/>
              <w:rPr>
                <w:rFonts w:hint="eastAsia"/>
                <w:color w:val="auto"/>
                <w:highlight w:val="none"/>
              </w:rPr>
            </w:pPr>
            <w:r>
              <w:rPr>
                <w:rFonts w:hint="eastAsia" w:ascii="宋体" w:hAnsi="宋体" w:eastAsia="宋体" w:cs="宋体"/>
                <w:b w:val="0"/>
                <w:bCs w:val="0"/>
                <w:i w:val="0"/>
                <w:iCs w:val="0"/>
                <w:color w:val="auto"/>
                <w:sz w:val="21"/>
                <w:szCs w:val="21"/>
                <w:highlight w:val="none"/>
                <w:u w:val="none"/>
                <w:lang w:val="en-US" w:eastAsia="zh-CN"/>
              </w:rPr>
              <w:t>▲</w:t>
            </w:r>
            <w:r>
              <w:rPr>
                <w:rFonts w:hint="eastAsia"/>
                <w:color w:val="auto"/>
                <w:highlight w:val="none"/>
              </w:rPr>
              <w:t>生产工艺</w:t>
            </w:r>
            <w:r>
              <w:rPr>
                <w:rFonts w:hint="eastAsia"/>
                <w:color w:val="auto"/>
                <w:highlight w:val="none"/>
                <w:lang w:eastAsia="zh-CN"/>
              </w:rPr>
              <w:t>：</w:t>
            </w:r>
            <w:r>
              <w:rPr>
                <w:rFonts w:hint="eastAsia"/>
                <w:color w:val="auto"/>
                <w:highlight w:val="none"/>
              </w:rPr>
              <w:t>采用高温熔接+专用胶水粘合工艺，专用胶水大大优于普通胶水，剥离强度、耐高温、耐水解等性能大大增强，阳光暴晒下，艇连接部位牢固性能</w:t>
            </w:r>
            <w:r>
              <w:rPr>
                <w:rFonts w:hint="eastAsia"/>
                <w:color w:val="auto"/>
                <w:highlight w:val="none"/>
                <w:lang w:val="en-US" w:eastAsia="zh-CN"/>
              </w:rPr>
              <w:t>完好</w:t>
            </w:r>
            <w:r>
              <w:rPr>
                <w:rFonts w:hint="eastAsia"/>
                <w:color w:val="auto"/>
                <w:highlight w:val="none"/>
              </w:rPr>
              <w:t>。</w:t>
            </w:r>
          </w:p>
          <w:p>
            <w:pPr>
              <w:keepNext w:val="0"/>
              <w:keepLines w:val="0"/>
              <w:suppressLineNumbers w:val="0"/>
              <w:spacing w:before="0" w:beforeAutospacing="0" w:after="0" w:afterAutospacing="0"/>
              <w:ind w:left="0" w:right="0"/>
              <w:rPr>
                <w:rFonts w:hint="eastAsia"/>
                <w:color w:val="auto"/>
              </w:rPr>
            </w:pPr>
            <w:r>
              <w:rPr>
                <w:rFonts w:hint="default" w:ascii="宋体" w:hAnsi="宋体" w:cs="宋体"/>
                <w:b/>
                <w:color w:val="auto"/>
                <w:szCs w:val="21"/>
                <w:highlight w:val="none"/>
              </w:rPr>
              <w:t>注：上述要求</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标注不需要的除外）</w:t>
            </w:r>
            <w:r>
              <w:rPr>
                <w:rFonts w:hint="default" w:ascii="宋体" w:hAnsi="宋体" w:cs="宋体"/>
                <w:b/>
                <w:color w:val="auto"/>
                <w:szCs w:val="21"/>
                <w:highlight w:val="none"/>
              </w:rPr>
              <w:t>，须在投标文件</w:t>
            </w:r>
            <w:r>
              <w:rPr>
                <w:rFonts w:hint="eastAsia" w:ascii="宋体" w:hAnsi="宋体" w:cs="宋体"/>
                <w:b/>
                <w:color w:val="auto"/>
                <w:szCs w:val="21"/>
                <w:highlight w:val="none"/>
                <w:lang w:val="en-US" w:eastAsia="zh-CN"/>
              </w:rPr>
              <w:t>提供的证明材料</w:t>
            </w:r>
            <w:r>
              <w:rPr>
                <w:rFonts w:hint="default" w:ascii="宋体" w:hAnsi="宋体" w:cs="宋体"/>
                <w:b/>
                <w:color w:val="auto"/>
                <w:szCs w:val="21"/>
                <w:highlight w:val="none"/>
              </w:rPr>
              <w:t>中体现。</w:t>
            </w:r>
          </w:p>
        </w:tc>
        <w:tc>
          <w:tcPr>
            <w:tcW w:w="8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200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条</w:t>
            </w:r>
          </w:p>
        </w:tc>
      </w:tr>
    </w:tbl>
    <w:p>
      <w:pPr>
        <w:pStyle w:val="2"/>
        <w:keepNext w:val="0"/>
        <w:keepLines w:val="0"/>
        <w:pageBreakBefore w:val="0"/>
        <w:kinsoku/>
        <w:wordWrap/>
        <w:overflowPunct/>
        <w:topLinePunct w:val="0"/>
        <w:autoSpaceDE/>
        <w:autoSpaceDN/>
        <w:bidi w:val="0"/>
        <w:adjustRightInd/>
        <w:snapToGrid/>
        <w:spacing w:line="440" w:lineRule="exact"/>
        <w:ind w:left="0" w:leftChars="0" w:firstLine="0" w:firstLineChars="0"/>
        <w:jc w:val="left"/>
        <w:rPr>
          <w:rFonts w:hint="eastAsia"/>
          <w:lang w:val="en-US" w:eastAsia="zh-CN"/>
        </w:rPr>
      </w:pPr>
      <w:bookmarkStart w:id="55" w:name="_Toc17330"/>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商务要求</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（一）货物的生产、维修、检验、验收等按照以下原则执行：有国家标准的执行国家标准；无国家标准的执行行业标准；无行业标准的执行地方标准；无地方标准的执行企业标准。</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二）招标人如果在技术参数或配置中标明了品牌或产地，则仅供参考，并非指定，投标人可选用推荐品牌或不低于推荐牌性能、技术水平、质量标准的其它品牌，如采用其它品牌的，应在投标文件中注明并提供相关技术参数、业绩等供评标委员会评审，未提供相关技术参数、业绩的或经评标委员会评审未通过的，中标后只能从招标人推荐品牌中进行选择，价格不予调整；招标人选择推荐品牌之外的除外。</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 对于招标人推荐品牌的材料，投标人如认为招标人推荐的品牌有限定性、唯一性、明显不在同一档次等级的或者其他异议的，应在疑问提出的截止时间前通过交易中心电子交易平台提交。</w:t>
      </w:r>
    </w:p>
    <w:p>
      <w:pPr>
        <w:spacing w:line="440" w:lineRule="exact"/>
        <w:ind w:firstLine="420" w:firstLineChars="200"/>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三）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w:t>
      </w:r>
      <w:r>
        <w:rPr>
          <w:rFonts w:hint="eastAsia" w:ascii="宋体" w:hAnsi="Times New Roman" w:eastAsia="宋体" w:cs="Times New Roman"/>
          <w:b/>
          <w:bCs/>
          <w:color w:val="auto"/>
          <w:szCs w:val="21"/>
          <w:highlight w:val="none"/>
          <w:lang w:val="en-US" w:eastAsia="zh-CN"/>
        </w:rPr>
        <w:t>(厂家出具的合格证书供货时提供)</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（四）技术支持</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1.中标人应向采购人提供全方位、及时而有效的技术支持和服务。</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2.中标人负责供货。</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中标人负责将货物的全部有关技术文件（外文应提供中文翻译资料，下同）、施工图纸、资料、测试、验收报告等汇集成册交付采购人，涉及进口的产品或部件配件软件等须提供中国海关进口货物报关单、完税证明及商检证明等材料。</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（五）质保及售后服务：</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1.中标人须提供至少3年的免费质保服务，所有质保费用均已包含在投标报价中，质保期满后，应提供优先的有偿售后服务及按不高于投标文件中主要配件、易损件清单所报价格供应原厂零配件等。</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2..中标人须设有维修服务电话，负责解答用户在货物使用中遇到的问题，及时提出解决问题的建议和操作方法。</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 xml:space="preserve">3.售后服务响应时间：如货物出现故障，电话响应无法解决，中标人必须在接报修电话 24 小时内到现场并解决问题。 </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（六）交货期:合同签订并接到供货通知后，须在合同约定期限内供完毕。</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（七）交货地点： 货物运至招标人指定地点。</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八）验收，若中标人提供的货物验收不合格，招标人有权取消其中标候选人资格（投标人在货物验收时合同签订前需提供设备生产厂家或具有授权权限的代理商针对本项目的授权代理证明文件及售后服务承诺书供招标人审核，否则招标人有权取消其中标候选人资格）；</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采购人和相关部门按照国家规定标准验收，没有国家标准的按行业标准验收，无行业标准的按地方或企业标准验收，中标人予以配合。涉及安全、消防、环保等其他需要由质检或行业主管部门验收的项目，采购人须约请相关部门和专家参加项目验收。</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2.货物在验收时，投标人应提供发票、制造厂家出具的产品合格证书、装箱清单等,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技术性指导等文件和应由投标人提供的必要文件。</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（九）付款方式：见投标人须知前附表。</w:t>
      </w: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pStyle w:val="2"/>
        <w:rPr>
          <w:rFonts w:hint="eastAsia" w:ascii="宋体" w:hAnsi="Times New Roman" w:eastAsia="宋体" w:cs="Times New Roman"/>
          <w:b/>
          <w:bCs w:val="0"/>
          <w:color w:val="auto"/>
          <w:kern w:val="2"/>
          <w:sz w:val="32"/>
          <w:szCs w:val="32"/>
          <w:highlight w:val="none"/>
          <w:lang w:val="en-US" w:eastAsia="zh-CN" w:bidi="ar-SA"/>
        </w:rPr>
      </w:pPr>
    </w:p>
    <w:p>
      <w:pPr>
        <w:rPr>
          <w:rFonts w:hint="eastAsia" w:ascii="宋体" w:hAnsi="Times New Roman" w:eastAsia="宋体" w:cs="Times New Roman"/>
          <w:b/>
          <w:bCs w:val="0"/>
          <w:color w:val="auto"/>
          <w:kern w:val="2"/>
          <w:sz w:val="32"/>
          <w:szCs w:val="32"/>
          <w:highlight w:val="none"/>
          <w:lang w:val="en-US" w:eastAsia="zh-CN" w:bidi="ar-SA"/>
        </w:rPr>
      </w:pPr>
    </w:p>
    <w:p>
      <w:pPr>
        <w:pStyle w:val="2"/>
        <w:rPr>
          <w:rFonts w:hint="eastAsia" w:ascii="宋体" w:hAnsi="Times New Roman" w:eastAsia="宋体" w:cs="Times New Roman"/>
          <w:b/>
          <w:bCs w:val="0"/>
          <w:color w:val="auto"/>
          <w:kern w:val="2"/>
          <w:sz w:val="32"/>
          <w:szCs w:val="32"/>
          <w:highlight w:val="none"/>
          <w:lang w:val="en-US" w:eastAsia="zh-CN" w:bidi="ar-SA"/>
        </w:rPr>
      </w:pPr>
    </w:p>
    <w:p>
      <w:pPr>
        <w:rPr>
          <w:rFonts w:hint="eastAsia" w:ascii="宋体" w:hAnsi="Times New Roman" w:eastAsia="宋体" w:cs="Times New Roman"/>
          <w:b/>
          <w:bCs w:val="0"/>
          <w:color w:val="auto"/>
          <w:kern w:val="2"/>
          <w:sz w:val="32"/>
          <w:szCs w:val="32"/>
          <w:highlight w:val="none"/>
          <w:lang w:val="en-US" w:eastAsia="zh-CN" w:bidi="ar-SA"/>
        </w:rPr>
      </w:pPr>
    </w:p>
    <w:p>
      <w:pPr>
        <w:pStyle w:val="2"/>
        <w:rPr>
          <w:rFonts w:hint="eastAsia" w:ascii="宋体" w:hAnsi="Times New Roman" w:eastAsia="宋体" w:cs="Times New Roman"/>
          <w:b/>
          <w:bCs w:val="0"/>
          <w:color w:val="auto"/>
          <w:kern w:val="2"/>
          <w:sz w:val="32"/>
          <w:szCs w:val="32"/>
          <w:highlight w:val="none"/>
          <w:lang w:val="en-US" w:eastAsia="zh-CN" w:bidi="ar-SA"/>
        </w:rPr>
      </w:pPr>
    </w:p>
    <w:p>
      <w:pPr>
        <w:rPr>
          <w:rFonts w:hint="eastAsia" w:ascii="宋体" w:hAnsi="Times New Roman" w:eastAsia="宋体" w:cs="Times New Roman"/>
          <w:b/>
          <w:bCs w:val="0"/>
          <w:color w:val="auto"/>
          <w:kern w:val="2"/>
          <w:sz w:val="32"/>
          <w:szCs w:val="32"/>
          <w:highlight w:val="none"/>
          <w:lang w:val="en-US" w:eastAsia="zh-CN" w:bidi="ar-SA"/>
        </w:rPr>
      </w:pPr>
    </w:p>
    <w:p>
      <w:pPr>
        <w:pStyle w:val="2"/>
        <w:rPr>
          <w:rFonts w:hint="eastAsia" w:ascii="宋体" w:hAnsi="Times New Roman" w:eastAsia="宋体" w:cs="Times New Roman"/>
          <w:b/>
          <w:bCs w:val="0"/>
          <w:color w:val="auto"/>
          <w:kern w:val="2"/>
          <w:sz w:val="32"/>
          <w:szCs w:val="32"/>
          <w:highlight w:val="none"/>
          <w:lang w:val="en-US" w:eastAsia="zh-CN" w:bidi="ar-SA"/>
        </w:rPr>
      </w:pPr>
    </w:p>
    <w:p>
      <w:pPr>
        <w:rPr>
          <w:rFonts w:hint="eastAsia"/>
          <w:lang w:val="en-US" w:eastAsia="zh-CN"/>
        </w:rPr>
      </w:pPr>
    </w:p>
    <w:p>
      <w:pPr>
        <w:rPr>
          <w:rFonts w:hint="eastAsia"/>
          <w:lang w:val="en-US" w:eastAsia="zh-CN"/>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p>
    <w:p>
      <w:pPr>
        <w:pStyle w:val="2"/>
        <w:rPr>
          <w:rFonts w:hint="eastAsia" w:ascii="宋体" w:hAnsi="Times New Roman" w:eastAsia="宋体" w:cs="Times New Roman"/>
          <w:b/>
          <w:bCs w:val="0"/>
          <w:color w:val="auto"/>
          <w:kern w:val="2"/>
          <w:sz w:val="32"/>
          <w:szCs w:val="32"/>
          <w:highlight w:val="none"/>
          <w:lang w:val="en-US" w:eastAsia="zh-CN" w:bidi="ar-SA"/>
        </w:rPr>
      </w:pPr>
    </w:p>
    <w:p>
      <w:pPr>
        <w:rPr>
          <w:rFonts w:hint="eastAsia"/>
          <w:lang w:val="en-US" w:eastAsia="zh-CN"/>
        </w:rPr>
      </w:pPr>
    </w:p>
    <w:p>
      <w:pPr>
        <w:jc w:val="center"/>
        <w:outlineLvl w:val="0"/>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5"/>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eastAsia" w:ascii="宋体" w:hAnsi="宋体" w:cs="宋体"/>
          <w:b/>
          <w:color w:val="auto"/>
          <w:sz w:val="30"/>
          <w:szCs w:val="30"/>
          <w:highlight w:val="none"/>
        </w:rPr>
      </w:pPr>
      <w:r>
        <w:rPr>
          <w:rFonts w:hint="default" w:ascii="宋体" w:hAnsi="宋体" w:eastAsia="宋体" w:cs="宋体"/>
          <w:b/>
          <w:color w:val="auto"/>
          <w:kern w:val="2"/>
          <w:sz w:val="30"/>
          <w:szCs w:val="30"/>
          <w:lang w:val="en-US" w:eastAsia="zh-CN" w:bidi="ar-SA"/>
        </w:rPr>
        <w:t>一</w:t>
      </w:r>
      <w:r>
        <w:rPr>
          <w:rFonts w:hint="eastAsia" w:ascii="宋体" w:hAnsi="宋体" w:cs="宋体"/>
          <w:b/>
          <w:color w:val="auto"/>
          <w:sz w:val="28"/>
          <w:szCs w:val="28"/>
          <w:highlight w:val="none"/>
        </w:rPr>
        <w:t xml:space="preserve">  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5"/>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  合同条款</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9"/>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9"/>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9"/>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9"/>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9"/>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形式：支持银行转账、银行电汇、银行保函、担保机构担保、保证保险使用</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金额：中标合同金额×2</w:t>
      </w:r>
      <w:r>
        <w:rPr>
          <w:rFonts w:hint="eastAsia" w:ascii="宋体" w:hAnsi="宋体" w:cs="宋体"/>
          <w:color w:val="auto"/>
          <w:sz w:val="21"/>
          <w:szCs w:val="21"/>
          <w:highlight w:val="none"/>
          <w:u w:val="none" w:color="000000"/>
          <w:lang w:val="en-US" w:eastAsia="zh-CN"/>
        </w:rPr>
        <w:t>.5</w:t>
      </w:r>
      <w:r>
        <w:rPr>
          <w:rFonts w:hint="eastAsia" w:ascii="宋体" w:hAnsi="宋体" w:cs="宋体"/>
          <w:color w:val="auto"/>
          <w:sz w:val="21"/>
          <w:szCs w:val="21"/>
          <w:highlight w:val="none"/>
          <w:u w:val="none" w:color="000000"/>
        </w:rPr>
        <w:t>%；</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收款单位：另行通知                  </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开户银行：另行通知                 </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银行账号：另行通知  </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缴纳时限：中标人须在中标通知书发出后</w:t>
      </w:r>
      <w:r>
        <w:rPr>
          <w:rFonts w:hint="eastAsia" w:ascii="宋体" w:hAnsi="宋体" w:cs="宋体"/>
          <w:color w:val="auto"/>
          <w:sz w:val="21"/>
          <w:szCs w:val="21"/>
          <w:highlight w:val="none"/>
          <w:u w:val="none" w:color="000000"/>
          <w:lang w:val="en-US" w:eastAsia="zh-CN"/>
        </w:rPr>
        <w:t>7</w:t>
      </w:r>
      <w:r>
        <w:rPr>
          <w:rFonts w:hint="eastAsia" w:ascii="宋体" w:hAnsi="宋体" w:cs="宋体"/>
          <w:color w:val="auto"/>
          <w:sz w:val="21"/>
          <w:szCs w:val="21"/>
          <w:highlight w:val="none"/>
          <w:u w:val="none" w:color="000000"/>
        </w:rPr>
        <w:t xml:space="preserve">日内完成履约保证金缴纳及合同签订，如未按期交齐履约保证金或未按期签订合同的，视同放弃中标资格。 </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退还时限：履约保证金有效期满7日内。</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其他相关要求：</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1、采用银行保函的具体要求</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①保函形式须为见索即付型（无条件保函）；</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②须经招标人认可。</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2、采用担保保函的具体要求：须经招标人认可。</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3、采用商业保险的具体要求：须经招标人认可。</w:t>
      </w:r>
    </w:p>
    <w:p>
      <w:pPr>
        <w:pStyle w:val="9"/>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4、采用第三方担保的具体要求：须经招标人认可。</w:t>
      </w:r>
    </w:p>
    <w:p>
      <w:pPr>
        <w:pStyle w:val="9"/>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9"/>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9"/>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spacing w:line="360" w:lineRule="auto"/>
        <w:ind w:firstLine="525" w:firstLineChars="250"/>
        <w:rPr>
          <w:rFonts w:hint="eastAsia" w:ascii="宋体" w:hAnsi="宋体" w:eastAsia="宋体" w:cs="宋体-18030"/>
          <w:szCs w:val="21"/>
          <w:highlight w:val="none"/>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pageBreakBefore w:val="0"/>
        <w:widowControl/>
        <w:numPr>
          <w:ilvl w:val="0"/>
          <w:numId w:val="0"/>
        </w:numPr>
        <w:kinsoku/>
        <w:wordWrap/>
        <w:overflowPunct/>
        <w:topLinePunct w:val="0"/>
        <w:autoSpaceDE/>
        <w:autoSpaceDN/>
        <w:bidi w:val="0"/>
        <w:adjustRightInd/>
        <w:spacing w:before="156" w:beforeLines="50" w:after="156" w:afterLines="50" w:line="360" w:lineRule="exact"/>
        <w:ind w:left="0" w:leftChars="0" w:firstLine="0" w:firstLineChars="0"/>
        <w:jc w:val="center"/>
        <w:textAlignment w:val="baseline"/>
        <w:outlineLvl w:val="1"/>
        <w:rPr>
          <w:rFonts w:hint="default" w:ascii="宋体" w:hAnsi="宋体" w:eastAsia="宋体" w:cs="宋体"/>
          <w:b/>
          <w:color w:val="auto"/>
          <w:kern w:val="2"/>
          <w:sz w:val="30"/>
          <w:szCs w:val="30"/>
          <w:lang w:val="en-US" w:eastAsia="zh-CN" w:bidi="ar-SA"/>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bookmarkStart w:id="56" w:name="_Toc24238"/>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pStyle w:val="2"/>
        <w:rPr>
          <w:rFonts w:hint="eastAsia" w:ascii="宋体" w:hAnsi="宋体" w:eastAsia="宋体" w:cs="宋体"/>
          <w:b/>
          <w:bCs/>
          <w:color w:val="auto"/>
          <w:kern w:val="2"/>
          <w:sz w:val="32"/>
          <w:szCs w:val="32"/>
          <w:highlight w:val="none"/>
          <w:u w:color="auto"/>
          <w:lang w:val="en-US" w:eastAsia="zh-CN" w:bidi="ar"/>
        </w:rPr>
      </w:pPr>
    </w:p>
    <w:p>
      <w:pPr>
        <w:rPr>
          <w:rFonts w:hint="eastAsia" w:ascii="宋体" w:hAnsi="宋体" w:eastAsia="宋体" w:cs="宋体"/>
          <w:b/>
          <w:bCs/>
          <w:color w:val="auto"/>
          <w:kern w:val="2"/>
          <w:sz w:val="32"/>
          <w:szCs w:val="32"/>
          <w:highlight w:val="none"/>
          <w:u w:color="auto"/>
          <w:lang w:val="en-US" w:eastAsia="zh-CN" w:bidi="ar"/>
        </w:rPr>
      </w:pPr>
    </w:p>
    <w:p>
      <w:pPr>
        <w:pStyle w:val="2"/>
        <w:rPr>
          <w:rFonts w:hint="eastAsia"/>
          <w:lang w:val="en-US" w:eastAsia="zh-CN"/>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r>
        <w:rPr>
          <w:rFonts w:hint="eastAsia" w:ascii="宋体" w:hAnsi="宋体" w:eastAsia="宋体" w:cs="宋体"/>
          <w:b/>
          <w:bCs/>
          <w:color w:val="auto"/>
          <w:kern w:val="2"/>
          <w:sz w:val="32"/>
          <w:szCs w:val="32"/>
          <w:highlight w:val="none"/>
          <w:u w:color="auto"/>
          <w:lang w:val="en-US" w:eastAsia="zh-CN" w:bidi="ar"/>
        </w:rPr>
        <w:t>第六章 投标文件格式</w:t>
      </w:r>
      <w:bookmarkEnd w:id="56"/>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57" w:name="_Toc21573"/>
      <w:bookmarkEnd w:id="57"/>
      <w:bookmarkStart w:id="58"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58"/>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59" w:name="_Toc19336_WPSOffice_Level2"/>
      <w:bookmarkEnd w:id="59"/>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0" w:name="_Toc7180_WPSOffice_Level3"/>
      <w:bookmarkEnd w:id="60"/>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pPr>
        <w:pStyle w:val="2"/>
        <w:rPr>
          <w:rFonts w:hint="eastAsia" w:ascii="宋体" w:hAnsi="宋体" w:eastAsia="宋体" w:cs="宋体"/>
          <w:color w:val="000000"/>
          <w:kern w:val="0"/>
          <w:sz w:val="28"/>
          <w:szCs w:val="28"/>
          <w:highlight w:val="none"/>
          <w:u w:color="000000"/>
          <w:lang w:val="en-US" w:eastAsia="zh-CN" w:bidi="ar"/>
        </w:rPr>
      </w:pPr>
    </w:p>
    <w:p>
      <w:pPr>
        <w:rPr>
          <w:rFonts w:hint="eastAsia"/>
          <w:lang w:val="en-US"/>
        </w:rPr>
      </w:pPr>
    </w:p>
    <w:p>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1" w:name="_Toc14710_WPSOffice_Level1"/>
      <w:bookmarkEnd w:id="61"/>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lang w:eastAsia="zh-CN"/>
        </w:rPr>
        <w:t>）招标文件中要求的资信评审的支持资料；</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hAnsi="Times New Roman" w:eastAsia="宋体" w:cs="Times New Roman"/>
          <w:color w:val="auto"/>
          <w:szCs w:val="21"/>
          <w:highlight w:val="none"/>
          <w:lang w:val="en-US" w:eastAsia="zh-CN"/>
        </w:rPr>
        <w:t>如有）</w:t>
      </w:r>
      <w:r>
        <w:rPr>
          <w:rFonts w:hint="eastAsia" w:ascii="宋体" w:hAnsi="Times New Roman" w:eastAsia="宋体" w:cs="Times New Roman"/>
          <w:color w:val="auto"/>
          <w:szCs w:val="21"/>
          <w:highlight w:val="none"/>
          <w:lang w:eastAsia="zh-CN"/>
        </w:rPr>
        <w:t>。</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43"/>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单位性质：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姓</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盖</w:t>
      </w:r>
      <w:r>
        <w:rPr>
          <w:rFonts w:hint="eastAsia" w:ascii="宋体" w:hAnsi="宋体" w:eastAsia="宋体" w:cs="宋体"/>
          <w:sz w:val="24"/>
          <w:szCs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132" w:firstLineChars="13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”(项目名称、编号）</w:t>
      </w:r>
      <w:r>
        <w:rPr>
          <w:rFonts w:hint="eastAsia" w:ascii="宋体" w:hAnsi="宋体" w:eastAsia="宋体" w:cs="宋体"/>
          <w:color w:val="auto"/>
          <w:sz w:val="24"/>
          <w:szCs w:val="24"/>
          <w:highlight w:val="none"/>
          <w:lang w:val="en-US" w:eastAsia="zh-CN"/>
        </w:rPr>
        <w:t>投</w:t>
      </w:r>
      <w:r>
        <w:rPr>
          <w:rFonts w:hint="eastAsia" w:ascii="宋体" w:hAnsi="宋体" w:eastAsia="宋体" w:cs="宋体"/>
          <w:color w:val="auto"/>
          <w:sz w:val="24"/>
          <w:szCs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auto"/>
          <w:sz w:val="24"/>
          <w:szCs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附：委托</w:t>
      </w:r>
      <w:r>
        <w:rPr>
          <w:rFonts w:hint="eastAsia" w:ascii="宋体" w:hAnsi="宋体" w:eastAsia="宋体" w:cs="宋体"/>
          <w:color w:val="auto"/>
          <w:sz w:val="24"/>
          <w:szCs w:val="24"/>
          <w:highlight w:val="none"/>
          <w:lang w:val="en-US" w:eastAsia="zh-CN"/>
        </w:rPr>
        <w:t>代理</w:t>
      </w:r>
      <w:r>
        <w:rPr>
          <w:rFonts w:hint="eastAsia" w:ascii="宋体" w:hAnsi="宋体" w:eastAsia="宋体" w:cs="宋体"/>
          <w:color w:val="auto"/>
          <w:sz w:val="24"/>
          <w:szCs w:val="24"/>
          <w:highlight w:val="none"/>
        </w:rPr>
        <w:t>人有效身份证</w:t>
      </w:r>
      <w:r>
        <w:rPr>
          <w:rFonts w:hint="eastAsia" w:ascii="宋体" w:hAnsi="宋体" w:eastAsia="宋体" w:cs="宋体"/>
          <w:color w:val="auto"/>
          <w:sz w:val="24"/>
          <w:szCs w:val="24"/>
          <w:highlight w:val="none"/>
          <w:lang w:val="en-US" w:eastAsia="zh-CN"/>
        </w:rPr>
        <w:t>复印件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820" w:firstLineChars="1175"/>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62" w:name="_Toc425084385"/>
      <w:bookmarkStart w:id="63" w:name="_Toc451384148"/>
      <w:r>
        <w:rPr>
          <w:rFonts w:hint="eastAsia" w:ascii="宋体" w:hAnsi="宋体"/>
          <w:color w:val="000000"/>
          <w:szCs w:val="21"/>
          <w:highlight w:val="none"/>
        </w:rPr>
        <w:t>一、将遵循公</w:t>
      </w:r>
      <w:bookmarkStart w:id="64" w:name="_Toc506107356"/>
      <w:bookmarkStart w:id="65" w:name="_Toc503196197"/>
      <w:bookmarkStart w:id="66" w:name="_Toc26598"/>
      <w:r>
        <w:rPr>
          <w:rFonts w:hint="eastAsia" w:ascii="宋体" w:hAnsi="宋体"/>
          <w:color w:val="000000"/>
          <w:szCs w:val="21"/>
          <w:highlight w:val="none"/>
        </w:rPr>
        <w:t>开、公正和诚实信用</w:t>
      </w:r>
      <w:bookmarkEnd w:id="64"/>
      <w:bookmarkEnd w:id="65"/>
      <w:r>
        <w:rPr>
          <w:rFonts w:hint="eastAsia" w:ascii="宋体" w:hAnsi="宋体"/>
          <w:color w:val="000000"/>
          <w:szCs w:val="21"/>
          <w:highlight w:val="none"/>
        </w:rPr>
        <w:t>的</w:t>
      </w:r>
      <w:bookmarkEnd w:id="6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bookmarkEnd w:id="62"/>
    <w:bookmarkEnd w:id="63"/>
    <w:p>
      <w:pPr>
        <w:jc w:val="center"/>
        <w:rPr>
          <w:rFonts w:hint="eastAsia" w:ascii="宋体"/>
          <w:b/>
          <w:color w:val="auto"/>
          <w:sz w:val="44"/>
          <w:szCs w:val="44"/>
          <w:highlight w:val="none"/>
        </w:rPr>
      </w:pPr>
    </w:p>
    <w:p>
      <w:pPr>
        <w:jc w:val="center"/>
        <w:rPr>
          <w:rFonts w:hint="eastAsia" w:ascii="宋体"/>
          <w:b/>
          <w:color w:val="auto"/>
          <w:sz w:val="44"/>
          <w:szCs w:val="44"/>
          <w:highlight w:val="none"/>
        </w:rPr>
      </w:pPr>
      <w:r>
        <w:rPr>
          <w:rFonts w:hint="eastAsia" w:ascii="宋体"/>
          <w:b/>
          <w:color w:val="auto"/>
          <w:sz w:val="44"/>
          <w:szCs w:val="44"/>
          <w:highlight w:val="none"/>
        </w:rPr>
        <w:t>技术标</w:t>
      </w:r>
    </w:p>
    <w:p>
      <w:pPr>
        <w:jc w:val="center"/>
        <w:rPr>
          <w:rFonts w:hint="eastAsia" w:ascii="宋体" w:hAnsi="Times New Roman" w:eastAsia="宋体" w:cs="宋体"/>
          <w:color w:val="auto"/>
          <w:sz w:val="44"/>
          <w:szCs w:val="44"/>
          <w:highlight w:val="none"/>
          <w:lang w:val="en-US" w:eastAsia="zh-CN"/>
        </w:rPr>
      </w:pPr>
      <w:r>
        <w:rPr>
          <w:rFonts w:hint="eastAsia" w:ascii="宋体"/>
          <w:color w:val="auto"/>
          <w:sz w:val="32"/>
          <w:szCs w:val="32"/>
          <w:highlight w:val="none"/>
        </w:rPr>
        <w:t>（投标文件二）</w:t>
      </w:r>
    </w:p>
    <w:p>
      <w:pPr>
        <w:jc w:val="center"/>
        <w:rPr>
          <w:rFonts w:hint="eastAsia" w:ascii="宋体"/>
          <w:color w:val="auto"/>
          <w:sz w:val="36"/>
          <w:szCs w:val="36"/>
          <w:highlight w:val="none"/>
        </w:rPr>
      </w:pP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rPr>
          <w:rFonts w:hint="eastAsia" w:ascii="宋体"/>
          <w:color w:val="auto"/>
          <w:sz w:val="28"/>
          <w:szCs w:val="28"/>
          <w:highlight w:val="none"/>
        </w:rPr>
      </w:pPr>
    </w:p>
    <w:p>
      <w:pPr>
        <w:rPr>
          <w:rFonts w:hint="eastAsia" w:ascii="宋体"/>
          <w:color w:val="auto"/>
          <w:sz w:val="28"/>
          <w:szCs w:val="28"/>
          <w:highlight w:val="none"/>
        </w:rPr>
      </w:pPr>
    </w:p>
    <w:p>
      <w:pPr>
        <w:rPr>
          <w:rFonts w:hint="eastAsia" w:ascii="宋体"/>
          <w:color w:val="auto"/>
          <w:sz w:val="28"/>
          <w:szCs w:val="28"/>
          <w:highlight w:val="none"/>
        </w:rPr>
      </w:pPr>
    </w:p>
    <w:p>
      <w:pPr>
        <w:pStyle w:val="2"/>
        <w:rPr>
          <w:rFonts w:hint="eastAsia" w:ascii="宋体"/>
          <w:color w:val="auto"/>
          <w:sz w:val="28"/>
          <w:szCs w:val="28"/>
          <w:highlight w:val="none"/>
        </w:rPr>
      </w:pPr>
    </w:p>
    <w:p>
      <w:pPr>
        <w:pStyle w:val="20"/>
        <w:rPr>
          <w:rFonts w:hint="eastAsia" w:ascii="宋体"/>
          <w:color w:val="auto"/>
          <w:sz w:val="28"/>
          <w:szCs w:val="28"/>
          <w:highlight w:val="none"/>
        </w:rPr>
      </w:pPr>
    </w:p>
    <w:p>
      <w:pPr>
        <w:rPr>
          <w:rFonts w:hint="eastAsia"/>
        </w:rPr>
      </w:pPr>
    </w:p>
    <w:p>
      <w:pPr>
        <w:rPr>
          <w:rFonts w:hint="eastAsia" w:ascii="宋体"/>
          <w:color w:val="auto"/>
          <w:sz w:val="28"/>
          <w:szCs w:val="28"/>
          <w:highlight w:val="none"/>
        </w:rPr>
      </w:pPr>
    </w:p>
    <w:p>
      <w:pPr>
        <w:rPr>
          <w:rFonts w:hint="eastAsia" w:ascii="宋体"/>
          <w:color w:val="auto"/>
          <w:sz w:val="28"/>
          <w:szCs w:val="28"/>
          <w:highlight w:val="none"/>
        </w:rPr>
      </w:pPr>
    </w:p>
    <w:p>
      <w:pPr>
        <w:rPr>
          <w:rFonts w:hint="eastAsia" w:ascii="宋体"/>
          <w:color w:val="auto"/>
          <w:sz w:val="28"/>
          <w:szCs w:val="28"/>
          <w:highlight w:val="none"/>
        </w:rPr>
      </w:pPr>
    </w:p>
    <w:p>
      <w:pPr>
        <w:rPr>
          <w:rFonts w:hint="eastAsia" w:ascii="宋体"/>
          <w:color w:val="auto"/>
          <w:sz w:val="28"/>
          <w:szCs w:val="28"/>
          <w:highlight w:val="none"/>
        </w:rPr>
      </w:pPr>
    </w:p>
    <w:p>
      <w:pPr>
        <w:pStyle w:val="2"/>
        <w:rPr>
          <w:rFonts w:hint="eastAsia"/>
        </w:rPr>
      </w:pPr>
    </w:p>
    <w:p>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pPr>
        <w:rPr>
          <w:rFonts w:hint="eastAsia" w:ascii="宋体" w:hAnsi="宋体"/>
          <w:b/>
          <w:color w:val="auto"/>
          <w:sz w:val="30"/>
          <w:szCs w:val="30"/>
          <w:highlight w:val="none"/>
          <w:lang w:val="en-US" w:eastAsia="zh-CN"/>
        </w:rPr>
      </w:pPr>
    </w:p>
    <w:p>
      <w:pPr>
        <w:pStyle w:val="2"/>
        <w:rPr>
          <w:rFonts w:hint="eastAsia" w:ascii="宋体" w:hAnsi="宋体"/>
          <w:b/>
          <w:color w:val="auto"/>
          <w:sz w:val="30"/>
          <w:szCs w:val="30"/>
          <w:highlight w:val="none"/>
          <w:lang w:val="en-US" w:eastAsia="zh-CN"/>
        </w:rPr>
      </w:pPr>
    </w:p>
    <w:p>
      <w:pPr>
        <w:spacing w:line="400" w:lineRule="exact"/>
        <w:jc w:val="center"/>
        <w:rPr>
          <w:rFonts w:hint="eastAsia"/>
          <w:b/>
          <w:color w:val="auto"/>
          <w:sz w:val="36"/>
          <w:szCs w:val="36"/>
          <w:highlight w:val="none"/>
        </w:rPr>
      </w:pPr>
    </w:p>
    <w:p>
      <w:pPr>
        <w:spacing w:line="400" w:lineRule="exact"/>
        <w:jc w:val="center"/>
        <w:rPr>
          <w:rFonts w:hint="eastAsia"/>
          <w:b/>
          <w:color w:val="auto"/>
          <w:sz w:val="36"/>
          <w:szCs w:val="36"/>
          <w:highlight w:val="none"/>
        </w:rPr>
      </w:pPr>
      <w:r>
        <w:rPr>
          <w:rFonts w:hint="eastAsia"/>
          <w:b/>
          <w:color w:val="auto"/>
          <w:sz w:val="36"/>
          <w:szCs w:val="36"/>
          <w:highlight w:val="none"/>
        </w:rPr>
        <w:t>目   录</w:t>
      </w:r>
    </w:p>
    <w:p>
      <w:pPr>
        <w:spacing w:line="400" w:lineRule="exact"/>
        <w:ind w:firstLine="4130" w:firstLineChars="935"/>
        <w:rPr>
          <w:rFonts w:hint="eastAsia"/>
          <w:b/>
          <w:color w:val="auto"/>
          <w:sz w:val="44"/>
          <w:szCs w:val="44"/>
          <w:highlight w:val="none"/>
        </w:rPr>
      </w:pP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color w:val="auto"/>
          <w:szCs w:val="21"/>
          <w:highlight w:val="none"/>
        </w:rPr>
        <w:t>（1）服务承诺书（格式见附件）；</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（2）详细的货物名称、规格、技术参数等【附技术参数响应表、货物的详细配置清单，格式见附件】；</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（3）招标文件中要求的技术标评审及技术标评分的支持资料；</w:t>
      </w:r>
    </w:p>
    <w:p>
      <w:pPr>
        <w:spacing w:line="440" w:lineRule="exact"/>
        <w:ind w:firstLine="420" w:firstLineChars="200"/>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（4）投标人认为需要提供的其他技术证明材料（如有）。</w:t>
      </w:r>
    </w:p>
    <w:p>
      <w:pPr>
        <w:rPr>
          <w:rFonts w:hint="eastAsia" w:ascii="宋体" w:hAnsi="宋体"/>
          <w:b/>
          <w:color w:val="auto"/>
          <w:sz w:val="30"/>
          <w:szCs w:val="30"/>
          <w:highlight w:val="none"/>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附</w:t>
      </w:r>
      <w:r>
        <w:rPr>
          <w:rFonts w:hint="eastAsia" w:ascii="宋体" w:hAnsi="宋体" w:eastAsia="宋体" w:cs="宋体"/>
          <w:b/>
          <w:bCs w:val="0"/>
          <w:color w:val="000000"/>
          <w:kern w:val="0"/>
          <w:sz w:val="28"/>
          <w:szCs w:val="28"/>
          <w:highlight w:val="none"/>
          <w:u w:color="000000"/>
          <w:lang w:val="en-US" w:eastAsia="zh-CN" w:bidi="ar"/>
        </w:rPr>
        <w:t>件</w:t>
      </w:r>
      <w:r>
        <w:rPr>
          <w:rFonts w:hint="eastAsia" w:ascii="Calibri" w:hAnsi="Calibri" w:eastAsia="宋体" w:cs="Calibri"/>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26"/>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3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352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p>
            <w:pPr>
              <w:keepNext w:val="0"/>
              <w:keepLines w:val="0"/>
              <w:suppressLineNumbers w:val="0"/>
              <w:spacing w:before="0" w:beforeAutospacing="0" w:after="0" w:afterAutospacing="0" w:line="240" w:lineRule="atLeas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352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352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s="宋体"/>
                <w:color w:val="auto"/>
                <w:szCs w:val="21"/>
                <w:highlight w:val="none"/>
              </w:rPr>
              <w:t>…</w:t>
            </w:r>
          </w:p>
        </w:tc>
      </w:tr>
    </w:tbl>
    <w:p>
      <w:pPr>
        <w:autoSpaceDE w:val="0"/>
        <w:autoSpaceDN w:val="0"/>
        <w:adjustRightInd w:val="0"/>
        <w:spacing w:line="240" w:lineRule="auto"/>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r>
        <w:rPr>
          <w:rFonts w:ascii="宋体" w:hAnsi="宋体"/>
          <w:b/>
          <w:color w:val="auto"/>
          <w:szCs w:val="21"/>
          <w:highlight w:val="none"/>
          <w:lang w:val="zh-CN"/>
        </w:rPr>
        <w:t>1</w:t>
      </w:r>
      <w:r>
        <w:rPr>
          <w:rFonts w:hint="eastAsia" w:ascii="宋体" w:hAnsi="宋体"/>
          <w:b/>
          <w:color w:val="auto"/>
          <w:szCs w:val="21"/>
          <w:highlight w:val="none"/>
          <w:lang w:val="zh-CN"/>
        </w:rPr>
        <w:t>.</w:t>
      </w:r>
      <w:r>
        <w:rPr>
          <w:rFonts w:hint="eastAsia" w:ascii="宋体" w:hAnsi="宋体" w:eastAsia="宋体" w:cs="Times New Roman"/>
          <w:b/>
          <w:color w:val="000000"/>
          <w:szCs w:val="21"/>
          <w:highlight w:val="none"/>
          <w:lang w:val="en-US" w:eastAsia="zh-CN"/>
        </w:rPr>
        <w:t>表格顺序请按照采购清单顺序；</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zh-CN" w:eastAsia="zh-CN"/>
        </w:rPr>
      </w:pPr>
      <w:r>
        <w:rPr>
          <w:rFonts w:hint="eastAsia" w:ascii="宋体" w:hAnsi="宋体" w:eastAsia="宋体" w:cs="Times New Roman"/>
          <w:b/>
          <w:color w:val="000000"/>
          <w:szCs w:val="21"/>
          <w:highlight w:val="none"/>
          <w:lang w:val="en-US" w:eastAsia="zh-CN"/>
        </w:rPr>
        <w:t>2.投标人</w:t>
      </w:r>
      <w:r>
        <w:rPr>
          <w:rFonts w:hint="eastAsia" w:ascii="宋体" w:hAnsi="宋体" w:eastAsia="宋体" w:cs="Times New Roman"/>
          <w:b/>
          <w:color w:val="000000"/>
          <w:szCs w:val="21"/>
          <w:highlight w:val="none"/>
          <w:lang w:val="zh-CN" w:eastAsia="zh-CN"/>
        </w:rPr>
        <w:t>应逐一说明投标产品和服务响应；</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en-US" w:eastAsia="zh-CN"/>
        </w:rPr>
      </w:pPr>
      <w:r>
        <w:rPr>
          <w:rFonts w:hint="eastAsia" w:ascii="宋体" w:hAnsi="宋体" w:eastAsia="宋体" w:cs="Times New Roman"/>
          <w:b/>
          <w:color w:val="000000"/>
          <w:szCs w:val="21"/>
          <w:highlight w:val="none"/>
          <w:lang w:val="en-US" w:eastAsia="zh-CN"/>
        </w:rPr>
        <w:t>3.</w:t>
      </w:r>
      <w:r>
        <w:rPr>
          <w:rFonts w:hint="eastAsia" w:ascii="宋体" w:hAnsi="宋体" w:eastAsia="宋体" w:cs="Times New Roman"/>
          <w:b/>
          <w:color w:val="000000"/>
          <w:szCs w:val="21"/>
          <w:highlight w:val="none"/>
          <w:lang w:val="zh-CN" w:eastAsia="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6"/>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eastAsia="宋体" w:cs="Times New Roman"/>
          <w:b/>
          <w:color w:val="000000"/>
          <w:szCs w:val="21"/>
          <w:highlight w:val="none"/>
          <w:lang w:val="en-US" w:eastAsia="zh-CN"/>
        </w:rPr>
        <w:t>表格顺序请按照采购清单顺序，</w:t>
      </w:r>
      <w:r>
        <w:rPr>
          <w:rFonts w:hint="eastAsia" w:ascii="宋体" w:hAnsi="宋体" w:cs="宋体"/>
          <w:color w:val="000000"/>
          <w:szCs w:val="21"/>
          <w:highlight w:val="none"/>
          <w:lang w:val="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pStyle w:val="2"/>
        <w:rPr>
          <w:rFonts w:hint="eastAsia"/>
          <w:highlight w:val="none"/>
          <w:lang w:val="en-US" w:eastAsia="zh-CN"/>
        </w:rPr>
      </w:pPr>
    </w:p>
    <w:p>
      <w:pPr>
        <w:spacing w:line="560" w:lineRule="atLeast"/>
        <w:jc w:val="left"/>
        <w:rPr>
          <w:rFonts w:hint="eastAsia" w:ascii="宋体" w:hAnsi="宋体" w:eastAsia="宋体" w:cs="宋体"/>
          <w:b/>
          <w:bCs/>
          <w:color w:val="auto"/>
          <w:szCs w:val="21"/>
          <w:highlight w:val="none"/>
          <w:lang w:eastAsia="zh-CN"/>
        </w:rPr>
      </w:pPr>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2</w:t>
      </w:r>
    </w:p>
    <w:p>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服务承诺书</w:t>
      </w:r>
    </w:p>
    <w:p>
      <w:pPr>
        <w:spacing w:line="600" w:lineRule="auto"/>
        <w:rPr>
          <w:rFonts w:hint="eastAsia" w:ascii="宋体" w:hAnsi="宋体" w:cs="宋体"/>
          <w:bCs/>
          <w:color w:val="auto"/>
          <w:sz w:val="24"/>
          <w:highlight w:val="none"/>
          <w:u w:val="single"/>
        </w:rPr>
      </w:pPr>
      <w:r>
        <w:rPr>
          <w:rFonts w:hint="eastAsia" w:ascii="宋体" w:hAnsi="宋体" w:cs="宋体"/>
          <w:bCs/>
          <w:color w:val="auto"/>
          <w:sz w:val="24"/>
          <w:highlight w:val="none"/>
        </w:rPr>
        <w:t>致：</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招标</w:t>
      </w:r>
      <w:r>
        <w:rPr>
          <w:rFonts w:hint="eastAsia" w:ascii="宋体" w:hAnsi="宋体" w:cs="宋体"/>
          <w:bCs/>
          <w:color w:val="auto"/>
          <w:sz w:val="24"/>
          <w:highlight w:val="none"/>
          <w:u w:val="single"/>
        </w:rPr>
        <w:t>人）     ：</w:t>
      </w:r>
    </w:p>
    <w:p>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本承诺声明：</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（投标人）对本招标文件的相关要求完全响应。若有幸成交将严格按照以上承诺进行服务。</w:t>
      </w:r>
    </w:p>
    <w:p>
      <w:pPr>
        <w:pStyle w:val="63"/>
        <w:spacing w:line="600" w:lineRule="auto"/>
        <w:rPr>
          <w:rFonts w:hint="eastAsia" w:ascii="宋体" w:hAnsi="宋体" w:cs="宋体"/>
          <w:bCs/>
          <w:color w:val="auto"/>
          <w:highlight w:val="none"/>
        </w:rPr>
      </w:pPr>
      <w:r>
        <w:rPr>
          <w:rFonts w:hint="eastAsia" w:ascii="宋体" w:hAnsi="宋体" w:cs="宋体"/>
          <w:bCs/>
          <w:color w:val="auto"/>
          <w:sz w:val="24"/>
          <w:szCs w:val="24"/>
          <w:highlight w:val="none"/>
        </w:rPr>
        <w:t xml:space="preserve"> </w:t>
      </w:r>
    </w:p>
    <w:p>
      <w:pPr>
        <w:spacing w:line="60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特此声明</w:t>
      </w:r>
    </w:p>
    <w:p>
      <w:pPr>
        <w:pStyle w:val="2"/>
        <w:rPr>
          <w:rFonts w:hint="eastAsia"/>
        </w:rPr>
      </w:pPr>
    </w:p>
    <w:p>
      <w:pPr>
        <w:spacing w:line="600" w:lineRule="auto"/>
        <w:jc w:val="right"/>
        <w:rPr>
          <w:rFonts w:hint="eastAsia" w:ascii="宋体" w:hAnsi="宋体" w:cs="宋体"/>
          <w:bCs/>
          <w:color w:val="auto"/>
          <w:sz w:val="24"/>
          <w:highlight w:val="none"/>
        </w:rPr>
      </w:pPr>
      <w:r>
        <w:rPr>
          <w:rFonts w:hint="eastAsia" w:ascii="宋体" w:hAnsi="宋体" w:cs="宋体"/>
          <w:bCs/>
          <w:color w:val="auto"/>
          <w:sz w:val="24"/>
          <w:highlight w:val="none"/>
        </w:rPr>
        <w:t> 投标人名称：</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val="en-US" w:eastAsia="zh-CN"/>
        </w:rPr>
        <w:t xml:space="preserve"> </w:t>
      </w:r>
      <w:r>
        <w:rPr>
          <w:rFonts w:hint="eastAsia" w:ascii="宋体" w:hAnsi="宋体" w:cs="宋体"/>
          <w:bCs/>
          <w:color w:val="auto"/>
          <w:sz w:val="24"/>
          <w:highlight w:val="none"/>
          <w:u w:val="none"/>
        </w:rPr>
        <w:t>（</w:t>
      </w:r>
      <w:r>
        <w:rPr>
          <w:rFonts w:hint="eastAsia" w:ascii="宋体" w:hAnsi="宋体"/>
          <w:color w:val="auto"/>
          <w:sz w:val="24"/>
          <w:szCs w:val="21"/>
          <w:highlight w:val="none"/>
          <w:u w:val="none"/>
        </w:rPr>
        <w:t>盖单位章</w:t>
      </w:r>
      <w:r>
        <w:rPr>
          <w:rFonts w:hint="eastAsia" w:ascii="宋体" w:hAnsi="宋体" w:cs="宋体"/>
          <w:bCs/>
          <w:color w:val="auto"/>
          <w:sz w:val="24"/>
          <w:highlight w:val="none"/>
          <w:u w:val="none"/>
        </w:rPr>
        <w:t xml:space="preserve">） </w:t>
      </w:r>
    </w:p>
    <w:p>
      <w:pPr>
        <w:spacing w:line="600" w:lineRule="auto"/>
        <w:jc w:val="right"/>
        <w:rPr>
          <w:rFonts w:hint="eastAsia" w:ascii="宋体" w:hAnsi="宋体" w:cs="宋体"/>
          <w:bCs/>
          <w:color w:val="auto"/>
          <w:sz w:val="24"/>
          <w:highlight w:val="none"/>
          <w:u w:val="single"/>
        </w:rPr>
      </w:pPr>
      <w:r>
        <w:rPr>
          <w:rFonts w:hint="eastAsia" w:ascii="宋体" w:hAnsi="宋体" w:cs="宋体"/>
          <w:bCs/>
          <w:color w:val="auto"/>
          <w:sz w:val="24"/>
          <w:highlight w:val="none"/>
        </w:rPr>
        <w:t xml:space="preserve">法定代表人：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(签章)</w:t>
      </w:r>
    </w:p>
    <w:p>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000000"/>
          <w:kern w:val="0"/>
          <w:sz w:val="44"/>
          <w:szCs w:val="44"/>
          <w:highlight w:val="none"/>
          <w:u w:color="000000"/>
          <w:lang w:val="en-US" w:eastAsia="zh-CN" w:bidi="ar"/>
        </w:rPr>
      </w:pPr>
    </w:p>
    <w:p>
      <w:pPr>
        <w:pStyle w:val="2"/>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p>
    <w:p>
      <w:pPr>
        <w:pStyle w:val="2"/>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p>
    <w:p>
      <w:pPr>
        <w:pStyle w:val="2"/>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p>
    <w:p>
      <w:pPr>
        <w:pStyle w:val="2"/>
        <w:rPr>
          <w:rFonts w:hint="eastAsia"/>
          <w:lang w:val="en-US" w:eastAsia="zh-CN"/>
        </w:rPr>
      </w:pP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7" w:name="_Toc27638_WPSOffice_Level2"/>
      <w:bookmarkEnd w:id="67"/>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0"/>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8"/>
          <w:szCs w:val="28"/>
          <w:highlight w:val="none"/>
          <w:u w:color="000000"/>
          <w:lang w:val="en-US" w:eastAsia="zh-CN" w:bidi="ar"/>
        </w:rPr>
      </w:pPr>
      <w:r>
        <w:rPr>
          <w:rFonts w:hint="eastAsia" w:ascii="宋体" w:hAnsi="宋体" w:eastAsia="宋体" w:cs="宋体"/>
          <w:color w:val="000000"/>
          <w:kern w:val="0"/>
          <w:sz w:val="28"/>
          <w:szCs w:val="28"/>
          <w:highlight w:val="none"/>
          <w:u w:color="000000"/>
          <w:lang w:val="en-US" w:eastAsia="zh-CN" w:bidi="ar"/>
        </w:rPr>
        <w:t xml:space="preserve"> </w:t>
      </w:r>
    </w:p>
    <w:p>
      <w:pPr>
        <w:pStyle w:val="2"/>
        <w:rPr>
          <w:rFonts w:hint="eastAsia" w:ascii="宋体" w:hAnsi="宋体" w:eastAsia="宋体" w:cs="宋体"/>
          <w:color w:val="000000"/>
          <w:kern w:val="0"/>
          <w:sz w:val="28"/>
          <w:szCs w:val="28"/>
          <w:highlight w:val="none"/>
          <w:u w:color="000000"/>
          <w:lang w:val="en-US" w:eastAsia="zh-CN" w:bidi="ar"/>
        </w:rPr>
      </w:pPr>
    </w:p>
    <w:p>
      <w:pPr>
        <w:rPr>
          <w:rFonts w:hint="eastAsia" w:ascii="宋体" w:hAnsi="宋体" w:eastAsia="宋体" w:cs="宋体"/>
          <w:color w:val="000000"/>
          <w:kern w:val="0"/>
          <w:sz w:val="28"/>
          <w:szCs w:val="28"/>
          <w:highlight w:val="none"/>
          <w:u w:color="000000"/>
          <w:lang w:val="en-US" w:eastAsia="zh-CN" w:bidi="ar"/>
        </w:rPr>
      </w:pPr>
    </w:p>
    <w:p>
      <w:pPr>
        <w:pStyle w:val="2"/>
        <w:rPr>
          <w:rFonts w:hint="eastAsia"/>
          <w:lang w:val="en-US"/>
        </w:rPr>
      </w:pPr>
    </w:p>
    <w:p>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pPr>
        <w:rPr>
          <w:highlight w:val="none"/>
          <w:lang w:val="en-US"/>
        </w:rPr>
      </w:pPr>
      <w:r>
        <w:rPr>
          <w:highlight w:val="none"/>
          <w:lang w:val="en-US"/>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w:t>
            </w:r>
            <w:r>
              <w:rPr>
                <w:rFonts w:hint="eastAsia" w:ascii="宋体" w:hAnsi="宋体" w:eastAsia="宋体" w:cs="宋体"/>
                <w:color w:val="000000"/>
                <w:kern w:val="0"/>
                <w:sz w:val="24"/>
                <w:szCs w:val="24"/>
                <w:highlight w:val="none"/>
                <w:u w:color="000000"/>
                <w:lang w:val="en-US" w:eastAsia="zh-CN" w:bidi="ar"/>
              </w:rPr>
              <w:t>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90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pageBreakBefore/>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cs="Times New Roman"/>
          <w:b/>
          <w:color w:val="auto"/>
          <w:sz w:val="28"/>
          <w:szCs w:val="28"/>
          <w:highlight w:val="none"/>
          <w:lang w:eastAsia="zh-CN"/>
        </w:rPr>
      </w:pPr>
      <w:bookmarkStart w:id="68" w:name="_Toc7457"/>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3</w:t>
      </w:r>
    </w:p>
    <w:p>
      <w:pPr>
        <w:spacing w:line="360" w:lineRule="auto"/>
        <w:ind w:left="720"/>
        <w:jc w:val="center"/>
        <w:rPr>
          <w:rFonts w:hint="eastAsia" w:ascii="宋体" w:hAnsi="宋体"/>
          <w:b/>
          <w:color w:val="auto"/>
          <w:sz w:val="36"/>
          <w:szCs w:val="36"/>
          <w:highlight w:val="none"/>
        </w:rPr>
      </w:pPr>
      <w:r>
        <w:rPr>
          <w:rFonts w:hint="eastAsia"/>
          <w:b/>
          <w:color w:val="auto"/>
          <w:sz w:val="28"/>
          <w:szCs w:val="28"/>
          <w:highlight w:val="none"/>
        </w:rPr>
        <w:t>分项报价清单</w:t>
      </w:r>
    </w:p>
    <w:tbl>
      <w:tblPr>
        <w:tblStyle w:val="26"/>
        <w:tblW w:w="0" w:type="auto"/>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972"/>
        <w:gridCol w:w="14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品牌</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单 价（元）</w:t>
            </w:r>
          </w:p>
        </w:tc>
        <w:tc>
          <w:tcPr>
            <w:tcW w:w="97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auto"/>
                <w:szCs w:val="21"/>
                <w:highlight w:val="none"/>
              </w:rPr>
            </w:pPr>
            <w:r>
              <w:rPr>
                <w:rFonts w:hint="eastAsia" w:ascii="宋体" w:hAnsi="宋体"/>
                <w:color w:val="auto"/>
                <w:szCs w:val="21"/>
                <w:highlight w:val="none"/>
              </w:rPr>
              <w:t>合 价（元）</w:t>
            </w:r>
          </w:p>
        </w:tc>
        <w:tc>
          <w:tcPr>
            <w:tcW w:w="1494"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2</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3</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noWrap w:val="0"/>
            <w:vAlign w:val="center"/>
          </w:tcPr>
          <w:p>
            <w:pPr>
              <w:keepNext w:val="0"/>
              <w:keepLines w:val="0"/>
              <w:suppressLineNumbers w:val="0"/>
              <w:spacing w:before="0" w:beforeAutospacing="0" w:after="0" w:afterAutospacing="0"/>
              <w:ind w:left="0" w:right="0"/>
              <w:jc w:val="center"/>
              <w:textAlignment w:val="baseline"/>
              <w:rPr>
                <w:rFonts w:hint="eastAsia" w:ascii="宋体" w:hAnsi="宋体"/>
                <w:color w:val="auto"/>
                <w:szCs w:val="21"/>
                <w:highlight w:val="none"/>
              </w:rPr>
            </w:pPr>
            <w:r>
              <w:rPr>
                <w:rFonts w:hint="eastAsia" w:ascii="宋体" w:hAnsi="宋体"/>
                <w:color w:val="auto"/>
                <w:szCs w:val="21"/>
                <w:highlight w:val="none"/>
              </w:rPr>
              <w:t>...</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eastAsia="宋体" w:cs="Times New Roman"/>
                <w:color w:val="auto"/>
                <w:sz w:val="24"/>
                <w:highlight w:val="none"/>
              </w:rPr>
            </w:pPr>
          </w:p>
        </w:tc>
        <w:tc>
          <w:tcPr>
            <w:tcW w:w="972"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c>
          <w:tcPr>
            <w:tcW w:w="1494"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auto"/>
                <w:sz w:val="24"/>
                <w:highlight w:val="none"/>
              </w:rPr>
            </w:pPr>
            <w:r>
              <w:rPr>
                <w:rFonts w:hint="eastAsia" w:ascii="宋体" w:hAnsi="宋体"/>
                <w:b/>
                <w:color w:val="auto"/>
                <w:sz w:val="24"/>
                <w:highlight w:val="none"/>
              </w:rPr>
              <w:t>投标报价：</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元；（填入投标函和开标一览表）</w:t>
            </w:r>
          </w:p>
        </w:tc>
      </w:tr>
    </w:tbl>
    <w:p>
      <w:pPr>
        <w:keepNext w:val="0"/>
        <w:keepLines w:val="0"/>
        <w:pageBreakBefore w:val="0"/>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zh-CN"/>
        </w:rPr>
        <w:t>注：</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所有投标只能选择一种方案，单价和合价的报价只能是唯一，且须列出详细的分项报价。</w:t>
      </w:r>
      <w:r>
        <w:rPr>
          <w:rFonts w:hint="eastAsia" w:ascii="宋体" w:hAnsi="宋体" w:eastAsia="宋体" w:cs="宋体"/>
          <w:b/>
          <w:color w:val="auto"/>
          <w:szCs w:val="21"/>
          <w:highlight w:val="none"/>
        </w:rPr>
        <w:t>（与采购清单项相一致，不得缺项，否则视同包含在其他项目。）</w:t>
      </w:r>
    </w:p>
    <w:p>
      <w:pPr>
        <w:keepNext w:val="0"/>
        <w:keepLines w:val="0"/>
        <w:pageBreakBefore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rPr>
        <w:t>投标报价采用综合单价法，</w:t>
      </w:r>
      <w:r>
        <w:rPr>
          <w:rFonts w:hint="eastAsia" w:ascii="宋体" w:hAnsi="宋体" w:eastAsia="宋体" w:cs="宋体"/>
          <w:b/>
          <w:bCs/>
          <w:color w:val="auto"/>
          <w:sz w:val="21"/>
          <w:szCs w:val="21"/>
          <w:highlight w:val="none"/>
        </w:rPr>
        <w:t>综合单价包括：</w:t>
      </w:r>
      <w:r>
        <w:rPr>
          <w:rFonts w:hint="eastAsia" w:ascii="宋体" w:hAnsi="宋体" w:eastAsia="宋体" w:cs="宋体"/>
          <w:b/>
          <w:bCs/>
          <w:color w:val="auto"/>
          <w:sz w:val="21"/>
          <w:szCs w:val="21"/>
          <w:highlight w:val="none"/>
          <w:lang w:val="en-US" w:eastAsia="zh-CN"/>
        </w:rPr>
        <w:t>设备费、</w:t>
      </w:r>
      <w:r>
        <w:rPr>
          <w:rFonts w:hint="eastAsia" w:ascii="宋体" w:hAnsi="宋体" w:eastAsia="宋体" w:cs="宋体"/>
          <w:b/>
          <w:bCs/>
          <w:color w:val="auto"/>
          <w:sz w:val="21"/>
          <w:szCs w:val="21"/>
          <w:highlight w:val="none"/>
        </w:rPr>
        <w:t>材料费</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主材和辅材）</w:t>
      </w:r>
      <w:r>
        <w:rPr>
          <w:rFonts w:hint="eastAsia" w:ascii="宋体" w:hAnsi="宋体" w:eastAsia="宋体" w:cs="宋体"/>
          <w:b/>
          <w:bCs/>
          <w:color w:val="auto"/>
          <w:sz w:val="21"/>
          <w:szCs w:val="21"/>
          <w:highlight w:val="none"/>
        </w:rPr>
        <w:t>、装卸费、运输费、</w:t>
      </w:r>
      <w:r>
        <w:rPr>
          <w:rFonts w:hint="eastAsia" w:ascii="宋体" w:hAnsi="宋体" w:eastAsia="宋体" w:cs="宋体"/>
          <w:b/>
          <w:bCs/>
          <w:color w:val="auto"/>
          <w:sz w:val="21"/>
          <w:szCs w:val="21"/>
          <w:highlight w:val="none"/>
          <w:lang w:val="en-US" w:eastAsia="zh-CN"/>
        </w:rPr>
        <w:t>安装费、</w:t>
      </w:r>
      <w:r>
        <w:rPr>
          <w:rFonts w:hint="eastAsia" w:ascii="宋体" w:hAnsi="宋体" w:cs="宋体"/>
          <w:b/>
          <w:bCs/>
          <w:color w:val="auto"/>
          <w:szCs w:val="21"/>
          <w:highlight w:val="none"/>
          <w:lang w:val="en-US" w:eastAsia="zh-CN"/>
        </w:rPr>
        <w:t>实施过程中所需第三方检测等费用、</w:t>
      </w:r>
      <w:r>
        <w:rPr>
          <w:rFonts w:hint="eastAsia" w:ascii="宋体" w:hAnsi="宋体" w:eastAsia="宋体" w:cs="宋体"/>
          <w:b/>
          <w:bCs/>
          <w:color w:val="auto"/>
          <w:sz w:val="21"/>
          <w:szCs w:val="21"/>
          <w:highlight w:val="none"/>
        </w:rPr>
        <w:t>管理费、利润、风险费用、招标代理费、</w:t>
      </w:r>
      <w:r>
        <w:rPr>
          <w:rFonts w:hint="eastAsia" w:ascii="宋体" w:hAnsi="宋体" w:eastAsia="宋体" w:cs="宋体"/>
          <w:b/>
          <w:bCs/>
          <w:color w:val="auto"/>
          <w:sz w:val="21"/>
          <w:szCs w:val="21"/>
          <w:highlight w:val="none"/>
          <w:lang w:eastAsia="zh-CN"/>
        </w:rPr>
        <w:t>检测费、</w:t>
      </w:r>
      <w:r>
        <w:rPr>
          <w:rFonts w:hint="eastAsia" w:ascii="宋体" w:hAnsi="宋体" w:eastAsia="宋体" w:cs="宋体"/>
          <w:b/>
          <w:bCs/>
          <w:color w:val="auto"/>
          <w:sz w:val="21"/>
          <w:szCs w:val="21"/>
          <w:highlight w:val="none"/>
        </w:rPr>
        <w:t>调试、验收、</w:t>
      </w:r>
      <w:r>
        <w:rPr>
          <w:rFonts w:hint="eastAsia" w:ascii="宋体" w:hAnsi="宋体" w:eastAsia="宋体" w:cs="宋体"/>
          <w:b/>
          <w:bCs/>
          <w:color w:val="auto"/>
          <w:sz w:val="21"/>
          <w:szCs w:val="21"/>
          <w:highlight w:val="none"/>
          <w:lang w:val="en-US" w:eastAsia="zh-CN"/>
        </w:rPr>
        <w:t>评审、</w:t>
      </w:r>
      <w:r>
        <w:rPr>
          <w:rFonts w:hint="eastAsia" w:ascii="宋体" w:hAnsi="宋体" w:eastAsia="宋体" w:cs="宋体"/>
          <w:b/>
          <w:bCs/>
          <w:color w:val="auto"/>
          <w:sz w:val="21"/>
          <w:szCs w:val="21"/>
          <w:highlight w:val="none"/>
        </w:rPr>
        <w:t>培训及后期服务及国家对中标单位征收的各种税费等所有一切费用，综合单价今后将不作任何调整。</w:t>
      </w:r>
    </w:p>
    <w:p>
      <w:pPr>
        <w:spacing w:line="360" w:lineRule="auto"/>
        <w:rPr>
          <w:rFonts w:hint="eastAsia" w:ascii="宋体"/>
          <w:color w:val="auto"/>
          <w:sz w:val="24"/>
          <w:highlight w:val="none"/>
        </w:rPr>
      </w:pPr>
    </w:p>
    <w:p>
      <w:pPr>
        <w:spacing w:line="360" w:lineRule="auto"/>
        <w:rPr>
          <w:rFonts w:hint="eastAsia" w:ascii="宋体"/>
          <w:color w:val="auto"/>
          <w:sz w:val="24"/>
          <w:highlight w:val="none"/>
        </w:rPr>
      </w:pPr>
    </w:p>
    <w:p>
      <w:pPr>
        <w:spacing w:line="360" w:lineRule="auto"/>
        <w:rPr>
          <w:rFonts w:hint="eastAsia" w:ascii="宋体"/>
          <w:color w:val="auto"/>
          <w:sz w:val="24"/>
          <w:highlight w:val="none"/>
        </w:rPr>
      </w:pPr>
    </w:p>
    <w:p>
      <w:pPr>
        <w:spacing w:line="360" w:lineRule="auto"/>
        <w:rPr>
          <w:rFonts w:hint="eastAsia" w:ascii="宋体"/>
          <w:color w:val="auto"/>
          <w:sz w:val="24"/>
          <w:highlight w:val="none"/>
        </w:rPr>
      </w:pPr>
      <w:r>
        <w:rPr>
          <w:rFonts w:hint="eastAsia" w:ascii="宋体"/>
          <w:color w:val="auto"/>
          <w:sz w:val="24"/>
          <w:highlight w:val="none"/>
        </w:rPr>
        <w:t>投标人名称（盖单位章）：</w:t>
      </w:r>
      <w:r>
        <w:rPr>
          <w:rFonts w:hint="eastAsia" w:ascii="宋体"/>
          <w:color w:val="auto"/>
          <w:sz w:val="24"/>
          <w:highlight w:val="none"/>
          <w:u w:val="single"/>
        </w:rPr>
        <w:t xml:space="preserve">                                </w:t>
      </w:r>
    </w:p>
    <w:p>
      <w:pPr>
        <w:spacing w:line="360" w:lineRule="auto"/>
        <w:rPr>
          <w:rFonts w:hint="default" w:ascii="宋体" w:eastAsia="宋体"/>
          <w:color w:val="auto"/>
          <w:sz w:val="24"/>
          <w:highlight w:val="none"/>
          <w:u w:val="single"/>
          <w:lang w:val="en-US" w:eastAsia="zh-CN"/>
        </w:rPr>
      </w:pPr>
      <w:r>
        <w:rPr>
          <w:rFonts w:hint="eastAsia" w:ascii="宋体"/>
          <w:color w:val="auto"/>
          <w:sz w:val="24"/>
          <w:highlight w:val="none"/>
        </w:rPr>
        <w:t>法定代表人 (签章)：</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p>
    <w:p>
      <w:pPr>
        <w:spacing w:line="400" w:lineRule="exact"/>
        <w:rPr>
          <w:rFonts w:hint="eastAsia" w:ascii="宋体"/>
          <w:b/>
          <w:color w:val="auto"/>
          <w:szCs w:val="21"/>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pPr>
        <w:pStyle w:val="23"/>
        <w:widowControl/>
        <w:spacing w:before="0" w:beforeAutospacing="0" w:after="0" w:afterAutospacing="0" w:line="375" w:lineRule="atLeast"/>
        <w:ind w:left="0" w:right="0"/>
        <w:jc w:val="center"/>
        <w:outlineLvl w:val="0"/>
        <w:rPr>
          <w:b/>
          <w:bCs w:val="0"/>
          <w:sz w:val="32"/>
          <w:szCs w:val="32"/>
          <w:highlight w:val="none"/>
          <w:lang w:eastAsia="zh-CN"/>
        </w:rPr>
      </w:pPr>
    </w:p>
    <w:p>
      <w:pPr>
        <w:pStyle w:val="23"/>
        <w:widowControl/>
        <w:spacing w:before="0" w:beforeAutospacing="0" w:after="0" w:afterAutospacing="0" w:line="375" w:lineRule="atLeast"/>
        <w:ind w:left="0" w:right="0"/>
        <w:jc w:val="center"/>
        <w:outlineLvl w:val="0"/>
        <w:rPr>
          <w:b/>
          <w:bCs w:val="0"/>
          <w:sz w:val="32"/>
          <w:szCs w:val="32"/>
          <w:highlight w:val="none"/>
          <w:lang w:eastAsia="zh-CN"/>
        </w:rPr>
      </w:pPr>
    </w:p>
    <w:p>
      <w:pPr>
        <w:pStyle w:val="23"/>
        <w:widowControl/>
        <w:spacing w:before="0" w:beforeAutospacing="0" w:after="0" w:afterAutospacing="0" w:line="375" w:lineRule="atLeast"/>
        <w:ind w:left="0" w:right="0"/>
        <w:jc w:val="center"/>
        <w:outlineLvl w:val="0"/>
        <w:rPr>
          <w:b/>
          <w:bCs w:val="0"/>
          <w:sz w:val="32"/>
          <w:szCs w:val="32"/>
          <w:highlight w:val="none"/>
          <w:lang w:eastAsia="zh-CN"/>
        </w:rPr>
      </w:pPr>
    </w:p>
    <w:p>
      <w:pPr>
        <w:pStyle w:val="23"/>
        <w:widowControl/>
        <w:spacing w:before="0" w:beforeAutospacing="0" w:after="0" w:afterAutospacing="0" w:line="375" w:lineRule="atLeast"/>
        <w:ind w:left="0" w:right="0"/>
        <w:jc w:val="center"/>
        <w:outlineLvl w:val="0"/>
        <w:rPr>
          <w:b/>
          <w:bCs w:val="0"/>
          <w:sz w:val="32"/>
          <w:szCs w:val="32"/>
          <w:highlight w:val="none"/>
          <w:lang w:eastAsia="zh-CN"/>
        </w:rPr>
      </w:pPr>
    </w:p>
    <w:p>
      <w:pPr>
        <w:pStyle w:val="23"/>
        <w:widowControl/>
        <w:spacing w:before="0" w:beforeAutospacing="0" w:after="0" w:afterAutospacing="0" w:line="375" w:lineRule="atLeast"/>
        <w:ind w:left="0" w:right="0"/>
        <w:jc w:val="both"/>
        <w:outlineLvl w:val="0"/>
        <w:rPr>
          <w:b/>
          <w:bCs w:val="0"/>
          <w:sz w:val="32"/>
          <w:szCs w:val="32"/>
          <w:highlight w:val="none"/>
          <w:lang w:eastAsia="zh-CN"/>
        </w:rPr>
      </w:pPr>
    </w:p>
    <w:bookmarkEnd w:id="68"/>
    <w:p>
      <w:pPr>
        <w:pStyle w:val="5"/>
        <w:spacing w:before="200" w:after="200" w:line="600" w:lineRule="exact"/>
        <w:jc w:val="center"/>
        <w:rPr>
          <w:rFonts w:hint="eastAsia" w:ascii="黑体" w:hAnsi="黑体" w:eastAsia="黑体"/>
          <w:color w:val="000000"/>
          <w:sz w:val="28"/>
          <w:szCs w:val="28"/>
        </w:rPr>
      </w:pPr>
      <w:bookmarkStart w:id="69" w:name="_Toc95223548"/>
      <w:r>
        <w:rPr>
          <w:rFonts w:hint="eastAsia" w:ascii="黑体" w:hAnsi="黑体" w:eastAsia="黑体"/>
          <w:color w:val="000000"/>
          <w:sz w:val="36"/>
          <w:szCs w:val="28"/>
        </w:rPr>
        <w:t>附件1 关于联合惩戒失信行为加强信用查询管理的通知</w:t>
      </w:r>
      <w:bookmarkEnd w:id="69"/>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一、失信行为联合惩戒的范围和查询渠道</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在我市公共资源交易活动中对存在下列失信行为的投标人、法定代表人及其项目经理（建造师）实施联合惩戒，禁止参与我市公共资源交易活动。</w:t>
      </w: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（一）工程建设项目</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1、“信用中国”网站（www.creditchina.gov.cn）查询以下失信行为：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①投标人被人民法院列入失信被执行人的；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②投标人被税务部门列入重大税收违法案件当事人的；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③投标人被人力资源社会保障主管部门列入拖欠农民工工资“黑名单”的；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④在“信用中国”网站上披露的仍在公示期的严重失信行为的。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2、国家企业信用信息公示系统网站（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HYPERLINK "http://www.gsxt.gov.cn）查询"</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www.gsxt.gov.cn）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①被市场监督管理部门列入经营异常名录或者严重违法企业名单的。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3、滁州市公共资源交易中心网站（http://ggzy.chuzhou.gov.cn/）查询以下失信行为：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①被滁州市县两级公管部门取消在一定期限内的投标资格且在取消期限内的；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②被滁州市县两级公管部门记入不良行为记录或者信用信息记录，且在披露期内的。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4、由竞争主体进行承诺，不进行现场网上信用查询的失信行为：</w:t>
      </w:r>
    </w:p>
    <w:p>
      <w:pPr>
        <w:adjustRightInd w:val="0"/>
        <w:snapToGrid w:val="0"/>
        <w:spacing w:line="560" w:lineRule="exact"/>
        <w:ind w:firstLine="560" w:firstLineChars="200"/>
        <w:rPr>
          <w:rFonts w:hint="eastAsia" w:ascii="仿宋_GB2312" w:hAnsi="宋体" w:eastAsia="仿宋_GB2312" w:cs="楷体"/>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前三年有行贿犯罪行为的单位和个人；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②被滁州市县两级各行业主管部门取消在一定期限内的投标资格且在取消期限内的；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③因拖欠农民工工资被县级及以上有关行政主管部门限制投标资格且在限制期限内的。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④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（二）政府采购项目</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1、“信用中国”网站（www.creditchina.gov.cn）查询以下失信行为：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①投标人被人民法院列入失信被执行人的；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②投标人被税务部门列入重大税收违法案件当事人的；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③在“信用中国”网站上披露的仍在公示期的严重失信行为的。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2、国家企业信用信息公示系统网站（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HYPERLINK "http://www.gsxt.gov.cn）查询"</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www.gsxt.gov.cn）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①被市场监督管理部门列入经营异常名录或者严重违法企业名单的。</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3、中国政府采购网站（</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"http://www.ccgp.gov.cn" </w:instrText>
      </w:r>
      <w:r>
        <w:rPr>
          <w:rFonts w:hint="eastAsia" w:ascii="仿宋_GB2312" w:hAnsi="宋体" w:eastAsia="仿宋_GB2312"/>
          <w:color w:val="000000"/>
          <w:sz w:val="28"/>
          <w:szCs w:val="28"/>
        </w:rPr>
        <w:fldChar w:fldCharType="separate"/>
      </w:r>
      <w:r>
        <w:rPr>
          <w:rStyle w:val="32"/>
          <w:rFonts w:hint="eastAsia" w:ascii="仿宋_GB2312" w:hAnsi="宋体" w:eastAsia="仿宋_GB2312"/>
          <w:color w:val="000000"/>
          <w:sz w:val="28"/>
          <w:szCs w:val="28"/>
        </w:rPr>
        <w:t>www.ccgp.gov.cn</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）查询以下失信行为：</w:t>
      </w:r>
    </w:p>
    <w:p>
      <w:pPr>
        <w:adjustRightInd w:val="0"/>
        <w:snapToGrid w:val="0"/>
        <w:spacing w:line="560" w:lineRule="exact"/>
        <w:ind w:firstLine="560" w:firstLineChars="200"/>
        <w:rPr>
          <w:rFonts w:hint="eastAsia" w:ascii="仿宋_GB2312" w:hAnsi="宋体" w:eastAsia="仿宋_GB2312" w:cs="楷体"/>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政府采购严重违法失信行为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4、由竞争主体进行承诺，不进行现场网上信用查询的失信行为：</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①</w:t>
      </w:r>
      <w:r>
        <w:rPr>
          <w:rFonts w:hint="eastAsia" w:ascii="仿宋_GB2312" w:hAnsi="宋体" w:eastAsia="仿宋_GB2312" w:cs="楷体"/>
          <w:color w:val="000000"/>
          <w:sz w:val="28"/>
          <w:szCs w:val="28"/>
        </w:rPr>
        <w:t>前三年有行贿犯罪行为的单位和个人</w:t>
      </w:r>
      <w:r>
        <w:rPr>
          <w:rFonts w:hint="eastAsia" w:ascii="仿宋_GB2312" w:hAnsi="宋体" w:eastAsia="仿宋_GB2312"/>
          <w:color w:val="000000"/>
          <w:sz w:val="28"/>
          <w:szCs w:val="28"/>
        </w:rPr>
        <w:t>。</w:t>
      </w: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二、在开评标活动中的查询程序</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值。</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值。</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3、项目单位及其委托的代理机构应当做好信用查询结果截图和记录留存。</w:t>
      </w: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三、相关要求</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1、参与公共资源交易活动的竞争主体根据上述范围查询的内容进行自查并承诺，出具《诚信投标承诺书》（诚信投标承诺书包括但不限于上述自查并承诺内容）并注明承诺日期（投标截止时间前5日内）。</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pPr>
        <w:wordWrap w:val="0"/>
        <w:adjustRightInd w:val="0"/>
        <w:snapToGrid w:val="0"/>
        <w:spacing w:line="560" w:lineRule="exact"/>
        <w:ind w:firstLine="560" w:firstLineChars="200"/>
        <w:rPr>
          <w:rFonts w:hint="eastAsia"/>
          <w:color w:val="000000"/>
        </w:rPr>
      </w:pPr>
      <w:r>
        <w:rPr>
          <w:rFonts w:hint="eastAsia" w:ascii="仿宋_GB2312" w:hAnsi="宋体" w:eastAsia="仿宋_GB2312"/>
          <w:color w:val="000000"/>
          <w:sz w:val="28"/>
          <w:szCs w:val="28"/>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rFonts w:ascii="仿宋_GB2312" w:hAnsi="宋体" w:eastAsia="仿宋_GB2312"/>
          <w:color w:val="000000"/>
          <w:sz w:val="28"/>
          <w:szCs w:val="28"/>
        </w:rPr>
        <w:fldChar w:fldCharType="begin"/>
      </w:r>
      <w:r>
        <w:rPr>
          <w:rFonts w:ascii="仿宋_GB2312" w:hAnsi="宋体" w:eastAsia="仿宋_GB2312"/>
          <w:color w:val="000000"/>
          <w:sz w:val="28"/>
          <w:szCs w:val="28"/>
        </w:rPr>
        <w:instrText xml:space="preserve"> HYPERLINK "</w:instrText>
      </w:r>
      <w:r>
        <w:rPr>
          <w:rFonts w:hint="eastAsia" w:ascii="仿宋_GB2312" w:hAnsi="宋体" w:eastAsia="仿宋_GB2312"/>
          <w:color w:val="000000"/>
          <w:sz w:val="28"/>
          <w:szCs w:val="28"/>
        </w:rPr>
        <w:instrText xml:space="preserve">https://credit.ah.gov.cn/xinyong-fuwu/xvbahv/index.html</w:instrText>
      </w:r>
      <w:r>
        <w:rPr>
          <w:rFonts w:ascii="仿宋_GB2312" w:hAnsi="宋体" w:eastAsia="仿宋_GB2312"/>
          <w:color w:val="000000"/>
          <w:sz w:val="28"/>
          <w:szCs w:val="28"/>
        </w:rPr>
        <w:instrText xml:space="preserve">" </w:instrText>
      </w:r>
      <w:r>
        <w:rPr>
          <w:rFonts w:ascii="仿宋_GB2312" w:hAnsi="宋体" w:eastAsia="仿宋_GB2312"/>
          <w:color w:val="000000"/>
          <w:sz w:val="28"/>
          <w:szCs w:val="28"/>
        </w:rPr>
        <w:fldChar w:fldCharType="separate"/>
      </w:r>
      <w:r>
        <w:rPr>
          <w:rStyle w:val="32"/>
          <w:rFonts w:hint="eastAsia" w:ascii="仿宋_GB2312" w:hAnsi="宋体" w:eastAsia="仿宋_GB2312"/>
          <w:color w:val="000000"/>
          <w:sz w:val="28"/>
          <w:szCs w:val="28"/>
        </w:rPr>
        <w:t>https://credit.ah.gov.cn/xinyong-fuwu/xvbahv/index.html</w:t>
      </w:r>
      <w:r>
        <w:rPr>
          <w:rFonts w:ascii="仿宋_GB2312" w:hAnsi="宋体" w:eastAsia="仿宋_GB2312"/>
          <w:color w:val="000000"/>
          <w:sz w:val="28"/>
          <w:szCs w:val="28"/>
        </w:rPr>
        <w:fldChar w:fldCharType="end"/>
      </w:r>
      <w:r>
        <w:rPr>
          <w:rFonts w:hint="eastAsia" w:ascii="仿宋_GB2312" w:hAnsi="宋体" w:eastAsia="仿宋_GB2312"/>
          <w:color w:val="000000"/>
          <w:sz w:val="28"/>
          <w:szCs w:val="28"/>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2、“信用中国”查询的严重失信行为判定依据为各行业主管部门下发的联合惩戒文件中规定的行为（按附件2执行）。</w:t>
      </w:r>
    </w:p>
    <w:p>
      <w:pPr>
        <w:adjustRightInd w:val="0"/>
        <w:snapToGrid w:val="0"/>
        <w:spacing w:line="56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3、资格预审的项目以递交资格预审申请文件截止时间查询为准；资格后审的项目以递交投标文件截止时间查询为准。</w:t>
      </w:r>
    </w:p>
    <w:p>
      <w:pPr>
        <w:pStyle w:val="5"/>
        <w:spacing w:before="200" w:after="200" w:line="600" w:lineRule="exact"/>
        <w:rPr>
          <w:rFonts w:hint="eastAsia" w:ascii="黑体" w:hAnsi="黑体" w:eastAsia="黑体"/>
          <w:color w:val="000000"/>
          <w:sz w:val="36"/>
          <w:szCs w:val="28"/>
        </w:rPr>
      </w:pPr>
      <w:bookmarkStart w:id="70" w:name="_Toc95223549"/>
    </w:p>
    <w:p>
      <w:pPr>
        <w:pStyle w:val="5"/>
        <w:spacing w:before="200" w:after="200" w:line="600" w:lineRule="exact"/>
        <w:jc w:val="center"/>
        <w:rPr>
          <w:rFonts w:hint="eastAsia" w:ascii="黑体" w:hAnsi="黑体" w:eastAsia="黑体"/>
          <w:color w:val="000000"/>
          <w:sz w:val="36"/>
          <w:szCs w:val="28"/>
        </w:rPr>
      </w:pPr>
      <w:r>
        <w:rPr>
          <w:rFonts w:hint="eastAsia" w:ascii="黑体" w:hAnsi="黑体" w:eastAsia="黑体"/>
          <w:color w:val="000000"/>
          <w:sz w:val="36"/>
          <w:szCs w:val="28"/>
        </w:rPr>
        <w:br w:type="page"/>
      </w:r>
      <w:r>
        <w:rPr>
          <w:rFonts w:hint="eastAsia" w:ascii="黑体" w:hAnsi="黑体" w:eastAsia="黑体"/>
          <w:color w:val="000000"/>
          <w:sz w:val="36"/>
          <w:szCs w:val="28"/>
        </w:rPr>
        <w:t>附件2 “信用中国”查询的严重失信行为类别及判定依据</w:t>
      </w:r>
      <w:bookmarkEnd w:id="70"/>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32"/>
          <w:szCs w:val="32"/>
        </w:rPr>
        <w:t>“</w:t>
      </w:r>
      <w:r>
        <w:rPr>
          <w:rFonts w:hint="eastAsia" w:ascii="仿宋_GB2312" w:hAnsi="宋体" w:eastAsia="仿宋_GB2312"/>
          <w:color w:val="000000"/>
          <w:sz w:val="28"/>
          <w:szCs w:val="28"/>
        </w:rPr>
        <w:t>信用中国”查询的严重失信行为判定依据为各行业主管部门下发的联合惩戒文件中规定的行为。下面将部分类别的严重失信行为列举如下：</w:t>
      </w:r>
    </w:p>
    <w:p>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一、安全生产领域严重失信行为：</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（一）发生较大及以上生产安全责任事故，或1年内累计发生3起及以上造成人员死亡的一般生产安全责任事故的；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（二）未按规定取得安全生产许可，擅自开展生产经营建设活动的；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（三）发现重大生产安全事故隐患，或职业病危害严重超标，不及时整改，仍组织从业人员冒险作业的；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（四）采取隐蔽、欺骗或阻碍等方式逃避、对抗安全监管监察的;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（五）被责令停产停业整顿，仍然从事生产经营建设活动的；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（六）瞒报、谎报、迟报生产安全事故的；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（七）矿山、危险化学品、金属冶炼等高危行业建设项目安全设施未经验收合格即投入生产和使用的；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（八）矿山生产经营单位存在超层越界开采、以探代采行为的；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（九）发生事故后，故意破坏事故现场，伪造有关证据资料，妨碍、对抗事故调查，或主要负责人逃逸的；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（十）安全生产和职业健康技术服务机构出具虚假报告或证明，违规转让或出借资质的。</w:t>
      </w:r>
    </w:p>
    <w:p>
      <w:pPr>
        <w:adjustRightInd w:val="0"/>
        <w:snapToGrid w:val="0"/>
        <w:spacing w:line="560" w:lineRule="exact"/>
        <w:ind w:firstLine="645"/>
        <w:jc w:val="left"/>
        <w:rPr>
          <w:rFonts w:hint="eastAsia" w:ascii="仿宋_GB2312" w:eastAsia="仿宋_GB2312"/>
          <w:b/>
          <w:color w:val="000000"/>
          <w:sz w:val="28"/>
          <w:szCs w:val="28"/>
        </w:rPr>
      </w:pPr>
      <w:r>
        <w:rPr>
          <w:rFonts w:hint="eastAsia" w:ascii="仿宋_GB2312" w:hAnsi="宋体" w:eastAsia="仿宋_GB2312"/>
          <w:b/>
          <w:color w:val="000000"/>
          <w:sz w:val="28"/>
          <w:szCs w:val="28"/>
        </w:rPr>
        <w:t>依据：《对安全生产领域失信行为开展联合惩戒的实施办法》</w:t>
      </w:r>
      <w:r>
        <w:rPr>
          <w:rFonts w:hint="eastAsia" w:ascii="仿宋_GB2312" w:eastAsia="仿宋_GB2312"/>
          <w:b/>
          <w:color w:val="000000"/>
          <w:sz w:val="28"/>
          <w:szCs w:val="28"/>
        </w:rPr>
        <w:t>（安监总办〔2017〕49号）第二条</w:t>
      </w:r>
    </w:p>
    <w:p>
      <w:pPr>
        <w:adjustRightInd w:val="0"/>
        <w:snapToGrid w:val="0"/>
        <w:spacing w:line="560" w:lineRule="exact"/>
        <w:ind w:firstLine="645"/>
        <w:jc w:val="left"/>
        <w:rPr>
          <w:rFonts w:hint="eastAsia" w:ascii="仿宋_GB2312" w:hAnsi="宋体" w:eastAsia="仿宋_GB2312"/>
          <w:b/>
          <w:color w:val="000000"/>
          <w:sz w:val="28"/>
          <w:szCs w:val="28"/>
        </w:rPr>
      </w:pPr>
    </w:p>
    <w:p>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二、环境保护领域严重失信行为：</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（一）因为环境违法构成</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"https://baike.sogou.com/m/fullLemma?lid=10403954&amp;g_ut=3"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环境犯罪</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（二）</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"https://baike.sogou.com/m/fullLemma?lid=76033123&amp;g_ut=3"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建设项目环境影响评价</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文件未按规定通过审批，擅自开工建设的；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（三）建设项目环保设施未建成、环保措施未落实、未通过</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"https://baike.sogou.com/m/fullLemma?lid=6470550&amp;g_ut=3"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竣工环保验收</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或者验收不合格，主体工程正式投入生产或者使用的；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（四）建设项目性质、规模、地点、采用的生产工艺或者防治污染、防止生态破坏的措施发生重大变动，未重新报批环境影响评价文件，擅自投入生产或者使用的；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（五）主要污染物排放总量超过控制指标的；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（六）私设暗管或者利用</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"https://baike.sogou.com/m/fullLemma?lid=41657319&amp;g_ut=3"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渗井</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、渗坑、裂隙、溶洞等排放、倾倒、处置水污染物，或者通过私设旁路排放</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"https://baike.sogou.com/m/fullLemma?lid=7758328&amp;g_ut=3"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大气污染物</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（七）非法排放、倾倒、处置危险废物，或者向无</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"https://baike.sogou.com/m/fullLemma?lid=5923292&amp;g_ut=3"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经营许可证</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或者超出经营许可范围的单位或个人提供或者委托其收集、贮存、利用、处置危险废物的；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（八）</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"https://baike.sogou.com/m/fullLemma?lid=167759803&amp;g_ut=3"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环境违法行为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造成集中式生活饮用水水源取水中断的；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（九）环境违法行为对生活饮用水水源保护区、自然保护区、</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"https://baike.sogou.com/m/fullLemma?lid=155199213&amp;g_ut=3"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国家重点生态功能区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、风景名胜区、居住功能区、</w:t>
      </w:r>
      <w:r>
        <w:rPr>
          <w:rFonts w:hint="eastAsia" w:ascii="仿宋_GB2312" w:hAnsi="宋体" w:eastAsia="仿宋_GB2312"/>
          <w:color w:val="000000"/>
          <w:sz w:val="28"/>
          <w:szCs w:val="28"/>
        </w:rPr>
        <w:fldChar w:fldCharType="begin"/>
      </w:r>
      <w:r>
        <w:rPr>
          <w:rFonts w:hint="eastAsia" w:ascii="仿宋_GB2312" w:hAnsi="宋体" w:eastAsia="仿宋_GB2312"/>
          <w:color w:val="000000"/>
          <w:sz w:val="28"/>
          <w:szCs w:val="28"/>
        </w:rPr>
        <w:instrText xml:space="preserve"> HYPERLINK "https://baike.sogou.com/m/fullLemma?lid=7757164&amp;g_ut=3" \t "https://baike.sogou.com/m/_blank" </w:instrText>
      </w:r>
      <w:r>
        <w:rPr>
          <w:rFonts w:hint="eastAsia" w:ascii="仿宋_GB2312" w:hAnsi="宋体" w:eastAsia="仿宋_GB2312"/>
          <w:color w:val="000000"/>
          <w:sz w:val="28"/>
          <w:szCs w:val="28"/>
        </w:rPr>
        <w:fldChar w:fldCharType="separate"/>
      </w:r>
      <w:r>
        <w:rPr>
          <w:rFonts w:hint="eastAsia" w:ascii="仿宋_GB2312" w:hAnsi="宋体" w:eastAsia="仿宋_GB2312"/>
          <w:color w:val="000000"/>
          <w:sz w:val="28"/>
          <w:szCs w:val="28"/>
        </w:rPr>
        <w:t>基本农田保护区</w:t>
      </w:r>
      <w:r>
        <w:rPr>
          <w:rFonts w:hint="eastAsia" w:ascii="仿宋_GB2312" w:hAnsi="宋体" w:eastAsia="仿宋_GB2312"/>
          <w:color w:val="000000"/>
          <w:sz w:val="28"/>
          <w:szCs w:val="28"/>
        </w:rPr>
        <w:fldChar w:fldCharType="end"/>
      </w:r>
      <w:r>
        <w:rPr>
          <w:rFonts w:hint="eastAsia" w:ascii="仿宋_GB2312" w:hAnsi="宋体" w:eastAsia="仿宋_GB2312"/>
          <w:color w:val="000000"/>
          <w:sz w:val="28"/>
          <w:szCs w:val="28"/>
        </w:rPr>
        <w:t>等环境敏感区造成重大不利影响的；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（十）违法从事自然资源开发、交通基础设施建设，以及其他开发建设活动，造成严重生态破坏的；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（十一）发生较大及以上突发环境事件的；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（十二）被环保部门挂牌督办，整改逾期未完成的；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（十三）以暴力、威胁等方式拒绝、阻挠环保部门工作人员现场检查的；</w:t>
      </w:r>
    </w:p>
    <w:p>
      <w:pPr>
        <w:adjustRightInd w:val="0"/>
        <w:snapToGrid w:val="0"/>
        <w:spacing w:line="560" w:lineRule="exact"/>
        <w:ind w:firstLine="645"/>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（十四）违反重污染天气应急预案有关规定，对重污染天气响应不力的。</w:t>
      </w:r>
    </w:p>
    <w:p>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依据：《关于对环境保护领域失信生产经营单位及其有关人员开展联合惩戒的合作备忘录》、《企业环境信用评价办法（试行）》（环发〔2013〕150号）</w:t>
      </w:r>
    </w:p>
    <w:p>
      <w:pPr>
        <w:adjustRightInd w:val="0"/>
        <w:snapToGrid w:val="0"/>
        <w:spacing w:line="560" w:lineRule="exact"/>
        <w:ind w:firstLine="645"/>
        <w:jc w:val="left"/>
        <w:rPr>
          <w:rFonts w:hint="eastAsia" w:ascii="仿宋_GB2312" w:hAnsi="宋体" w:eastAsia="仿宋_GB2312"/>
          <w:b/>
          <w:color w:val="000000"/>
          <w:sz w:val="28"/>
          <w:szCs w:val="28"/>
        </w:rPr>
      </w:pPr>
    </w:p>
    <w:p>
      <w:pPr>
        <w:adjustRightInd w:val="0"/>
        <w:snapToGrid w:val="0"/>
        <w:spacing w:line="560" w:lineRule="exact"/>
        <w:ind w:firstLine="645"/>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三、</w:t>
      </w:r>
      <w:r>
        <w:rPr>
          <w:rFonts w:hint="eastAsia" w:ascii="仿宋_GB2312" w:hAnsi="宋体" w:eastAsia="仿宋_GB2312"/>
          <w:b/>
          <w:bCs/>
          <w:color w:val="000000"/>
          <w:sz w:val="28"/>
          <w:szCs w:val="28"/>
        </w:rPr>
        <w:t>公共资源交易领域严重失信行为</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（一）违反法律规定，必须进行招标的项目而不招标的，将必须进行招标的项目化整为零或者以其他任何方式规避招标的；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（二）招标代理机构违反法律规定，泄露应当保密的与招标投标活动有关的情况和资料的，或者与招标人、投标人串通损害 国家利益、社会公共利益或者他人合法权益的；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（三）招标人以不合理的条件限制或者排斥潜在投标人的，对潜在投标人实行歧视待遇的，强制要求投标人组成联合体共同 投标的，或者限制投标人之间竞争的；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（四）依法必须进行招标的项目的招标人向他人透露已获取招标文件的潜在投标人的名称、数量或者可能影响公平竞争的有 关招标投标的其他情况的，或者泄露标底的；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 xml:space="preserve">（五）投标人相互串通投标或者与招标人串通投标的，投标人以向招标人或者评标委员会成员行贿的手段谋取中标的； </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（六）投标人以他人名义投标或者以其他方式弄虚作假，骗取中标的；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（七）依法必须进行招标的项目，招标人违反法律规定，与投标人就投标价格、投标方案等实质性内容进行谈判的；</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（九）招标人在评标委员会依法推荐的中标候选人以外确定中标人的，依法必须进行招标的项目在所有投标被评标委员会否 决后自行确定中标人的；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（十）中标人将中标项目转让给他人的，将中标项目肢解后分别转让给他人的，违反法律规定将中标项目的部分主体、关键 性工作分包给他人的，或者分包人再次分包的；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（十一）招标人与中标人不按照招标文件和中标人的投标文件订立合同的，或者招标人、中标人订立背离合同实质性内容的 协议的；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（十二）中标人不按照与招标人订立的合同履行义务，情节严重的；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 （十五）采购人对应当实行集中采购的政府采购项目，不委托集中采购机构实行集中采购的；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（十六）采购人、采购代理机构违反法律规定隐匿、销毁应当保存的采购文件或者伪造、变造采购文件的； </w:t>
      </w:r>
    </w:p>
    <w:p>
      <w:pPr>
        <w:adjustRightInd w:val="0"/>
        <w:snapToGrid w:val="0"/>
        <w:spacing w:line="560" w:lineRule="exact"/>
        <w:ind w:firstLine="645"/>
        <w:jc w:val="left"/>
        <w:rPr>
          <w:rFonts w:hint="eastAsia" w:ascii="仿宋_GB2312" w:eastAsia="仿宋_GB2312"/>
          <w:color w:val="000000"/>
          <w:sz w:val="28"/>
          <w:szCs w:val="28"/>
        </w:rPr>
      </w:pPr>
      <w:r>
        <w:rPr>
          <w:rFonts w:hint="eastAsia" w:ascii="仿宋_GB2312" w:eastAsia="仿宋_GB2312"/>
          <w:color w:val="000000"/>
          <w:sz w:val="28"/>
          <w:szCs w:val="28"/>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（十八）疫苗生产企业向县级疾病预防控制机构以外的单位或者个人销售第二类疫苗的； </w:t>
      </w:r>
    </w:p>
    <w:p>
      <w:pPr>
        <w:adjustRightInd w:val="0"/>
        <w:snapToGrid w:val="0"/>
        <w:spacing w:line="560" w:lineRule="exact"/>
        <w:ind w:left="141" w:leftChars="67" w:firstLine="420" w:firstLineChars="150"/>
        <w:jc w:val="left"/>
        <w:rPr>
          <w:rFonts w:hint="eastAsia" w:ascii="仿宋_GB2312" w:hAnsi="宋体" w:eastAsia="仿宋_GB2312"/>
          <w:color w:val="000000"/>
          <w:sz w:val="28"/>
          <w:szCs w:val="28"/>
        </w:rPr>
      </w:pPr>
      <w:r>
        <w:rPr>
          <w:rFonts w:hint="eastAsia" w:ascii="仿宋_GB2312" w:eastAsia="仿宋_GB2312"/>
          <w:color w:val="000000"/>
          <w:sz w:val="28"/>
          <w:szCs w:val="28"/>
        </w:rPr>
        <w:t>（十九）存在其他违反公共资源交易法律法规行为的。</w:t>
      </w:r>
    </w:p>
    <w:p>
      <w:pPr>
        <w:adjustRightInd w:val="0"/>
        <w:snapToGrid w:val="0"/>
        <w:spacing w:line="560" w:lineRule="exact"/>
        <w:ind w:firstLine="894" w:firstLineChars="318"/>
        <w:jc w:val="left"/>
        <w:rPr>
          <w:rFonts w:hint="eastAsia" w:ascii="仿宋_GB2312" w:hAnsi="宋体" w:eastAsia="仿宋_GB2312"/>
          <w:b/>
          <w:color w:val="000000"/>
          <w:sz w:val="28"/>
          <w:szCs w:val="28"/>
        </w:rPr>
      </w:pPr>
      <w:r>
        <w:rPr>
          <w:rFonts w:hint="eastAsia" w:ascii="仿宋_GB2312" w:hAnsi="宋体" w:eastAsia="仿宋_GB2312"/>
          <w:b/>
          <w:color w:val="000000"/>
          <w:sz w:val="28"/>
          <w:szCs w:val="28"/>
        </w:rPr>
        <w:t>依据：《关于对公共资源交易领域严重失信主体开展联合惩戒的备忘录》（发改法规〔2018〕457号）</w:t>
      </w:r>
    </w:p>
    <w:p>
      <w:pPr>
        <w:adjustRightInd w:val="0"/>
        <w:snapToGrid w:val="0"/>
        <w:spacing w:line="560" w:lineRule="exact"/>
        <w:ind w:firstLine="645"/>
        <w:jc w:val="left"/>
        <w:rPr>
          <w:rFonts w:hint="eastAsia" w:ascii="仿宋_GB2312" w:hAnsi="宋体" w:eastAsia="仿宋_GB2312"/>
          <w:color w:val="000000"/>
          <w:sz w:val="28"/>
          <w:szCs w:val="28"/>
        </w:rPr>
      </w:pPr>
    </w:p>
    <w:p>
      <w:pPr>
        <w:adjustRightInd w:val="0"/>
        <w:snapToGrid w:val="0"/>
        <w:spacing w:line="560" w:lineRule="exact"/>
        <w:ind w:firstLine="645"/>
        <w:jc w:val="left"/>
        <w:rPr>
          <w:rFonts w:hint="eastAsia" w:ascii="仿宋_GB2312" w:hAnsi="宋体" w:eastAsia="仿宋_GB2312"/>
          <w:b/>
          <w:bCs/>
          <w:color w:val="000000"/>
          <w:sz w:val="28"/>
          <w:szCs w:val="28"/>
        </w:rPr>
      </w:pPr>
      <w:r>
        <w:rPr>
          <w:rFonts w:hint="eastAsia" w:ascii="仿宋_GB2312" w:hAnsi="宋体" w:eastAsia="仿宋_GB2312"/>
          <w:b/>
          <w:color w:val="000000"/>
          <w:sz w:val="28"/>
          <w:szCs w:val="28"/>
        </w:rPr>
        <w:t>四、</w:t>
      </w:r>
      <w:r>
        <w:rPr>
          <w:rFonts w:hint="eastAsia" w:ascii="仿宋_GB2312" w:hAnsi="宋体" w:eastAsia="仿宋_GB2312"/>
          <w:b/>
          <w:bCs/>
          <w:color w:val="000000"/>
          <w:sz w:val="28"/>
          <w:szCs w:val="28"/>
        </w:rPr>
        <w:t>社会保险领域严重失信行为</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（一）用人单位未按相关规定参加社会保险且拒不整改的；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（二）用人单位未如实申报社会保险缴费基数且拒不整改的；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（三）应缴纳社会保险费却拒不缴纳的；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（四）隐匿、转移、侵占、挪用社会保险费款、基金或者违规投资运营的；</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（五）以欺诈、伪造证明材料或者其他手段参加、申报社会保险和骗取社会保险基金支出或社会保险待遇的；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（六）非法获取、出售或变相交易社会保险个人权益数据的；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（七）社会保险服务机构违反服务协议或相关规定的；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 xml:space="preserve">（八）拒绝协助社会保险行政部门、经办机构对事故和问题进 行调查核实的；拒绝接受或协助税务部门对社会保险实施监督检查， 不如实提供与社会保险相关各项资料的； </w:t>
      </w:r>
    </w:p>
    <w:p>
      <w:pPr>
        <w:adjustRightInd w:val="0"/>
        <w:snapToGrid w:val="0"/>
        <w:spacing w:line="560" w:lineRule="exact"/>
        <w:ind w:left="141" w:leftChars="67" w:firstLine="420" w:firstLineChars="150"/>
        <w:jc w:val="left"/>
        <w:rPr>
          <w:rFonts w:hint="eastAsia" w:ascii="仿宋_GB2312" w:eastAsia="仿宋_GB2312"/>
          <w:color w:val="000000"/>
          <w:sz w:val="28"/>
          <w:szCs w:val="28"/>
        </w:rPr>
      </w:pPr>
      <w:r>
        <w:rPr>
          <w:rFonts w:hint="eastAsia" w:ascii="仿宋_GB2312" w:eastAsia="仿宋_GB2312"/>
          <w:color w:val="000000"/>
          <w:sz w:val="28"/>
          <w:szCs w:val="28"/>
        </w:rPr>
        <w:t>（九）其他违反法律法规规定的。</w:t>
      </w:r>
    </w:p>
    <w:p>
      <w:pPr>
        <w:adjustRightInd w:val="0"/>
        <w:snapToGrid w:val="0"/>
        <w:spacing w:line="560" w:lineRule="exact"/>
        <w:ind w:firstLine="551" w:firstLineChars="196"/>
        <w:jc w:val="left"/>
        <w:rPr>
          <w:rFonts w:hint="eastAsia" w:ascii="仿宋_GB2312" w:eastAsia="仿宋_GB2312"/>
          <w:color w:val="000000"/>
          <w:sz w:val="28"/>
          <w:szCs w:val="28"/>
        </w:rPr>
      </w:pPr>
      <w:r>
        <w:rPr>
          <w:rFonts w:hint="eastAsia" w:ascii="仿宋_GB2312" w:eastAsia="仿宋_GB2312"/>
          <w:b/>
          <w:color w:val="000000"/>
          <w:sz w:val="28"/>
          <w:szCs w:val="28"/>
        </w:rPr>
        <w:t>依据：《关于对社会保险领域严重失信企业及其有关人员实施联合惩戒的合作备忘录》（发改财金〔2018〕1704号）</w:t>
      </w:r>
    </w:p>
    <w:p>
      <w:pPr>
        <w:adjustRightInd w:val="0"/>
        <w:snapToGrid w:val="0"/>
        <w:spacing w:line="560" w:lineRule="exact"/>
        <w:jc w:val="left"/>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     </w:t>
      </w:r>
    </w:p>
    <w:p>
      <w:pPr>
        <w:adjustRightInd w:val="0"/>
        <w:snapToGrid w:val="0"/>
        <w:spacing w:line="560" w:lineRule="exact"/>
        <w:ind w:firstLine="562" w:firstLineChars="200"/>
        <w:jc w:val="left"/>
        <w:rPr>
          <w:rFonts w:hint="eastAsia" w:ascii="仿宋_GB2312" w:hAnsi="宋体" w:eastAsia="仿宋_GB2312"/>
          <w:b/>
          <w:bCs/>
          <w:color w:val="000000"/>
          <w:sz w:val="28"/>
          <w:szCs w:val="28"/>
        </w:rPr>
      </w:pPr>
      <w:r>
        <w:rPr>
          <w:rFonts w:hint="eastAsia" w:ascii="仿宋_GB2312" w:hAnsi="宋体" w:eastAsia="仿宋_GB2312"/>
          <w:b/>
          <w:color w:val="000000"/>
          <w:sz w:val="28"/>
          <w:szCs w:val="28"/>
        </w:rPr>
        <w:t>五、建筑市场领域</w:t>
      </w:r>
      <w:r>
        <w:rPr>
          <w:rFonts w:hint="eastAsia" w:ascii="仿宋_GB2312" w:hAnsi="宋体" w:eastAsia="仿宋_GB2312"/>
          <w:b/>
          <w:bCs/>
          <w:color w:val="000000"/>
          <w:sz w:val="28"/>
          <w:szCs w:val="28"/>
        </w:rPr>
        <w:t>严重失信行为</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（一）利用虚假材料、以欺骗手段取得企业资质的；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（二）发生转包、出借资质，受到行政处罚的；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（三）发生重大及以上工程质量安全事故，或1年内累计发生2次及以上较大工程质量安全事故，或发生性质恶劣、危害性严重、社会影响大的较大工程质量安全事故，受到行政处罚的；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（四）经法院判决或仲裁机构裁决，认定为拖欠工程款,且拒不履行生效法律文书确定的义务的。</w:t>
      </w:r>
    </w:p>
    <w:p>
      <w:pPr>
        <w:adjustRightInd w:val="0"/>
        <w:snapToGrid w:val="0"/>
        <w:spacing w:line="560" w:lineRule="exact"/>
        <w:ind w:firstLine="560" w:firstLineChars="200"/>
        <w:jc w:val="left"/>
        <w:rPr>
          <w:rFonts w:hint="eastAsia" w:ascii="仿宋_GB2312" w:eastAsia="仿宋_GB2312"/>
          <w:color w:val="000000"/>
          <w:sz w:val="28"/>
          <w:szCs w:val="28"/>
        </w:rPr>
      </w:pPr>
      <w:r>
        <w:rPr>
          <w:rFonts w:hint="eastAsia" w:ascii="仿宋_GB2312" w:eastAsia="仿宋_GB2312"/>
          <w:color w:val="000000"/>
          <w:sz w:val="28"/>
          <w:szCs w:val="28"/>
        </w:rPr>
        <w:t>各级住房城乡建设主管部门应当参照建筑市场主体“黑名单”，对被人力资源社会保障行政部门列入拖欠农民工工资“黑名单”的建筑市场各方主体加强监管。</w:t>
      </w:r>
    </w:p>
    <w:p>
      <w:pPr>
        <w:ind w:firstLine="562" w:firstLineChars="200"/>
        <w:jc w:val="left"/>
        <w:rPr>
          <w:rFonts w:hint="eastAsia" w:ascii="宋体" w:hAnsi="宋体"/>
          <w:color w:val="000000"/>
          <w:sz w:val="28"/>
          <w:szCs w:val="28"/>
        </w:rPr>
      </w:pPr>
      <w:r>
        <w:rPr>
          <w:rFonts w:hint="eastAsia" w:ascii="仿宋_GB2312" w:eastAsia="仿宋_GB2312"/>
          <w:b/>
          <w:color w:val="000000"/>
          <w:sz w:val="28"/>
          <w:szCs w:val="28"/>
        </w:rPr>
        <w:t>依据：《建筑市场信用管理暂行办法》（建市〔2017〕241号）</w:t>
      </w:r>
    </w:p>
    <w:p>
      <w:pPr>
        <w:adjustRightInd w:val="0"/>
        <w:snapToGrid w:val="0"/>
        <w:spacing w:line="560" w:lineRule="exact"/>
        <w:rPr>
          <w:rFonts w:hint="eastAsia" w:ascii="仿宋_GB2312" w:hAnsi="宋体" w:eastAsia="仿宋_GB2312"/>
          <w:b/>
          <w:color w:val="000000"/>
          <w:sz w:val="28"/>
          <w:szCs w:val="28"/>
        </w:rPr>
      </w:pP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六、政府采购严重失信行为</w:t>
      </w:r>
    </w:p>
    <w:p>
      <w:pPr>
        <w:adjustRightInd w:val="0"/>
        <w:snapToGrid w:val="0"/>
        <w:spacing w:line="560" w:lineRule="exact"/>
        <w:ind w:firstLine="615"/>
        <w:rPr>
          <w:rFonts w:hint="eastAsia" w:ascii="仿宋_GB2312" w:eastAsia="仿宋_GB2312"/>
          <w:color w:val="000000"/>
          <w:sz w:val="28"/>
          <w:szCs w:val="28"/>
        </w:rPr>
      </w:pPr>
      <w:r>
        <w:rPr>
          <w:rFonts w:hint="eastAsia" w:ascii="仿宋_GB2312" w:eastAsia="仿宋_GB2312"/>
          <w:color w:val="000000"/>
          <w:sz w:val="28"/>
          <w:szCs w:val="28"/>
        </w:rPr>
        <w:t>供应商、采购代理机构在三年内受到财政部门作出下列情形之一的行政处罚，列入政府采购严重违法失信行为记录名单。</w:t>
      </w:r>
      <w:r>
        <w:rPr>
          <w:rFonts w:hint="eastAsia" w:ascii="仿宋_GB2312" w:eastAsia="仿宋_GB2312"/>
          <w:color w:val="000000"/>
          <w:sz w:val="28"/>
          <w:szCs w:val="28"/>
        </w:rPr>
        <w:br w:type="textWrapping"/>
      </w:r>
      <w:r>
        <w:rPr>
          <w:rFonts w:hint="eastAsia" w:ascii="仿宋_GB2312" w:eastAsia="仿宋_GB2312"/>
          <w:color w:val="000000"/>
          <w:sz w:val="28"/>
          <w:szCs w:val="28"/>
        </w:rPr>
        <w:t>　　（一）三万元以上罚款；</w:t>
      </w:r>
      <w:r>
        <w:rPr>
          <w:rFonts w:hint="eastAsia" w:ascii="仿宋_GB2312" w:eastAsia="仿宋_GB2312"/>
          <w:color w:val="000000"/>
          <w:sz w:val="28"/>
          <w:szCs w:val="28"/>
        </w:rPr>
        <w:br w:type="textWrapping"/>
      </w:r>
      <w:r>
        <w:rPr>
          <w:rFonts w:hint="eastAsia" w:ascii="仿宋_GB2312" w:eastAsia="仿宋_GB2312"/>
          <w:color w:val="000000"/>
          <w:sz w:val="28"/>
          <w:szCs w:val="28"/>
        </w:rPr>
        <w:t>　　（二）在一至三年内禁止参加政府采购活动（处罚期限届满的除外）；</w:t>
      </w:r>
      <w:r>
        <w:rPr>
          <w:rFonts w:hint="eastAsia" w:ascii="仿宋_GB2312" w:eastAsia="仿宋_GB2312"/>
          <w:color w:val="000000"/>
          <w:sz w:val="28"/>
          <w:szCs w:val="28"/>
        </w:rPr>
        <w:br w:type="textWrapping"/>
      </w:r>
      <w:r>
        <w:rPr>
          <w:rFonts w:hint="eastAsia" w:ascii="仿宋_GB2312" w:eastAsia="仿宋_GB2312"/>
          <w:color w:val="000000"/>
          <w:sz w:val="28"/>
          <w:szCs w:val="28"/>
        </w:rPr>
        <w:t>　　（三）在一至三年内禁止代理政府采购业务（处罚期限届满的除外）；</w:t>
      </w:r>
      <w:r>
        <w:rPr>
          <w:rFonts w:hint="eastAsia" w:ascii="仿宋_GB2312" w:eastAsia="仿宋_GB2312"/>
          <w:color w:val="000000"/>
          <w:sz w:val="28"/>
          <w:szCs w:val="28"/>
        </w:rPr>
        <w:br w:type="textWrapping"/>
      </w:r>
      <w:r>
        <w:rPr>
          <w:rFonts w:hint="eastAsia" w:ascii="仿宋_GB2312" w:hAnsi="宋体" w:eastAsia="仿宋_GB2312"/>
          <w:color w:val="000000"/>
          <w:sz w:val="28"/>
          <w:szCs w:val="28"/>
        </w:rPr>
        <w:t xml:space="preserve">　 </w:t>
      </w:r>
      <w:r>
        <w:rPr>
          <w:rFonts w:hint="eastAsia" w:ascii="仿宋_GB2312" w:eastAsia="仿宋_GB2312"/>
          <w:color w:val="000000"/>
          <w:sz w:val="28"/>
          <w:szCs w:val="28"/>
        </w:rPr>
        <w:t>（四）撤销政府采购代理机构资格（仅针对《政府采购法》第78条修改前作出的处罚决定）。</w:t>
      </w:r>
    </w:p>
    <w:p>
      <w:pPr>
        <w:adjustRightInd w:val="0"/>
        <w:snapToGrid w:val="0"/>
        <w:spacing w:line="560" w:lineRule="exact"/>
        <w:ind w:firstLine="562" w:firstLineChars="200"/>
        <w:jc w:val="left"/>
        <w:rPr>
          <w:rFonts w:hint="eastAsia" w:ascii="仿宋_GB2312" w:eastAsia="仿宋_GB2312"/>
          <w:b/>
          <w:color w:val="000000"/>
          <w:sz w:val="28"/>
          <w:szCs w:val="28"/>
        </w:rPr>
      </w:pPr>
      <w:r>
        <w:rPr>
          <w:rFonts w:hint="eastAsia" w:ascii="仿宋_GB2312" w:eastAsia="仿宋_GB2312"/>
          <w:b/>
          <w:color w:val="000000"/>
          <w:sz w:val="28"/>
          <w:szCs w:val="28"/>
        </w:rPr>
        <w:t>依据：《关于报送政府采购严重违法失信行为信息记录的通知》</w:t>
      </w:r>
      <w:r>
        <w:rPr>
          <w:b/>
          <w:color w:val="000000"/>
          <w:sz w:val="28"/>
          <w:szCs w:val="28"/>
        </w:rPr>
        <w:t>（</w:t>
      </w:r>
      <w:r>
        <w:rPr>
          <w:rFonts w:hint="eastAsia"/>
          <w:b/>
          <w:color w:val="000000"/>
          <w:sz w:val="28"/>
          <w:szCs w:val="28"/>
        </w:rPr>
        <w:t>财办库〔</w:t>
      </w:r>
      <w:r>
        <w:rPr>
          <w:b/>
          <w:color w:val="000000"/>
          <w:sz w:val="28"/>
          <w:szCs w:val="28"/>
        </w:rPr>
        <w:t>201</w:t>
      </w:r>
      <w:r>
        <w:rPr>
          <w:rFonts w:hint="eastAsia"/>
          <w:b/>
          <w:color w:val="000000"/>
          <w:sz w:val="28"/>
          <w:szCs w:val="28"/>
        </w:rPr>
        <w:t>4〕526</w:t>
      </w:r>
      <w:r>
        <w:rPr>
          <w:b/>
          <w:color w:val="000000"/>
          <w:sz w:val="28"/>
          <w:szCs w:val="28"/>
        </w:rPr>
        <w:t>号）</w:t>
      </w:r>
    </w:p>
    <w:p>
      <w:pPr>
        <w:adjustRightInd w:val="0"/>
        <w:snapToGrid w:val="0"/>
        <w:spacing w:line="560" w:lineRule="exact"/>
        <w:ind w:firstLine="562" w:firstLineChars="200"/>
        <w:rPr>
          <w:rFonts w:hint="eastAsia" w:ascii="仿宋_GB2312" w:hAnsi="宋体" w:eastAsia="仿宋_GB2312"/>
          <w:b/>
          <w:color w:val="000000"/>
          <w:sz w:val="28"/>
          <w:szCs w:val="28"/>
        </w:rPr>
      </w:pPr>
    </w:p>
    <w:p>
      <w:pPr>
        <w:adjustRightInd w:val="0"/>
        <w:snapToGrid w:val="0"/>
        <w:spacing w:line="560" w:lineRule="exact"/>
        <w:ind w:firstLine="562" w:firstLineChars="200"/>
        <w:rPr>
          <w:rFonts w:hint="eastAsia" w:ascii="仿宋_GB2312" w:hAnsi="宋体" w:eastAsia="仿宋_GB2312"/>
          <w:b/>
          <w:color w:val="000000"/>
          <w:sz w:val="28"/>
          <w:szCs w:val="28"/>
        </w:rPr>
      </w:pPr>
      <w:r>
        <w:rPr>
          <w:rFonts w:hint="eastAsia" w:ascii="仿宋_GB2312" w:hAnsi="宋体" w:eastAsia="仿宋_GB2312"/>
          <w:b/>
          <w:color w:val="000000"/>
          <w:sz w:val="28"/>
          <w:szCs w:val="28"/>
        </w:rPr>
        <w:t>七、水利建设领域严重失信行为</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（一）1年内不良行为记录累计扣分达到20分的；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（二）"重点关注名单"公开期满后仍不整改的；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（三）存在以下严重危害人民群众身体健康、生命安全和工程质量，以及特别严重违规行为之一的：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1.发生重大、特大质量或安全事故，并负有直接责任的；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2.在单位公开信息、工程相关技术成果和工程建设过程中隐瞒真实情况、弄虚作假，提供虚假材料，谋取不正当利益的；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3.违反有关法律、法规、规章、政策、技术标准、设计文件、合同等有关规定开展工作造成的工程质量问题，经处理后仍影响工程正常使用或减少工程使用寿命的；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4.违反规定施工，造成生态环境严重破坏且拒不修复的；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5.被证实恶意制造工程质量缺陷或质量隐患的；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6.其他违反法律法规，造成严重后果或社会危害较大的。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（四）存在以下严重破坏市场公平竞争秩序和社会正常秩序行为之一的：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1.不按合同约定，恶意拖欠承包人项目款的；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2.隐瞒有关情况或者提供虚假材料申请资质的，在全国水利建设市场监管服务平台公开虚假信息的，以欺骗、贿赂等不正当手段取得资质等级证书的；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3.出借、借用资质证书,允许他人以本单位名义或借用他人名义等弄虚作假方式承揽业务的；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4.未取得相应资质或超越资质证书核定范围、营业范围承揽业务的；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5.操纵招标过程，谋取不正当利益的；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6.与招标人或投标人串通投标的；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7.以向招标人或评标委员会成员行贿的手段谋取中标的；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8.中标后，无正当理由不签订合同的；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9.转包或违法分包所承揽业务的；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10.弄虚作假，以欺诈手段降低工程或设备质量的；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11.单位行贿、受贿，受到刑事处罚的；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12.逃税骗税、恶意逃废债务的；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13.参与非法集资，受到刑事处罚的；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14.在签订、履行合同过程中，存在合同欺诈行为，受到刑事处罚的；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15.虚构工程项目，套取资金的；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16.克扣、无故拖欠农民工工资报酬，数额达到认定拒不支付劳动报酬罪数额标准的；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17.发生社会公共事件，影响较大，并负有直接责任的。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（五）存在以下拒不履行法定义务，严重影响司法机关、行政机关公信力行为之一的：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1.发生事故拒绝接受调查或拒绝提供有关资料的；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2.拒不执行生效的行政处罚决定的；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3.拒不执行仲裁、法院判决结果的。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（六）被相关联合惩戒部门列入"黑名单"，符合联合惩戒措施的。</w:t>
      </w:r>
    </w:p>
    <w:p>
      <w:pPr>
        <w:adjustRightInd w:val="0"/>
        <w:snapToGrid w:val="0"/>
        <w:spacing w:line="56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生产建设项目水土保持市场主体"黑名单"列入标准见《水利建设市场主体信用信息管理办法》附件。</w:t>
      </w:r>
    </w:p>
    <w:p>
      <w:pPr>
        <w:adjustRightInd w:val="0"/>
        <w:snapToGrid w:val="0"/>
        <w:spacing w:line="560" w:lineRule="exact"/>
        <w:ind w:firstLine="615"/>
        <w:rPr>
          <w:rFonts w:hint="eastAsia" w:ascii="仿宋_GB2312" w:eastAsia="仿宋_GB2312"/>
          <w:color w:val="000000"/>
          <w:sz w:val="28"/>
          <w:szCs w:val="28"/>
        </w:rPr>
      </w:pPr>
      <w:r>
        <w:rPr>
          <w:rFonts w:hint="eastAsia" w:ascii="仿宋_GB2312" w:eastAsia="仿宋_GB2312"/>
          <w:color w:val="000000"/>
          <w:sz w:val="28"/>
          <w:szCs w:val="28"/>
        </w:rPr>
        <w:t>依据：《水利建设市场主体信用评价管理办法》水建设〔2019〕307号、《水利建设市场主体信用信息管理办法》水建设〔2019〕306号</w:t>
      </w:r>
    </w:p>
    <w:p>
      <w:pPr>
        <w:adjustRightInd w:val="0"/>
        <w:snapToGrid w:val="0"/>
        <w:spacing w:line="560" w:lineRule="exact"/>
        <w:ind w:firstLine="615"/>
        <w:rPr>
          <w:rFonts w:hint="eastAsia" w:ascii="仿宋_GB2312" w:hAnsi="宋体" w:eastAsia="仿宋_GB2312"/>
          <w:b/>
          <w:color w:val="000000"/>
          <w:sz w:val="28"/>
          <w:szCs w:val="28"/>
        </w:rPr>
      </w:pPr>
    </w:p>
    <w:p>
      <w:pPr>
        <w:ind w:firstLine="615"/>
        <w:rPr>
          <w:rFonts w:hint="eastAsia" w:ascii="仿宋_GB2312" w:hAnsi="宋体" w:eastAsia="仿宋_GB2312"/>
          <w:b/>
          <w:sz w:val="28"/>
          <w:szCs w:val="28"/>
        </w:rPr>
      </w:pPr>
      <w:r>
        <w:rPr>
          <w:rFonts w:hint="eastAsia" w:ascii="仿宋_GB2312" w:hAnsi="宋体" w:eastAsia="仿宋_GB2312"/>
          <w:b/>
          <w:color w:val="000000"/>
          <w:sz w:val="28"/>
          <w:szCs w:val="28"/>
        </w:rPr>
        <w:t>未列出的其他类别严重失信行为，由招标人（代理机构）根据各类别行业主管部门下发的联合惩戒文件进行判</w:t>
      </w:r>
      <w:r>
        <w:rPr>
          <w:rFonts w:hint="eastAsia" w:ascii="仿宋_GB2312" w:hAnsi="宋体" w:eastAsia="仿宋_GB2312"/>
          <w:b/>
          <w:color w:val="000000"/>
          <w:sz w:val="32"/>
          <w:szCs w:val="32"/>
        </w:rPr>
        <w:t>断。</w:t>
      </w: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pPr>
        <w:spacing w:line="440" w:lineRule="exact"/>
        <w:jc w:val="center"/>
        <w:outlineLvl w:val="0"/>
        <w:rPr>
          <w:rFonts w:hint="eastAsia" w:ascii="宋体"/>
          <w:color w:val="auto"/>
          <w:sz w:val="24"/>
          <w:highlight w:val="none"/>
          <w:u w:val="single"/>
        </w:rPr>
      </w:pPr>
      <w:r>
        <w:rPr>
          <w:rFonts w:hint="eastAsia" w:ascii="Times New Roman" w:hAnsi="宋体" w:eastAsia="宋体" w:cs="Times New Roman"/>
          <w:b/>
          <w:bCs/>
          <w:color w:val="auto"/>
          <w:sz w:val="32"/>
          <w:szCs w:val="32"/>
          <w:highlight w:val="none"/>
          <w:lang w:val="en-US" w:eastAsia="zh-CN"/>
        </w:rPr>
        <w:t>第七章  招标单位、招标代理机构对本招标文件的确认</w:t>
      </w:r>
    </w:p>
    <w:tbl>
      <w:tblPr>
        <w:tblStyle w:val="26"/>
        <w:tblpPr w:leftFromText="180" w:rightFromText="180" w:vertAnchor="text" w:horzAnchor="page" w:tblpX="1353" w:tblpY="417"/>
        <w:tblOverlap w:val="never"/>
        <w:tblW w:w="0" w:type="auto"/>
        <w:tblInd w:w="0" w:type="dxa"/>
        <w:tblLayout w:type="fixed"/>
        <w:tblCellMar>
          <w:top w:w="0" w:type="dxa"/>
          <w:left w:w="108" w:type="dxa"/>
          <w:bottom w:w="0" w:type="dxa"/>
          <w:right w:w="108" w:type="dxa"/>
        </w:tblCellMar>
      </w:tblPr>
      <w:tblGrid>
        <w:gridCol w:w="9374"/>
      </w:tblGrid>
      <w:tr>
        <w:tblPrEx>
          <w:tblCellMar>
            <w:top w:w="0" w:type="dxa"/>
            <w:left w:w="108" w:type="dxa"/>
            <w:bottom w:w="0" w:type="dxa"/>
            <w:right w:w="108" w:type="dxa"/>
          </w:tblCellMar>
        </w:tblPrEx>
        <w:trPr>
          <w:trHeight w:val="4493"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440" w:lineRule="exact"/>
              <w:ind w:left="0" w:right="0" w:firstLine="560" w:firstLineChars="200"/>
              <w:rPr>
                <w:rFonts w:hint="eastAsia" w:ascii="宋体" w:cs="宋体"/>
                <w:color w:val="auto"/>
                <w:sz w:val="28"/>
                <w:szCs w:val="28"/>
                <w:highlight w:val="none"/>
              </w:rPr>
            </w:pPr>
          </w:p>
          <w:p>
            <w:pPr>
              <w:keepNext w:val="0"/>
              <w:keepLines w:val="0"/>
              <w:suppressLineNumbers w:val="0"/>
              <w:spacing w:before="0" w:beforeAutospacing="0" w:after="156" w:afterLines="50" w:afterAutospacing="0"/>
              <w:ind w:left="0" w:right="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lang w:eastAsia="zh-CN"/>
              </w:rPr>
              <w:t>安徽省琅琊山旅游发展有限公司漂流艇采购项目</w:t>
            </w:r>
            <w:r>
              <w:rPr>
                <w:rFonts w:hint="eastAsia" w:ascii="宋体" w:cs="宋体"/>
                <w:color w:val="auto"/>
                <w:sz w:val="28"/>
                <w:szCs w:val="28"/>
                <w:highlight w:val="none"/>
              </w:rPr>
              <w:t>的招标文件进行确认。</w:t>
            </w:r>
          </w:p>
          <w:p>
            <w:pPr>
              <w:keepNext w:val="0"/>
              <w:keepLines w:val="0"/>
              <w:suppressLineNumbers w:val="0"/>
              <w:spacing w:before="0" w:beforeAutospacing="0" w:after="0" w:afterAutospacing="0" w:line="540" w:lineRule="exact"/>
              <w:ind w:left="0" w:right="0" w:firstLine="560" w:firstLineChars="200"/>
              <w:rPr>
                <w:rFonts w:hint="eastAsia" w:ascii="宋体" w:hAnsi="Times New Roman" w:eastAsia="宋体" w:cs="宋体"/>
                <w:b w:val="0"/>
                <w:bCs w:val="0"/>
                <w:color w:val="auto"/>
                <w:sz w:val="28"/>
                <w:szCs w:val="28"/>
                <w:highlight w:val="none"/>
                <w:lang w:val="en-US" w:eastAsia="zh-CN"/>
              </w:rPr>
            </w:pPr>
            <w:r>
              <w:rPr>
                <w:rFonts w:hint="eastAsia" w:ascii="宋体" w:cs="宋体"/>
                <w:color w:val="auto"/>
                <w:sz w:val="28"/>
                <w:szCs w:val="28"/>
                <w:highlight w:val="none"/>
                <w:lang w:eastAsia="zh-CN"/>
              </w:rPr>
              <w:t>招标人</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安徽省琅琊山旅游发展有限公司</w:t>
            </w:r>
          </w:p>
          <w:p>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经办人：卞长城</w:t>
            </w:r>
          </w:p>
          <w:p>
            <w:pPr>
              <w:keepNext w:val="0"/>
              <w:keepLines w:val="0"/>
              <w:suppressLineNumbers w:val="0"/>
              <w:spacing w:before="0" w:beforeAutospacing="0" w:after="0" w:afterAutospacing="0" w:line="540" w:lineRule="exact"/>
              <w:ind w:left="0" w:right="0" w:firstLine="560" w:firstLineChars="200"/>
              <w:rPr>
                <w:rFonts w:hint="default"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联系电话：17355083982</w:t>
            </w:r>
          </w:p>
          <w:p>
            <w:pPr>
              <w:keepNext w:val="0"/>
              <w:keepLines w:val="0"/>
              <w:suppressLineNumbers w:val="0"/>
              <w:spacing w:before="0" w:beforeAutospacing="0" w:after="0" w:afterAutospacing="0" w:line="540" w:lineRule="exact"/>
              <w:ind w:left="0" w:right="0" w:firstLine="5600" w:firstLineChars="2000"/>
              <w:rPr>
                <w:rFonts w:hint="eastAsia" w:ascii="宋体" w:cs="宋体"/>
                <w:color w:val="auto"/>
                <w:sz w:val="28"/>
                <w:szCs w:val="28"/>
                <w:highlight w:val="none"/>
              </w:rPr>
            </w:pPr>
          </w:p>
          <w:p>
            <w:pPr>
              <w:keepNext w:val="0"/>
              <w:keepLines w:val="0"/>
              <w:suppressLineNumbers w:val="0"/>
              <w:spacing w:before="0" w:beforeAutospacing="0" w:after="0" w:afterAutospacing="0" w:line="540" w:lineRule="exact"/>
              <w:ind w:left="0" w:right="0" w:firstLine="6300" w:firstLineChars="2250"/>
              <w:rPr>
                <w:rFonts w:hint="eastAsia" w:ascii="宋体" w:cs="宋体"/>
                <w:color w:val="auto"/>
                <w:sz w:val="28"/>
                <w:szCs w:val="28"/>
                <w:highlight w:val="none"/>
              </w:rPr>
            </w:pPr>
          </w:p>
          <w:p>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w:t>
            </w:r>
            <w:r>
              <w:rPr>
                <w:rFonts w:hint="eastAsia" w:ascii="宋体" w:cs="宋体"/>
                <w:color w:val="auto"/>
                <w:sz w:val="28"/>
                <w:szCs w:val="28"/>
                <w:highlight w:val="none"/>
                <w:lang w:val="en-US" w:eastAsia="zh-CN"/>
              </w:rPr>
              <w:t>24</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5</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pPr>
              <w:keepNext w:val="0"/>
              <w:keepLines w:val="0"/>
              <w:suppressLineNumbers w:val="0"/>
              <w:spacing w:before="0" w:beforeAutospacing="0" w:after="0" w:afterAutospacing="0" w:line="540" w:lineRule="exact"/>
              <w:ind w:left="0" w:right="0" w:firstLine="5880" w:firstLineChars="2100"/>
              <w:rPr>
                <w:rFonts w:hint="eastAsia" w:ascii="宋体" w:cs="宋体"/>
                <w:color w:val="auto"/>
                <w:sz w:val="28"/>
                <w:szCs w:val="28"/>
                <w:highlight w:val="none"/>
              </w:rPr>
            </w:pPr>
          </w:p>
        </w:tc>
      </w:tr>
      <w:tr>
        <w:tblPrEx>
          <w:tblCellMar>
            <w:top w:w="0" w:type="dxa"/>
            <w:left w:w="108" w:type="dxa"/>
            <w:bottom w:w="0" w:type="dxa"/>
            <w:right w:w="108" w:type="dxa"/>
          </w:tblCellMar>
        </w:tblPrEx>
        <w:trPr>
          <w:trHeight w:val="5310"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440" w:lineRule="exact"/>
              <w:ind w:left="0" w:right="0"/>
              <w:rPr>
                <w:rFonts w:hint="eastAsia" w:ascii="宋体" w:cs="宋体"/>
                <w:color w:val="auto"/>
                <w:sz w:val="28"/>
                <w:szCs w:val="28"/>
                <w:highlight w:val="none"/>
              </w:rPr>
            </w:pPr>
          </w:p>
          <w:p>
            <w:pPr>
              <w:keepNext w:val="0"/>
              <w:keepLines w:val="0"/>
              <w:suppressLineNumbers w:val="0"/>
              <w:spacing w:before="0" w:beforeAutospacing="0" w:after="0" w:afterAutospacing="0" w:line="560" w:lineRule="exact"/>
              <w:ind w:left="0" w:right="0" w:firstLine="560" w:firstLineChars="200"/>
              <w:rPr>
                <w:rFonts w:hint="eastAsia"/>
                <w:color w:val="auto"/>
                <w:sz w:val="28"/>
                <w:szCs w:val="28"/>
                <w:highlight w:val="none"/>
              </w:rPr>
            </w:pPr>
            <w:r>
              <w:rPr>
                <w:rFonts w:hint="eastAsia"/>
                <w:color w:val="auto"/>
                <w:sz w:val="28"/>
                <w:szCs w:val="28"/>
                <w:highlight w:val="none"/>
              </w:rPr>
              <w:t>招标代理机构： 滁州市城投工程咨询管理有限公司</w:t>
            </w:r>
          </w:p>
          <w:p>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联系人：</w:t>
            </w:r>
            <w:r>
              <w:rPr>
                <w:rFonts w:hint="eastAsia"/>
                <w:color w:val="auto"/>
                <w:sz w:val="28"/>
                <w:szCs w:val="28"/>
                <w:highlight w:val="none"/>
                <w:lang w:val="en-US" w:eastAsia="zh-CN"/>
              </w:rPr>
              <w:t>周晓培</w:t>
            </w:r>
          </w:p>
          <w:p>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联系电话：</w:t>
            </w:r>
            <w:r>
              <w:rPr>
                <w:rFonts w:hint="eastAsia" w:ascii="宋体" w:hAnsi="宋体"/>
                <w:color w:val="auto"/>
                <w:sz w:val="28"/>
                <w:szCs w:val="28"/>
                <w:highlight w:val="none"/>
              </w:rPr>
              <w:t xml:space="preserve"> </w:t>
            </w:r>
            <w:r>
              <w:rPr>
                <w:rFonts w:hint="eastAsia" w:ascii="宋体" w:hAnsi="宋体"/>
                <w:color w:val="auto"/>
                <w:sz w:val="28"/>
                <w:szCs w:val="28"/>
                <w:highlight w:val="none"/>
                <w:lang w:eastAsia="zh-CN"/>
              </w:rPr>
              <w:t>0550-3519512</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18155023588</w:t>
            </w:r>
          </w:p>
          <w:p>
            <w:pPr>
              <w:keepNext w:val="0"/>
              <w:keepLines w:val="0"/>
              <w:suppressLineNumbers w:val="0"/>
              <w:spacing w:before="0" w:beforeAutospacing="0" w:after="0" w:afterAutospacing="0" w:line="560" w:lineRule="exact"/>
              <w:ind w:left="0" w:right="0" w:firstLine="280" w:firstLineChars="100"/>
              <w:rPr>
                <w:rFonts w:hint="eastAsia"/>
                <w:color w:val="auto"/>
                <w:sz w:val="28"/>
                <w:szCs w:val="28"/>
                <w:highlight w:val="none"/>
              </w:rPr>
            </w:pPr>
            <w:r>
              <w:rPr>
                <w:rFonts w:hint="eastAsia"/>
                <w:color w:val="auto"/>
                <w:sz w:val="28"/>
                <w:szCs w:val="28"/>
                <w:highlight w:val="none"/>
              </w:rPr>
              <w:t xml:space="preserve">                                  </w:t>
            </w:r>
          </w:p>
          <w:p>
            <w:pPr>
              <w:keepNext w:val="0"/>
              <w:keepLines w:val="0"/>
              <w:suppressLineNumbers w:val="0"/>
              <w:spacing w:before="0" w:beforeAutospacing="0" w:after="0" w:afterAutospacing="0" w:line="520" w:lineRule="exact"/>
              <w:ind w:left="0" w:right="0" w:firstLine="560" w:firstLineChars="200"/>
              <w:rPr>
                <w:rFonts w:hint="eastAsia" w:ascii="宋体" w:cs="宋体"/>
                <w:color w:val="auto"/>
                <w:sz w:val="28"/>
                <w:szCs w:val="28"/>
                <w:highlight w:val="none"/>
              </w:rPr>
            </w:pPr>
            <w:r>
              <w:rPr>
                <w:rFonts w:hint="eastAsia"/>
                <w:color w:val="auto"/>
                <w:sz w:val="28"/>
                <w:szCs w:val="28"/>
                <w:highlight w:val="none"/>
              </w:rPr>
              <w:t xml:space="preserve">                                      </w:t>
            </w:r>
          </w:p>
          <w:p>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4</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5</w:t>
            </w:r>
            <w:r>
              <w:rPr>
                <w:rFonts w:hint="eastAsia" w:ascii="宋体" w:cs="宋体"/>
                <w:color w:val="auto"/>
                <w:sz w:val="28"/>
                <w:szCs w:val="28"/>
                <w:highlight w:val="none"/>
              </w:rPr>
              <w:t>月</w:t>
            </w:r>
            <w:r>
              <w:rPr>
                <w:rFonts w:hint="eastAsia" w:ascii="宋体" w:cs="宋体"/>
                <w:color w:val="auto"/>
                <w:sz w:val="28"/>
                <w:szCs w:val="28"/>
                <w:highlight w:val="none"/>
                <w:lang w:val="en-US" w:eastAsia="zh-CN"/>
              </w:rPr>
              <w:t xml:space="preserve"> </w:t>
            </w:r>
          </w:p>
          <w:p>
            <w:pPr>
              <w:keepNext w:val="0"/>
              <w:keepLines w:val="0"/>
              <w:suppressLineNumbers w:val="0"/>
              <w:spacing w:before="0" w:beforeAutospacing="0" w:after="0" w:afterAutospacing="0" w:line="540" w:lineRule="exact"/>
              <w:ind w:left="0" w:right="0" w:firstLine="5952" w:firstLineChars="2126"/>
              <w:rPr>
                <w:rFonts w:hint="eastAsia" w:ascii="宋体" w:cs="宋体"/>
                <w:color w:val="auto"/>
                <w:sz w:val="28"/>
                <w:szCs w:val="28"/>
                <w:highlight w:val="none"/>
              </w:rPr>
            </w:pPr>
          </w:p>
        </w:tc>
      </w:tr>
    </w:tbl>
    <w:p>
      <w:pPr>
        <w:pStyle w:val="2"/>
        <w:ind w:left="0" w:leftChars="0" w:firstLine="0" w:firstLineChars="0"/>
        <w:rPr>
          <w:rFonts w:hint="default" w:eastAsia="宋体"/>
          <w:highlight w:val="none"/>
          <w:lang w:val="en-US" w:eastAsia="zh-CN"/>
        </w:rPr>
      </w:pPr>
    </w:p>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rPr>
        <w:rStyle w:val="29"/>
      </w:rPr>
    </w:pPr>
  </w:p>
  <w:p>
    <w:pPr>
      <w:pStyle w:val="17"/>
      <w:framePr w:wrap="around" w:vAnchor="text" w:hAnchor="margin" w:xAlign="center" w:y="1"/>
      <w:ind w:right="360"/>
      <w:rPr>
        <w:rStyle w:val="29"/>
      </w:rPr>
    </w:pP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98DC3"/>
    <w:multiLevelType w:val="singleLevel"/>
    <w:tmpl w:val="A5498DC3"/>
    <w:lvl w:ilvl="0" w:tentative="0">
      <w:start w:val="1"/>
      <w:numFmt w:val="decimal"/>
      <w:lvlText w:val="%1."/>
      <w:lvlJc w:val="left"/>
      <w:pPr>
        <w:tabs>
          <w:tab w:val="left" w:pos="312"/>
        </w:tabs>
      </w:pPr>
    </w:lvl>
  </w:abstractNum>
  <w:abstractNum w:abstractNumId="1">
    <w:nsid w:val="00000004"/>
    <w:multiLevelType w:val="multilevel"/>
    <w:tmpl w:val="00000004"/>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02EDD58"/>
    <w:multiLevelType w:val="singleLevel"/>
    <w:tmpl w:val="602EDD58"/>
    <w:lvl w:ilvl="0" w:tentative="0">
      <w:start w:val="3"/>
      <w:numFmt w:val="chineseCounting"/>
      <w:suff w:val="nothing"/>
      <w:lvlText w:val="%1、"/>
      <w:lvlJc w:val="left"/>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wYWRmYzhhOTE3YjUzYjEwMzQ0YzA4OWMwMDBlNzYifQ=="/>
  </w:docVars>
  <w:rsids>
    <w:rsidRoot w:val="440F4D94"/>
    <w:rsid w:val="00774D08"/>
    <w:rsid w:val="013C690E"/>
    <w:rsid w:val="01A21D6C"/>
    <w:rsid w:val="01D118B5"/>
    <w:rsid w:val="01E37862"/>
    <w:rsid w:val="01E872A1"/>
    <w:rsid w:val="0232372D"/>
    <w:rsid w:val="02502671"/>
    <w:rsid w:val="030D0562"/>
    <w:rsid w:val="032031D0"/>
    <w:rsid w:val="03F1316B"/>
    <w:rsid w:val="04115E30"/>
    <w:rsid w:val="043D09D3"/>
    <w:rsid w:val="05045994"/>
    <w:rsid w:val="0523406D"/>
    <w:rsid w:val="052D4B75"/>
    <w:rsid w:val="05924D4E"/>
    <w:rsid w:val="059D1414"/>
    <w:rsid w:val="06D54ED0"/>
    <w:rsid w:val="06DC0977"/>
    <w:rsid w:val="07011EC4"/>
    <w:rsid w:val="079C0106"/>
    <w:rsid w:val="07C425FF"/>
    <w:rsid w:val="085D2841"/>
    <w:rsid w:val="08674270"/>
    <w:rsid w:val="08A47272"/>
    <w:rsid w:val="09E6624A"/>
    <w:rsid w:val="0ACE6829"/>
    <w:rsid w:val="0AFF501E"/>
    <w:rsid w:val="0B925AA8"/>
    <w:rsid w:val="0CEF01A1"/>
    <w:rsid w:val="0D4228C9"/>
    <w:rsid w:val="0D7116ED"/>
    <w:rsid w:val="0D7D3AFE"/>
    <w:rsid w:val="0DFA7935"/>
    <w:rsid w:val="0EBB3464"/>
    <w:rsid w:val="0ECA5559"/>
    <w:rsid w:val="0ED15076"/>
    <w:rsid w:val="0F5A3543"/>
    <w:rsid w:val="0FDF4C74"/>
    <w:rsid w:val="10161464"/>
    <w:rsid w:val="101C4945"/>
    <w:rsid w:val="10303AE2"/>
    <w:rsid w:val="10545A22"/>
    <w:rsid w:val="10AF2C58"/>
    <w:rsid w:val="10E43038"/>
    <w:rsid w:val="11273F56"/>
    <w:rsid w:val="11666BBB"/>
    <w:rsid w:val="11B524F0"/>
    <w:rsid w:val="12086AC4"/>
    <w:rsid w:val="12431559"/>
    <w:rsid w:val="12E63FA6"/>
    <w:rsid w:val="12F928B1"/>
    <w:rsid w:val="1323348A"/>
    <w:rsid w:val="132E09AA"/>
    <w:rsid w:val="13DC1FB6"/>
    <w:rsid w:val="14334ED5"/>
    <w:rsid w:val="144E4536"/>
    <w:rsid w:val="14A300CE"/>
    <w:rsid w:val="14CF38C9"/>
    <w:rsid w:val="159A586B"/>
    <w:rsid w:val="162403C8"/>
    <w:rsid w:val="16655F19"/>
    <w:rsid w:val="16E80C72"/>
    <w:rsid w:val="18267CA4"/>
    <w:rsid w:val="196545EF"/>
    <w:rsid w:val="19E70870"/>
    <w:rsid w:val="1A2C0203"/>
    <w:rsid w:val="1A772A39"/>
    <w:rsid w:val="1B0B6A26"/>
    <w:rsid w:val="1B3C77DE"/>
    <w:rsid w:val="1B6C188C"/>
    <w:rsid w:val="1C4526C3"/>
    <w:rsid w:val="1C782A98"/>
    <w:rsid w:val="1D232A04"/>
    <w:rsid w:val="1D33169F"/>
    <w:rsid w:val="1DD7722D"/>
    <w:rsid w:val="1E474369"/>
    <w:rsid w:val="1ED3045A"/>
    <w:rsid w:val="1EF26B32"/>
    <w:rsid w:val="1FBE5586"/>
    <w:rsid w:val="2035457B"/>
    <w:rsid w:val="204506D8"/>
    <w:rsid w:val="20F63292"/>
    <w:rsid w:val="21391D2B"/>
    <w:rsid w:val="21416F2F"/>
    <w:rsid w:val="21545A4D"/>
    <w:rsid w:val="21BA2506"/>
    <w:rsid w:val="21C04848"/>
    <w:rsid w:val="21D53CD0"/>
    <w:rsid w:val="21E108C6"/>
    <w:rsid w:val="21FC6157"/>
    <w:rsid w:val="220152DE"/>
    <w:rsid w:val="222D5B93"/>
    <w:rsid w:val="22596EC8"/>
    <w:rsid w:val="226F2247"/>
    <w:rsid w:val="231D6147"/>
    <w:rsid w:val="2369138D"/>
    <w:rsid w:val="237B0CD6"/>
    <w:rsid w:val="24575689"/>
    <w:rsid w:val="251B0465"/>
    <w:rsid w:val="25C21DB8"/>
    <w:rsid w:val="266B4AD8"/>
    <w:rsid w:val="26F954CE"/>
    <w:rsid w:val="27377E1D"/>
    <w:rsid w:val="27427F5F"/>
    <w:rsid w:val="27D8263D"/>
    <w:rsid w:val="27E62FAC"/>
    <w:rsid w:val="287E4991"/>
    <w:rsid w:val="29DD03DE"/>
    <w:rsid w:val="2A61691A"/>
    <w:rsid w:val="2B2F07C6"/>
    <w:rsid w:val="2B4E2E20"/>
    <w:rsid w:val="2C201D36"/>
    <w:rsid w:val="2C867F83"/>
    <w:rsid w:val="2CD7749F"/>
    <w:rsid w:val="2D377E06"/>
    <w:rsid w:val="2D825525"/>
    <w:rsid w:val="2E071D36"/>
    <w:rsid w:val="2E3A7BAD"/>
    <w:rsid w:val="2F61116A"/>
    <w:rsid w:val="2FB13E9F"/>
    <w:rsid w:val="30146BDF"/>
    <w:rsid w:val="31105507"/>
    <w:rsid w:val="31146559"/>
    <w:rsid w:val="3138414C"/>
    <w:rsid w:val="3163741B"/>
    <w:rsid w:val="32013042"/>
    <w:rsid w:val="32543208"/>
    <w:rsid w:val="327376B8"/>
    <w:rsid w:val="32870EE7"/>
    <w:rsid w:val="32EB3B6C"/>
    <w:rsid w:val="330E33B7"/>
    <w:rsid w:val="33864FF7"/>
    <w:rsid w:val="33D219EE"/>
    <w:rsid w:val="33FE6BEC"/>
    <w:rsid w:val="3412575F"/>
    <w:rsid w:val="34242DD3"/>
    <w:rsid w:val="34592D57"/>
    <w:rsid w:val="3463108F"/>
    <w:rsid w:val="34B306BA"/>
    <w:rsid w:val="35C04688"/>
    <w:rsid w:val="37040D59"/>
    <w:rsid w:val="381274A5"/>
    <w:rsid w:val="387B14EE"/>
    <w:rsid w:val="39C562C9"/>
    <w:rsid w:val="3A8D5509"/>
    <w:rsid w:val="3A971EE4"/>
    <w:rsid w:val="3AE57A8F"/>
    <w:rsid w:val="3B1112B0"/>
    <w:rsid w:val="3B5E746C"/>
    <w:rsid w:val="3BCC2061"/>
    <w:rsid w:val="3CCA77EC"/>
    <w:rsid w:val="3D000214"/>
    <w:rsid w:val="3D2327C4"/>
    <w:rsid w:val="3D7F110E"/>
    <w:rsid w:val="3D8B68BD"/>
    <w:rsid w:val="3DA037A5"/>
    <w:rsid w:val="3DF71617"/>
    <w:rsid w:val="3E10723D"/>
    <w:rsid w:val="3E6C3C86"/>
    <w:rsid w:val="3E720C9E"/>
    <w:rsid w:val="3E725142"/>
    <w:rsid w:val="3EDC6A5F"/>
    <w:rsid w:val="3FBB0422"/>
    <w:rsid w:val="3FDC1609"/>
    <w:rsid w:val="40585B1F"/>
    <w:rsid w:val="40A610D2"/>
    <w:rsid w:val="41067DC3"/>
    <w:rsid w:val="41C76417"/>
    <w:rsid w:val="421D3C7F"/>
    <w:rsid w:val="428B3D82"/>
    <w:rsid w:val="42AB7679"/>
    <w:rsid w:val="42D60DEB"/>
    <w:rsid w:val="42F933B2"/>
    <w:rsid w:val="43340C18"/>
    <w:rsid w:val="43E73EDC"/>
    <w:rsid w:val="440F4D94"/>
    <w:rsid w:val="44121234"/>
    <w:rsid w:val="441A605F"/>
    <w:rsid w:val="44FF5255"/>
    <w:rsid w:val="45132EF4"/>
    <w:rsid w:val="453749EF"/>
    <w:rsid w:val="45602117"/>
    <w:rsid w:val="4571765C"/>
    <w:rsid w:val="457C2402"/>
    <w:rsid w:val="45E961FB"/>
    <w:rsid w:val="46501639"/>
    <w:rsid w:val="465B64BB"/>
    <w:rsid w:val="465F41FD"/>
    <w:rsid w:val="474318BA"/>
    <w:rsid w:val="47767A51"/>
    <w:rsid w:val="47DC16A5"/>
    <w:rsid w:val="48287183"/>
    <w:rsid w:val="48351379"/>
    <w:rsid w:val="484E463E"/>
    <w:rsid w:val="48A936DC"/>
    <w:rsid w:val="491938C4"/>
    <w:rsid w:val="49335641"/>
    <w:rsid w:val="49560276"/>
    <w:rsid w:val="49830A4D"/>
    <w:rsid w:val="4A8A076F"/>
    <w:rsid w:val="4AB80380"/>
    <w:rsid w:val="4B78366B"/>
    <w:rsid w:val="4B8A2C90"/>
    <w:rsid w:val="4B9E1324"/>
    <w:rsid w:val="4BD531A1"/>
    <w:rsid w:val="4BE60F1D"/>
    <w:rsid w:val="4C2D08FA"/>
    <w:rsid w:val="4C3857CB"/>
    <w:rsid w:val="4C65665F"/>
    <w:rsid w:val="4C96649F"/>
    <w:rsid w:val="4CC10091"/>
    <w:rsid w:val="4CE657A0"/>
    <w:rsid w:val="4D1A0E7E"/>
    <w:rsid w:val="4D551EB6"/>
    <w:rsid w:val="4DA1334D"/>
    <w:rsid w:val="4DDE110F"/>
    <w:rsid w:val="4DF27705"/>
    <w:rsid w:val="4E173610"/>
    <w:rsid w:val="4E21623C"/>
    <w:rsid w:val="4E7B3BF3"/>
    <w:rsid w:val="4EDF35D4"/>
    <w:rsid w:val="4F2C6C47"/>
    <w:rsid w:val="4F522371"/>
    <w:rsid w:val="4F625F52"/>
    <w:rsid w:val="4FA12577"/>
    <w:rsid w:val="4FA1515E"/>
    <w:rsid w:val="4FE15C83"/>
    <w:rsid w:val="50271928"/>
    <w:rsid w:val="502838B2"/>
    <w:rsid w:val="502F586C"/>
    <w:rsid w:val="5052092F"/>
    <w:rsid w:val="506A143A"/>
    <w:rsid w:val="509C604E"/>
    <w:rsid w:val="50C07F8E"/>
    <w:rsid w:val="510E11AC"/>
    <w:rsid w:val="517D19DC"/>
    <w:rsid w:val="51A90A23"/>
    <w:rsid w:val="51AB479B"/>
    <w:rsid w:val="51BA49DE"/>
    <w:rsid w:val="51EE0B2B"/>
    <w:rsid w:val="539574B0"/>
    <w:rsid w:val="547F3CBD"/>
    <w:rsid w:val="54F616B0"/>
    <w:rsid w:val="5523352E"/>
    <w:rsid w:val="55912550"/>
    <w:rsid w:val="55E069DD"/>
    <w:rsid w:val="564C5E20"/>
    <w:rsid w:val="565F3DA6"/>
    <w:rsid w:val="5683704F"/>
    <w:rsid w:val="56A874FB"/>
    <w:rsid w:val="56EB2722"/>
    <w:rsid w:val="57D3727A"/>
    <w:rsid w:val="58133B49"/>
    <w:rsid w:val="581666E6"/>
    <w:rsid w:val="58444517"/>
    <w:rsid w:val="58466FA3"/>
    <w:rsid w:val="58D81BED"/>
    <w:rsid w:val="590B0FBC"/>
    <w:rsid w:val="5AB50438"/>
    <w:rsid w:val="5AB972A9"/>
    <w:rsid w:val="5AC41FE9"/>
    <w:rsid w:val="5B697EEF"/>
    <w:rsid w:val="5B8354A2"/>
    <w:rsid w:val="5BC36B85"/>
    <w:rsid w:val="5CC53758"/>
    <w:rsid w:val="5D2B5019"/>
    <w:rsid w:val="5D7002D3"/>
    <w:rsid w:val="5E2751A9"/>
    <w:rsid w:val="5E9860A7"/>
    <w:rsid w:val="5EF20DA9"/>
    <w:rsid w:val="5F37766E"/>
    <w:rsid w:val="5FFB4038"/>
    <w:rsid w:val="604D11B9"/>
    <w:rsid w:val="606103C9"/>
    <w:rsid w:val="606D7E92"/>
    <w:rsid w:val="613D2F35"/>
    <w:rsid w:val="61CF3C72"/>
    <w:rsid w:val="62C47C43"/>
    <w:rsid w:val="635C3B47"/>
    <w:rsid w:val="642F4DB7"/>
    <w:rsid w:val="64A21A2D"/>
    <w:rsid w:val="6509245E"/>
    <w:rsid w:val="65FE70CA"/>
    <w:rsid w:val="66171FA7"/>
    <w:rsid w:val="668A2779"/>
    <w:rsid w:val="668A652A"/>
    <w:rsid w:val="66A31A8D"/>
    <w:rsid w:val="67254250"/>
    <w:rsid w:val="672E75A8"/>
    <w:rsid w:val="678436AC"/>
    <w:rsid w:val="67980EC5"/>
    <w:rsid w:val="6985190F"/>
    <w:rsid w:val="6A246A40"/>
    <w:rsid w:val="6A507835"/>
    <w:rsid w:val="6B6C68F1"/>
    <w:rsid w:val="6C07661A"/>
    <w:rsid w:val="6C67530A"/>
    <w:rsid w:val="6CEE52C1"/>
    <w:rsid w:val="6CF325ED"/>
    <w:rsid w:val="6D7B72BF"/>
    <w:rsid w:val="6D965EA7"/>
    <w:rsid w:val="6DCF760B"/>
    <w:rsid w:val="6E6E75D4"/>
    <w:rsid w:val="6E82642B"/>
    <w:rsid w:val="6EA934B6"/>
    <w:rsid w:val="6EAE0FCF"/>
    <w:rsid w:val="6F2A2D4B"/>
    <w:rsid w:val="6FAF3250"/>
    <w:rsid w:val="706E041E"/>
    <w:rsid w:val="70CD6084"/>
    <w:rsid w:val="712A28CF"/>
    <w:rsid w:val="713A724C"/>
    <w:rsid w:val="726C1C4A"/>
    <w:rsid w:val="72A03324"/>
    <w:rsid w:val="72EB3AA8"/>
    <w:rsid w:val="73D6524F"/>
    <w:rsid w:val="73EC4A73"/>
    <w:rsid w:val="746C0AE0"/>
    <w:rsid w:val="74D13C69"/>
    <w:rsid w:val="75266C08"/>
    <w:rsid w:val="75466405"/>
    <w:rsid w:val="75675DB8"/>
    <w:rsid w:val="75843174"/>
    <w:rsid w:val="75F714AD"/>
    <w:rsid w:val="760F0C92"/>
    <w:rsid w:val="761B163F"/>
    <w:rsid w:val="76B7003F"/>
    <w:rsid w:val="7729634A"/>
    <w:rsid w:val="776C37AC"/>
    <w:rsid w:val="794E7636"/>
    <w:rsid w:val="79607369"/>
    <w:rsid w:val="79757E4E"/>
    <w:rsid w:val="79DD1288"/>
    <w:rsid w:val="79F301DD"/>
    <w:rsid w:val="7A2A6204"/>
    <w:rsid w:val="7A654670"/>
    <w:rsid w:val="7AA30CA1"/>
    <w:rsid w:val="7AF4420D"/>
    <w:rsid w:val="7AF5326F"/>
    <w:rsid w:val="7CB36BCF"/>
    <w:rsid w:val="7D256A57"/>
    <w:rsid w:val="7D2F76D5"/>
    <w:rsid w:val="7D913F95"/>
    <w:rsid w:val="7DF84902"/>
    <w:rsid w:val="7E134D72"/>
    <w:rsid w:val="7E783F85"/>
    <w:rsid w:val="7E7A711F"/>
    <w:rsid w:val="7E8D57A7"/>
    <w:rsid w:val="7EC87E8B"/>
    <w:rsid w:val="7EE822DB"/>
    <w:rsid w:val="7F782CD8"/>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5"/>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39"/>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7">
    <w:name w:val="heading 3"/>
    <w:basedOn w:val="1"/>
    <w:next w:val="1"/>
    <w:autoRedefine/>
    <w:qFormat/>
    <w:uiPriority w:val="0"/>
    <w:pPr>
      <w:keepNext/>
      <w:keepLines/>
      <w:outlineLvl w:val="2"/>
    </w:pPr>
    <w:rPr>
      <w:kern w:val="0"/>
      <w:sz w:val="28"/>
      <w:szCs w:val="20"/>
    </w:rPr>
  </w:style>
  <w:style w:type="character" w:default="1" w:styleId="28">
    <w:name w:val="Default Paragraph Font"/>
    <w:autoRedefine/>
    <w:semiHidden/>
    <w:qFormat/>
    <w:uiPriority w:val="0"/>
  </w:style>
  <w:style w:type="table" w:default="1" w:styleId="26">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1"/>
    <w:link w:val="37"/>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36"/>
    <w:autoRedefine/>
    <w:qFormat/>
    <w:uiPriority w:val="0"/>
    <w:pPr>
      <w:spacing w:after="120" w:afterLines="0" w:afterAutospacing="0"/>
      <w:ind w:left="420" w:leftChars="200"/>
    </w:pPr>
  </w:style>
  <w:style w:type="paragraph" w:styleId="4">
    <w:name w:val="envelope return"/>
    <w:basedOn w:val="1"/>
    <w:autoRedefine/>
    <w:qFormat/>
    <w:uiPriority w:val="0"/>
    <w:pPr>
      <w:snapToGrid w:val="0"/>
    </w:pPr>
    <w:rPr>
      <w:rFonts w:ascii="Arial" w:hAnsi="Arial"/>
    </w:rPr>
  </w:style>
  <w:style w:type="paragraph" w:styleId="8">
    <w:name w:val="toc 7"/>
    <w:basedOn w:val="1"/>
    <w:next w:val="1"/>
    <w:autoRedefine/>
    <w:qFormat/>
    <w:uiPriority w:val="39"/>
    <w:pPr>
      <w:ind w:left="1260"/>
      <w:jc w:val="left"/>
    </w:pPr>
    <w:rPr>
      <w:sz w:val="18"/>
      <w:szCs w:val="18"/>
    </w:rPr>
  </w:style>
  <w:style w:type="paragraph" w:styleId="9">
    <w:name w:val="Normal Indent"/>
    <w:basedOn w:val="1"/>
    <w:next w:val="2"/>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next w:val="13"/>
    <w:autoRedefine/>
    <w:qFormat/>
    <w:uiPriority w:val="0"/>
    <w:pPr>
      <w:widowControl w:val="0"/>
      <w:snapToGrid w:val="0"/>
      <w:spacing w:line="360" w:lineRule="auto"/>
    </w:pPr>
    <w:rPr>
      <w:rFonts w:ascii="Arial" w:hAnsi="Arial" w:eastAsia="仿宋_GB2312"/>
      <w:sz w:val="31"/>
    </w:rPr>
  </w:style>
  <w:style w:type="paragraph" w:customStyle="1" w:styleId="13">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4">
    <w:name w:val="toc 3"/>
    <w:basedOn w:val="1"/>
    <w:next w:val="1"/>
    <w:autoRedefine/>
    <w:qFormat/>
    <w:uiPriority w:val="39"/>
    <w:pPr>
      <w:jc w:val="left"/>
    </w:pPr>
    <w:rPr>
      <w:rFonts w:ascii="Calibri" w:hAnsi="Calibri"/>
      <w:smallCaps/>
      <w:sz w:val="22"/>
      <w:szCs w:val="22"/>
    </w:rPr>
  </w:style>
  <w:style w:type="paragraph" w:styleId="15">
    <w:name w:val="Plain Text"/>
    <w:basedOn w:val="1"/>
    <w:next w:val="1"/>
    <w:link w:val="41"/>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8"/>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42"/>
    <w:autoRedefine/>
    <w:qFormat/>
    <w:uiPriority w:val="0"/>
    <w:pPr>
      <w:tabs>
        <w:tab w:val="center" w:pos="4153"/>
        <w:tab w:val="right" w:pos="8306"/>
      </w:tabs>
      <w:snapToGrid w:val="0"/>
      <w:jc w:val="left"/>
    </w:pPr>
    <w:rPr>
      <w:sz w:val="18"/>
    </w:rPr>
  </w:style>
  <w:style w:type="paragraph" w:styleId="18">
    <w:name w:val="header"/>
    <w:basedOn w:val="1"/>
    <w:link w:val="4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autoRedefine/>
    <w:qFormat/>
    <w:uiPriority w:val="39"/>
    <w:pPr>
      <w:spacing w:before="120" w:after="120"/>
      <w:jc w:val="left"/>
    </w:pPr>
    <w:rPr>
      <w:b/>
      <w:bCs/>
      <w:caps/>
      <w:sz w:val="20"/>
    </w:rPr>
  </w:style>
  <w:style w:type="paragraph" w:styleId="20">
    <w:name w:val="List"/>
    <w:basedOn w:val="1"/>
    <w:next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footnote text"/>
    <w:basedOn w:val="1"/>
    <w:autoRedefine/>
    <w:semiHidden/>
    <w:unhideWhenUsed/>
    <w:qFormat/>
    <w:uiPriority w:val="99"/>
    <w:pPr>
      <w:snapToGrid w:val="0"/>
      <w:jc w:val="left"/>
    </w:pPr>
    <w:rPr>
      <w:sz w:val="18"/>
    </w:rPr>
  </w:style>
  <w:style w:type="paragraph" w:styleId="22">
    <w:name w:val="Body Text 2"/>
    <w:basedOn w:val="1"/>
    <w:autoRedefine/>
    <w:qFormat/>
    <w:uiPriority w:val="0"/>
    <w:rPr>
      <w:kern w:val="0"/>
      <w:sz w:val="24"/>
    </w:rPr>
  </w:style>
  <w:style w:type="paragraph" w:styleId="23">
    <w:name w:val="Normal (Web)"/>
    <w:basedOn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Title"/>
    <w:basedOn w:val="1"/>
    <w:next w:val="1"/>
    <w:qFormat/>
    <w:uiPriority w:val="0"/>
    <w:pPr>
      <w:numPr>
        <w:ilvl w:val="0"/>
        <w:numId w:val="1"/>
      </w:numPr>
      <w:spacing w:line="360" w:lineRule="auto"/>
      <w:jc w:val="left"/>
      <w:outlineLvl w:val="0"/>
    </w:pPr>
    <w:rPr>
      <w:rFonts w:ascii="Cambria" w:hAnsi="Cambria" w:eastAsia="宋体" w:cs="Times New Roman"/>
      <w:b/>
      <w:bCs/>
      <w:sz w:val="28"/>
      <w:szCs w:val="32"/>
    </w:rPr>
  </w:style>
  <w:style w:type="paragraph" w:styleId="25">
    <w:name w:val="Body Text First Indent"/>
    <w:basedOn w:val="12"/>
    <w:autoRedefine/>
    <w:qFormat/>
    <w:uiPriority w:val="0"/>
    <w:pPr>
      <w:adjustRightInd/>
      <w:spacing w:after="120" w:line="240" w:lineRule="auto"/>
      <w:ind w:firstLine="420" w:firstLineChars="100"/>
      <w:jc w:val="both"/>
    </w:p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autoRedefine/>
    <w:qFormat/>
    <w:uiPriority w:val="0"/>
  </w:style>
  <w:style w:type="character" w:styleId="30">
    <w:name w:val="FollowedHyperlink"/>
    <w:basedOn w:val="28"/>
    <w:autoRedefine/>
    <w:qFormat/>
    <w:uiPriority w:val="0"/>
    <w:rPr>
      <w:color w:val="771CAA"/>
      <w:u w:val="none"/>
    </w:rPr>
  </w:style>
  <w:style w:type="character" w:styleId="31">
    <w:name w:val="Emphasis"/>
    <w:basedOn w:val="28"/>
    <w:autoRedefine/>
    <w:qFormat/>
    <w:uiPriority w:val="0"/>
    <w:rPr>
      <w:color w:val="F73131"/>
    </w:rPr>
  </w:style>
  <w:style w:type="character" w:styleId="32">
    <w:name w:val="Hyperlink"/>
    <w:basedOn w:val="28"/>
    <w:autoRedefine/>
    <w:qFormat/>
    <w:uiPriority w:val="99"/>
    <w:rPr>
      <w:color w:val="0000FF"/>
      <w:u w:val="single"/>
    </w:rPr>
  </w:style>
  <w:style w:type="character" w:styleId="33">
    <w:name w:val="HTML Cite"/>
    <w:basedOn w:val="28"/>
    <w:autoRedefine/>
    <w:qFormat/>
    <w:uiPriority w:val="0"/>
    <w:rPr>
      <w:color w:val="008000"/>
    </w:rPr>
  </w:style>
  <w:style w:type="character" w:styleId="34">
    <w:name w:val="footnote reference"/>
    <w:basedOn w:val="28"/>
    <w:autoRedefine/>
    <w:semiHidden/>
    <w:unhideWhenUsed/>
    <w:qFormat/>
    <w:uiPriority w:val="99"/>
    <w:rPr>
      <w:vertAlign w:val="superscript"/>
    </w:rPr>
  </w:style>
  <w:style w:type="paragraph" w:customStyle="1" w:styleId="35">
    <w:name w:val="正文文字 8"/>
    <w:basedOn w:val="1"/>
    <w:next w:val="1"/>
    <w:autoRedefine/>
    <w:qFormat/>
    <w:uiPriority w:val="0"/>
    <w:pPr>
      <w:ind w:left="240"/>
    </w:pPr>
    <w:rPr>
      <w:sz w:val="16"/>
    </w:rPr>
  </w:style>
  <w:style w:type="character" w:customStyle="1" w:styleId="36">
    <w:name w:val="正文文本缩进 Char"/>
    <w:basedOn w:val="28"/>
    <w:link w:val="3"/>
    <w:autoRedefine/>
    <w:qFormat/>
    <w:uiPriority w:val="0"/>
    <w:rPr>
      <w:rFonts w:hint="default" w:ascii="Times New Roman" w:hAnsi="Times New Roman" w:eastAsia="宋体" w:cs="Times New Roman"/>
      <w:color w:val="000000"/>
      <w:kern w:val="0"/>
      <w:szCs w:val="21"/>
      <w:u w:color="000000"/>
    </w:rPr>
  </w:style>
  <w:style w:type="character" w:customStyle="1" w:styleId="37">
    <w:name w:val="正文首行缩进 2 Char"/>
    <w:basedOn w:val="36"/>
    <w:link w:val="2"/>
    <w:autoRedefine/>
    <w:qFormat/>
    <w:uiPriority w:val="0"/>
    <w:rPr>
      <w:rFonts w:hint="default" w:ascii="Times New Roman" w:hAnsi="Times New Roman" w:eastAsia="宋体" w:cs="Times New Roman"/>
      <w:color w:val="000000"/>
      <w:kern w:val="0"/>
      <w:szCs w:val="21"/>
      <w:u w:color="000000"/>
    </w:rPr>
  </w:style>
  <w:style w:type="character" w:customStyle="1" w:styleId="38">
    <w:name w:val="日期 Char"/>
    <w:basedOn w:val="28"/>
    <w:link w:val="16"/>
    <w:autoRedefine/>
    <w:qFormat/>
    <w:uiPriority w:val="0"/>
    <w:rPr>
      <w:rFonts w:ascii="Arial" w:hAnsi="Arial" w:eastAsia="仿宋_GB2312" w:cs="Arial"/>
      <w:color w:val="000000"/>
      <w:sz w:val="32"/>
      <w:szCs w:val="32"/>
      <w:u w:color="000000"/>
    </w:rPr>
  </w:style>
  <w:style w:type="character" w:customStyle="1" w:styleId="39">
    <w:name w:val="标题 2 Char"/>
    <w:basedOn w:val="28"/>
    <w:link w:val="6"/>
    <w:autoRedefine/>
    <w:qFormat/>
    <w:uiPriority w:val="0"/>
    <w:rPr>
      <w:rFonts w:hint="default" w:ascii="Times New Roman" w:hAnsi="Times New Roman" w:eastAsia="宋体" w:cs="Times New Roman"/>
      <w:kern w:val="0"/>
      <w:sz w:val="24"/>
      <w:szCs w:val="24"/>
    </w:rPr>
  </w:style>
  <w:style w:type="character" w:customStyle="1" w:styleId="40">
    <w:name w:val="页眉 Char"/>
    <w:basedOn w:val="28"/>
    <w:link w:val="18"/>
    <w:autoRedefine/>
    <w:qFormat/>
    <w:uiPriority w:val="0"/>
    <w:rPr>
      <w:rFonts w:hint="default" w:ascii="Times New Roman" w:hAnsi="Times New Roman" w:eastAsia="宋体" w:cs="Times New Roman"/>
      <w:color w:val="000000"/>
      <w:kern w:val="0"/>
      <w:sz w:val="18"/>
      <w:szCs w:val="18"/>
      <w:u w:color="000000"/>
    </w:rPr>
  </w:style>
  <w:style w:type="character" w:customStyle="1" w:styleId="41">
    <w:name w:val="纯文本 Char"/>
    <w:basedOn w:val="28"/>
    <w:link w:val="15"/>
    <w:autoRedefine/>
    <w:qFormat/>
    <w:uiPriority w:val="0"/>
    <w:rPr>
      <w:rFonts w:hint="eastAsia" w:ascii="宋体" w:hAnsi="宋体" w:eastAsia="宋体" w:cs="宋体"/>
      <w:szCs w:val="21"/>
    </w:rPr>
  </w:style>
  <w:style w:type="character" w:customStyle="1" w:styleId="42">
    <w:name w:val="页脚 Char"/>
    <w:basedOn w:val="28"/>
    <w:link w:val="17"/>
    <w:autoRedefine/>
    <w:qFormat/>
    <w:uiPriority w:val="0"/>
    <w:rPr>
      <w:rFonts w:hint="default" w:ascii="Times New Roman" w:hAnsi="Times New Roman" w:eastAsia="宋体" w:cs="Times New Roman"/>
      <w:color w:val="000000"/>
      <w:kern w:val="0"/>
      <w:sz w:val="18"/>
      <w:szCs w:val="18"/>
      <w:u w:color="000000"/>
    </w:rPr>
  </w:style>
  <w:style w:type="paragraph" w:customStyle="1" w:styleId="43">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4">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5">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 w:type="paragraph" w:customStyle="1" w:styleId="46">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7">
    <w:name w:val="font51"/>
    <w:basedOn w:val="28"/>
    <w:autoRedefine/>
    <w:qFormat/>
    <w:uiPriority w:val="0"/>
    <w:rPr>
      <w:rFonts w:hint="eastAsia" w:ascii="宋体" w:hAnsi="宋体" w:eastAsia="宋体" w:cs="宋体"/>
      <w:color w:val="000000"/>
      <w:sz w:val="22"/>
      <w:szCs w:val="22"/>
      <w:u w:val="none"/>
    </w:rPr>
  </w:style>
  <w:style w:type="character" w:customStyle="1" w:styleId="48">
    <w:name w:val="font31"/>
    <w:basedOn w:val="28"/>
    <w:autoRedefine/>
    <w:qFormat/>
    <w:uiPriority w:val="0"/>
    <w:rPr>
      <w:rFonts w:hint="default" w:ascii="Times New Roman" w:hAnsi="Times New Roman" w:cs="Times New Roman"/>
      <w:color w:val="000000"/>
      <w:sz w:val="22"/>
      <w:szCs w:val="22"/>
      <w:u w:val="none"/>
    </w:rPr>
  </w:style>
  <w:style w:type="character" w:customStyle="1" w:styleId="49">
    <w:name w:val="font61"/>
    <w:basedOn w:val="28"/>
    <w:autoRedefine/>
    <w:qFormat/>
    <w:uiPriority w:val="0"/>
    <w:rPr>
      <w:rFonts w:hint="default" w:ascii="Times New Roman" w:hAnsi="Times New Roman" w:cs="Times New Roman"/>
      <w:color w:val="000000"/>
      <w:sz w:val="21"/>
      <w:szCs w:val="21"/>
      <w:u w:val="none"/>
    </w:rPr>
  </w:style>
  <w:style w:type="character" w:customStyle="1" w:styleId="50">
    <w:name w:val="font71"/>
    <w:basedOn w:val="28"/>
    <w:autoRedefine/>
    <w:qFormat/>
    <w:uiPriority w:val="0"/>
    <w:rPr>
      <w:rFonts w:hint="eastAsia" w:ascii="宋体" w:hAnsi="宋体" w:eastAsia="宋体" w:cs="宋体"/>
      <w:color w:val="000000"/>
      <w:sz w:val="21"/>
      <w:szCs w:val="21"/>
      <w:u w:val="none"/>
    </w:rPr>
  </w:style>
  <w:style w:type="character" w:customStyle="1" w:styleId="51">
    <w:name w:val="font01"/>
    <w:basedOn w:val="28"/>
    <w:autoRedefine/>
    <w:qFormat/>
    <w:uiPriority w:val="0"/>
    <w:rPr>
      <w:rFonts w:hint="eastAsia" w:ascii="宋体" w:hAnsi="宋体" w:eastAsia="宋体" w:cs="宋体"/>
      <w:color w:val="000000"/>
      <w:sz w:val="22"/>
      <w:szCs w:val="22"/>
      <w:u w:val="none"/>
    </w:rPr>
  </w:style>
  <w:style w:type="character" w:customStyle="1" w:styleId="52">
    <w:name w:val="font11"/>
    <w:basedOn w:val="28"/>
    <w:autoRedefine/>
    <w:qFormat/>
    <w:uiPriority w:val="0"/>
    <w:rPr>
      <w:rFonts w:hint="eastAsia" w:ascii="宋体" w:hAnsi="宋体" w:eastAsia="宋体" w:cs="宋体"/>
      <w:color w:val="000000"/>
      <w:sz w:val="21"/>
      <w:szCs w:val="21"/>
      <w:u w:val="none"/>
    </w:rPr>
  </w:style>
  <w:style w:type="character" w:customStyle="1" w:styleId="53">
    <w:name w:val="font41"/>
    <w:basedOn w:val="28"/>
    <w:autoRedefine/>
    <w:qFormat/>
    <w:uiPriority w:val="0"/>
    <w:rPr>
      <w:rFonts w:hint="default" w:ascii="Times New Roman" w:hAnsi="Times New Roman" w:cs="Times New Roman"/>
      <w:color w:val="000000"/>
      <w:sz w:val="22"/>
      <w:szCs w:val="22"/>
      <w:u w:val="none"/>
    </w:rPr>
  </w:style>
  <w:style w:type="paragraph" w:customStyle="1" w:styleId="54">
    <w:name w:val="二级标题"/>
    <w:basedOn w:val="1"/>
    <w:next w:val="1"/>
    <w:autoRedefine/>
    <w:qFormat/>
    <w:uiPriority w:val="0"/>
    <w:rPr>
      <w:rFonts w:hint="eastAsia" w:eastAsia="楷体"/>
    </w:rPr>
  </w:style>
  <w:style w:type="paragraph" w:customStyle="1" w:styleId="55">
    <w:name w:val="首行缩进"/>
    <w:basedOn w:val="1"/>
    <w:autoRedefine/>
    <w:qFormat/>
    <w:uiPriority w:val="0"/>
    <w:pPr>
      <w:ind w:firstLine="480" w:firstLineChars="200"/>
    </w:pPr>
    <w:rPr>
      <w:rFonts w:eastAsia="楷体_GB2312"/>
      <w:lang w:val="zh-CN"/>
    </w:rPr>
  </w:style>
  <w:style w:type="character" w:customStyle="1" w:styleId="56">
    <w:name w:val="c-icon28"/>
    <w:basedOn w:val="28"/>
    <w:autoRedefine/>
    <w:qFormat/>
    <w:uiPriority w:val="0"/>
  </w:style>
  <w:style w:type="character" w:customStyle="1" w:styleId="57">
    <w:name w:val="hover26"/>
    <w:basedOn w:val="28"/>
    <w:autoRedefine/>
    <w:qFormat/>
    <w:uiPriority w:val="0"/>
    <w:rPr>
      <w:color w:val="315EFB"/>
      <w:shd w:val="clear" w:fill="F0F3FD"/>
    </w:rPr>
  </w:style>
  <w:style w:type="character" w:customStyle="1" w:styleId="58">
    <w:name w:val="hover27"/>
    <w:basedOn w:val="28"/>
    <w:autoRedefine/>
    <w:qFormat/>
    <w:uiPriority w:val="0"/>
    <w:rPr>
      <w:color w:val="315EFB"/>
    </w:rPr>
  </w:style>
  <w:style w:type="character" w:customStyle="1" w:styleId="59">
    <w:name w:val="hover28"/>
    <w:basedOn w:val="28"/>
    <w:autoRedefine/>
    <w:qFormat/>
    <w:uiPriority w:val="0"/>
  </w:style>
  <w:style w:type="character" w:customStyle="1" w:styleId="60">
    <w:name w:val="hover29"/>
    <w:basedOn w:val="28"/>
    <w:autoRedefine/>
    <w:qFormat/>
    <w:uiPriority w:val="0"/>
    <w:rPr>
      <w:color w:val="315EFB"/>
    </w:rPr>
  </w:style>
  <w:style w:type="paragraph" w:customStyle="1" w:styleId="61">
    <w:name w:val="xl25"/>
    <w:basedOn w:val="1"/>
    <w:autoRedefine/>
    <w:qFormat/>
    <w:uiPriority w:val="0"/>
    <w:pPr>
      <w:widowControl/>
      <w:spacing w:before="100" w:beforeLines="0" w:beforeAutospacing="1" w:after="100" w:afterLines="0" w:afterAutospacing="1"/>
      <w:jc w:val="right"/>
    </w:pPr>
    <w:rPr>
      <w:rFonts w:ascii="Arial Unicode MS" w:hAnsi="Arial Unicode MS" w:eastAsia="宋体" w:cs="Arial Unicode MS"/>
      <w:color w:val="000000"/>
      <w:kern w:val="0"/>
      <w:sz w:val="18"/>
      <w:szCs w:val="18"/>
    </w:rPr>
  </w:style>
  <w:style w:type="paragraph" w:customStyle="1" w:styleId="62">
    <w:name w:val="Table Text"/>
    <w:basedOn w:val="1"/>
    <w:qFormat/>
    <w:uiPriority w:val="0"/>
    <w:rPr>
      <w:rFonts w:ascii="宋体" w:hAnsi="宋体" w:eastAsia="宋体" w:cs="宋体"/>
      <w:sz w:val="21"/>
      <w:szCs w:val="21"/>
      <w:lang w:val="en-US" w:eastAsia="en-US"/>
    </w:rPr>
  </w:style>
  <w:style w:type="paragraph" w:customStyle="1" w:styleId="63">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28569</Words>
  <Characters>29875</Characters>
  <Lines>1</Lines>
  <Paragraphs>1</Paragraphs>
  <TotalTime>0</TotalTime>
  <ScaleCrop>false</ScaleCrop>
  <LinksUpToDate>false</LinksUpToDate>
  <CharactersWithSpaces>32737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xp zhou</cp:lastModifiedBy>
  <cp:lastPrinted>2022-04-11T07:26:00Z</cp:lastPrinted>
  <dcterms:modified xsi:type="dcterms:W3CDTF">2024-05-20T08:47:20Z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6D9A791FE09F4AF69DC46F4A104A7358</vt:lpwstr>
  </property>
</Properties>
</file>