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E1EB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7E338DF9">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2F0AB1E">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auto"/>
          <w:kern w:val="0"/>
          <w:sz w:val="48"/>
          <w:szCs w:val="28"/>
          <w:highlight w:val="none"/>
          <w:u w:color="000000"/>
          <w:lang w:val="en-US" w:eastAsia="zh-CN" w:bidi="ar"/>
        </w:rPr>
      </w:pPr>
      <w:r>
        <w:rPr>
          <w:rFonts w:hint="eastAsia" w:ascii="Times New Roman" w:hAnsi="Times New Roman" w:eastAsia="宋体" w:cs="宋体"/>
          <w:b/>
          <w:bCs w:val="0"/>
          <w:color w:val="auto"/>
          <w:kern w:val="0"/>
          <w:sz w:val="48"/>
          <w:szCs w:val="28"/>
          <w:highlight w:val="none"/>
          <w:u w:color="000000"/>
          <w:lang w:val="en-US" w:eastAsia="zh-CN" w:bidi="ar"/>
        </w:rPr>
        <w:t>2025年琅琊山森林漂流皮划艇采购项目</w:t>
      </w:r>
    </w:p>
    <w:p w14:paraId="57185E4E">
      <w:pPr>
        <w:pStyle w:val="2"/>
        <w:rPr>
          <w:rFonts w:hint="eastAsia" w:ascii="Times New Roman" w:hAnsi="Times New Roman" w:eastAsia="宋体" w:cs="宋体"/>
          <w:b/>
          <w:bCs w:val="0"/>
          <w:color w:val="auto"/>
          <w:kern w:val="0"/>
          <w:sz w:val="48"/>
          <w:szCs w:val="28"/>
          <w:highlight w:val="none"/>
          <w:u w:color="000000"/>
          <w:lang w:val="en-US" w:eastAsia="zh-CN" w:bidi="ar"/>
        </w:rPr>
      </w:pPr>
    </w:p>
    <w:p w14:paraId="506B3CBC">
      <w:pPr>
        <w:rPr>
          <w:rFonts w:hint="eastAsia" w:ascii="Times New Roman" w:hAnsi="Times New Roman" w:eastAsia="宋体" w:cs="宋体"/>
          <w:b/>
          <w:bCs w:val="0"/>
          <w:color w:val="auto"/>
          <w:kern w:val="0"/>
          <w:sz w:val="48"/>
          <w:szCs w:val="28"/>
          <w:highlight w:val="none"/>
          <w:u w:color="000000"/>
          <w:lang w:val="en-US" w:eastAsia="zh-CN" w:bidi="ar"/>
        </w:rPr>
      </w:pPr>
    </w:p>
    <w:p w14:paraId="50222207">
      <w:pPr>
        <w:pStyle w:val="2"/>
        <w:rPr>
          <w:rFonts w:hint="eastAsia" w:ascii="Times New Roman" w:hAnsi="Times New Roman" w:eastAsia="宋体" w:cs="宋体"/>
          <w:b/>
          <w:bCs w:val="0"/>
          <w:color w:val="auto"/>
          <w:kern w:val="0"/>
          <w:sz w:val="48"/>
          <w:szCs w:val="28"/>
          <w:highlight w:val="none"/>
          <w:u w:color="000000"/>
          <w:lang w:val="en-US" w:eastAsia="zh-CN" w:bidi="ar"/>
        </w:rPr>
      </w:pPr>
    </w:p>
    <w:p w14:paraId="1DF999BC">
      <w:pPr>
        <w:rPr>
          <w:rFonts w:hint="eastAsia"/>
          <w:lang w:val="en-US" w:eastAsia="zh-CN"/>
        </w:rPr>
      </w:pPr>
    </w:p>
    <w:p w14:paraId="36DEEA4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3499E2C3">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72992EE1">
      <w:pPr>
        <w:pStyle w:val="20"/>
        <w:widowControl/>
        <w:rPr>
          <w:highlight w:val="none"/>
          <w:lang w:val="en-US"/>
        </w:rPr>
      </w:pPr>
      <w:r>
        <w:rPr>
          <w:highlight w:val="none"/>
          <w:lang w:val="en-US"/>
        </w:rPr>
        <w:t xml:space="preserve"> </w:t>
      </w:r>
    </w:p>
    <w:p w14:paraId="54FE8A9F">
      <w:pPr>
        <w:pStyle w:val="20"/>
        <w:widowControl/>
        <w:rPr>
          <w:highlight w:val="none"/>
          <w:lang w:val="en-US"/>
        </w:rPr>
      </w:pPr>
      <w:r>
        <w:rPr>
          <w:highlight w:val="none"/>
          <w:lang w:val="en-US"/>
        </w:rPr>
        <w:t xml:space="preserve"> </w:t>
      </w:r>
    </w:p>
    <w:p w14:paraId="2363519A">
      <w:pPr>
        <w:pStyle w:val="20"/>
        <w:widowControl/>
        <w:rPr>
          <w:highlight w:val="none"/>
          <w:lang w:val="en-US"/>
        </w:rPr>
      </w:pPr>
      <w:r>
        <w:rPr>
          <w:highlight w:val="none"/>
          <w:lang w:val="en-US"/>
        </w:rPr>
        <w:t xml:space="preserve"> </w:t>
      </w:r>
    </w:p>
    <w:p w14:paraId="28FDA4BE">
      <w:pPr>
        <w:pStyle w:val="20"/>
        <w:widowControl/>
        <w:rPr>
          <w:rFonts w:hint="default" w:eastAsia="宋体"/>
          <w:b/>
          <w:bCs/>
          <w:color w:val="auto"/>
          <w:sz w:val="30"/>
          <w:szCs w:val="30"/>
          <w:highlight w:val="none"/>
          <w:lang w:val="en-US" w:eastAsia="zh-CN"/>
        </w:rPr>
      </w:pPr>
      <w:r>
        <w:rPr>
          <w:highlight w:val="none"/>
          <w:lang w:val="en-US"/>
        </w:rPr>
        <w:t xml:space="preserve"> </w:t>
      </w:r>
    </w:p>
    <w:p w14:paraId="221D8FBD">
      <w:pPr>
        <w:spacing w:line="800" w:lineRule="exact"/>
        <w:jc w:val="center"/>
        <w:rPr>
          <w:rFonts w:hint="eastAsia" w:ascii="宋体"/>
          <w:b/>
          <w:color w:val="auto"/>
          <w:sz w:val="32"/>
          <w:szCs w:val="32"/>
          <w:highlight w:val="none"/>
        </w:rPr>
      </w:pPr>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hAnsi="宋体" w:eastAsia="宋体" w:cs="宋体"/>
          <w:b/>
          <w:bCs/>
          <w:color w:val="auto"/>
          <w:sz w:val="32"/>
          <w:szCs w:val="32"/>
          <w:highlight w:val="none"/>
          <w:u w:val="single"/>
          <w:lang w:val="en-US" w:eastAsia="zh-CN"/>
        </w:rPr>
        <w:t>安徽省琅耶山健身休闲有限公司</w:t>
      </w:r>
      <w:r>
        <w:rPr>
          <w:rFonts w:hint="eastAsia" w:ascii="宋体"/>
          <w:b/>
          <w:color w:val="auto"/>
          <w:sz w:val="32"/>
          <w:szCs w:val="32"/>
          <w:highlight w:val="none"/>
        </w:rPr>
        <w:t>（盖单位章）</w:t>
      </w:r>
    </w:p>
    <w:p w14:paraId="6C1FA942">
      <w:pPr>
        <w:spacing w:line="800" w:lineRule="exact"/>
        <w:jc w:val="center"/>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hAnsi="宋体" w:cs="宋体"/>
          <w:b/>
          <w:bCs/>
          <w:color w:val="auto"/>
          <w:sz w:val="32"/>
          <w:szCs w:val="32"/>
          <w:highlight w:val="none"/>
          <w:u w:val="single"/>
          <w:lang w:eastAsia="zh-CN"/>
        </w:rPr>
        <w:t>安徽诚昇工程技术有限公司</w:t>
      </w:r>
      <w:r>
        <w:rPr>
          <w:rFonts w:hint="eastAsia" w:ascii="宋体"/>
          <w:b/>
          <w:color w:val="auto"/>
          <w:sz w:val="32"/>
          <w:szCs w:val="32"/>
          <w:highlight w:val="none"/>
        </w:rPr>
        <w:t>（盖单位章）</w:t>
      </w:r>
    </w:p>
    <w:p w14:paraId="460B7FF1">
      <w:pPr>
        <w:spacing w:line="800" w:lineRule="exact"/>
        <w:jc w:val="center"/>
        <w:rPr>
          <w:rFonts w:hint="default" w:ascii="宋体" w:eastAsia="宋体"/>
          <w:b/>
          <w:color w:val="auto"/>
          <w:sz w:val="32"/>
          <w:szCs w:val="32"/>
          <w:highlight w:val="none"/>
          <w:lang w:val="en-US" w:eastAsia="zh-CN"/>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5</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3</w:t>
      </w:r>
      <w:r>
        <w:rPr>
          <w:rFonts w:hint="eastAsia" w:ascii="宋体"/>
          <w:b/>
          <w:color w:val="auto"/>
          <w:sz w:val="32"/>
          <w:szCs w:val="32"/>
          <w:highlight w:val="none"/>
        </w:rPr>
        <w:t>月</w:t>
      </w:r>
    </w:p>
    <w:p w14:paraId="1403BA71">
      <w:pPr>
        <w:pStyle w:val="2"/>
        <w:widowControl/>
        <w:spacing w:before="0" w:beforeAutospacing="0" w:after="120" w:afterAutospacing="0"/>
        <w:ind w:left="0" w:leftChars="0" w:right="0" w:firstLine="0" w:firstLineChars="0"/>
        <w:rPr>
          <w:rFonts w:hint="eastAsia" w:ascii="宋体" w:hAnsi="宋体" w:eastAsia="宋体" w:cs="宋体"/>
          <w:b/>
          <w:bCs w:val="0"/>
          <w:color w:val="000000"/>
          <w:kern w:val="0"/>
          <w:sz w:val="36"/>
          <w:szCs w:val="36"/>
          <w:highlight w:val="none"/>
          <w:u w:color="000000"/>
          <w:lang w:val="en-US" w:eastAsia="zh-CN" w:bidi="ar"/>
        </w:rPr>
      </w:pPr>
    </w:p>
    <w:p w14:paraId="5D00FED6">
      <w:pPr>
        <w:rPr>
          <w:rFonts w:hint="eastAsia" w:ascii="宋体" w:hAnsi="宋体" w:eastAsia="宋体" w:cs="宋体"/>
          <w:b/>
          <w:bCs w:val="0"/>
          <w:color w:val="000000"/>
          <w:kern w:val="0"/>
          <w:sz w:val="36"/>
          <w:szCs w:val="36"/>
          <w:highlight w:val="none"/>
          <w:u w:color="000000"/>
          <w:lang w:val="en-US" w:eastAsia="zh-CN" w:bidi="ar"/>
        </w:rPr>
      </w:pPr>
    </w:p>
    <w:p w14:paraId="50507DEE">
      <w:pPr>
        <w:pStyle w:val="2"/>
        <w:rPr>
          <w:rFonts w:hint="eastAsia"/>
          <w:lang w:val="en-US" w:eastAsia="zh-CN"/>
        </w:rPr>
      </w:pPr>
    </w:p>
    <w:p w14:paraId="6A0BE26B">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380BCC66">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TOC \o "1-1" \h \u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_Toc4487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第一章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招标公告</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_Toc4487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2593BE52">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_Toc23335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0"/>
          <w:sz w:val="28"/>
          <w:szCs w:val="28"/>
          <w:highlight w:val="none"/>
          <w:lang w:val="en-US" w:eastAsia="zh-CN" w:bidi="ar"/>
        </w:rPr>
        <w:t>第二章  投标人须知</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_Toc23335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058D9B8D">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_Toc29327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44"/>
          <w:sz w:val="28"/>
          <w:szCs w:val="28"/>
          <w:highlight w:val="none"/>
          <w:lang w:val="en-US" w:eastAsia="zh-CN" w:bidi="ar"/>
        </w:rPr>
        <w:t>第三章  评标办法</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_Toc29327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15</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55C0B7F4">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_Toc10480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rPr>
        <w:t>第</w:t>
      </w:r>
      <w:r>
        <w:rPr>
          <w:rFonts w:hint="eastAsia" w:ascii="宋体" w:hAnsi="宋体" w:eastAsia="宋体" w:cs="宋体"/>
          <w:b w:val="0"/>
          <w:bCs w:val="0"/>
          <w:sz w:val="28"/>
          <w:szCs w:val="28"/>
          <w:highlight w:val="none"/>
          <w:lang w:val="en-US" w:eastAsia="zh-CN"/>
        </w:rPr>
        <w:t>四</w:t>
      </w:r>
      <w:r>
        <w:rPr>
          <w:rFonts w:hint="eastAsia" w:ascii="宋体" w:hAnsi="宋体" w:eastAsia="宋体" w:cs="宋体"/>
          <w:b w:val="0"/>
          <w:bCs w:val="0"/>
          <w:sz w:val="28"/>
          <w:szCs w:val="28"/>
          <w:highlight w:val="none"/>
        </w:rPr>
        <w:t xml:space="preserve">章  </w:t>
      </w:r>
      <w:r>
        <w:rPr>
          <w:rFonts w:hint="eastAsia" w:ascii="宋体" w:hAnsi="宋体" w:eastAsia="宋体" w:cs="宋体"/>
          <w:b w:val="0"/>
          <w:bCs w:val="0"/>
          <w:sz w:val="28"/>
          <w:szCs w:val="28"/>
          <w:highlight w:val="none"/>
          <w:lang w:eastAsia="zh-CN"/>
        </w:rPr>
        <w:t>采购需求</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_Toc10480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22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0AF3D291">
      <w:pPr>
        <w:pStyle w:val="19"/>
        <w:tabs>
          <w:tab w:val="right" w:leader="dot" w:pos="8306"/>
        </w:tabs>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_Toc17330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SA"/>
        </w:rPr>
        <w:t>第五章  合同条款及格式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US"/>
        </w:rPr>
        <w:fldChar w:fldCharType="end"/>
      </w:r>
      <w:r>
        <w:rPr>
          <w:rFonts w:hint="eastAsia" w:ascii="宋体" w:hAnsi="宋体" w:eastAsia="宋体" w:cs="宋体"/>
          <w:b w:val="0"/>
          <w:bCs w:val="0"/>
          <w:sz w:val="28"/>
          <w:szCs w:val="28"/>
          <w:highlight w:val="none"/>
          <w:lang w:val="en-US" w:eastAsia="zh-CN"/>
        </w:rPr>
        <w:t>5</w:t>
      </w:r>
    </w:p>
    <w:p w14:paraId="58EEB36A">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_Toc24238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
        </w:rPr>
        <w:t>第六章  投标文件格式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_Toc24238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55062D29">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_Toc7457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w:t>
      </w:r>
      <w:r>
        <w:rPr>
          <w:rFonts w:hint="eastAsia" w:ascii="宋体" w:hAnsi="宋体" w:eastAsia="宋体" w:cs="宋体"/>
          <w:b w:val="0"/>
          <w:bCs w:val="0"/>
          <w:sz w:val="28"/>
          <w:szCs w:val="28"/>
          <w:highlight w:val="none"/>
          <w:lang w:val="en-US" w:eastAsia="zh-CN"/>
        </w:rPr>
        <w:t>七</w:t>
      </w:r>
      <w:r>
        <w:rPr>
          <w:rFonts w:hint="eastAsia" w:ascii="宋体" w:hAnsi="宋体" w:eastAsia="宋体" w:cs="宋体"/>
          <w:b w:val="0"/>
          <w:bCs w:val="0"/>
          <w:sz w:val="28"/>
          <w:szCs w:val="28"/>
          <w:highlight w:val="none"/>
          <w:lang w:eastAsia="zh-CN"/>
        </w:rPr>
        <w:t>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招标人、招标代理机构对本招标文件的确认</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_Toc7457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5</w:t>
      </w:r>
      <w:r>
        <w:rPr>
          <w:rFonts w:hint="eastAsia" w:ascii="宋体" w:hAnsi="宋体" w:eastAsia="宋体" w:cs="宋体"/>
          <w:b w:val="0"/>
          <w:bCs w:val="0"/>
          <w:sz w:val="28"/>
          <w:szCs w:val="28"/>
          <w:highlight w:val="none"/>
          <w:lang w:val="en-US" w:eastAsia="zh-CN"/>
        </w:rPr>
        <w:t>8</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6BCB4F1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b w:val="0"/>
          <w:bCs w:val="0"/>
          <w:sz w:val="28"/>
          <w:szCs w:val="28"/>
          <w:highlight w:val="none"/>
          <w:lang w:val="en-US"/>
        </w:rPr>
        <w:fldChar w:fldCharType="end"/>
      </w:r>
    </w:p>
    <w:p w14:paraId="1556EA26">
      <w:pPr>
        <w:rPr>
          <w:rFonts w:hint="eastAsia" w:ascii="宋体" w:hAnsi="宋体" w:eastAsia="宋体" w:cs="宋体"/>
          <w:sz w:val="24"/>
          <w:szCs w:val="24"/>
          <w:highlight w:val="none"/>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7D2CD4EA">
      <w:pPr>
        <w:pStyle w:val="20"/>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outlineLvl w:val="0"/>
        <w:rPr>
          <w:rFonts w:hint="eastAsia" w:ascii="宋体" w:hAnsi="宋体" w:eastAsia="宋体" w:cs="宋体"/>
          <w:b/>
          <w:bCs/>
          <w:sz w:val="32"/>
          <w:szCs w:val="32"/>
          <w:highlight w:val="none"/>
          <w:lang w:val="en-US"/>
        </w:rPr>
      </w:pPr>
      <w:bookmarkStart w:id="0" w:name="_Toc23741_WPSOffice_Level1"/>
      <w:bookmarkEnd w:id="0"/>
      <w:bookmarkStart w:id="1" w:name="_Toc29214"/>
      <w:bookmarkEnd w:id="1"/>
      <w:bookmarkStart w:id="2" w:name="_Toc4487"/>
      <w:r>
        <w:rPr>
          <w:rFonts w:hint="eastAsia" w:ascii="宋体" w:hAnsi="宋体" w:eastAsia="宋体" w:cs="宋体"/>
          <w:b/>
          <w:bCs/>
          <w:sz w:val="32"/>
          <w:szCs w:val="32"/>
          <w:highlight w:val="none"/>
          <w:lang w:eastAsia="zh-CN"/>
        </w:rPr>
        <w:t>第一章</w:t>
      </w:r>
      <w:r>
        <w:rPr>
          <w:rFonts w:hint="eastAsia" w:ascii="宋体" w:hAnsi="Calibri" w:eastAsia="楷体_GB2312" w:cs="宋体"/>
          <w:b/>
          <w:bCs/>
          <w:sz w:val="32"/>
          <w:szCs w:val="32"/>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sz w:val="32"/>
          <w:szCs w:val="32"/>
          <w:highlight w:val="none"/>
          <w:lang w:eastAsia="zh-CN"/>
        </w:rPr>
        <w:t>招标公告</w:t>
      </w:r>
      <w:bookmarkEnd w:id="2"/>
    </w:p>
    <w:p w14:paraId="7226391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28359079"/>
      <w:bookmarkEnd w:id="5"/>
      <w:bookmarkStart w:id="6" w:name="_Toc58430305"/>
      <w:bookmarkEnd w:id="6"/>
      <w:bookmarkStart w:id="7" w:name="_Toc35393621"/>
      <w:bookmarkEnd w:id="7"/>
      <w:bookmarkStart w:id="8" w:name="_Toc28359002"/>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14:paraId="30308A1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2025年琅琊山森林漂流皮划艇采购项目的潜在</w:t>
      </w:r>
      <w:r>
        <w:rPr>
          <w:rFonts w:hint="eastAsia" w:ascii="宋体" w:hAnsi="宋体" w:eastAsia="宋体" w:cs="宋体"/>
          <w:color w:val="auto"/>
          <w:kern w:val="0"/>
          <w:sz w:val="21"/>
          <w:szCs w:val="21"/>
          <w:highlight w:val="none"/>
          <w:u w:color="000000"/>
          <w:lang w:val="en-US" w:eastAsia="zh-CN" w:bidi="ar"/>
        </w:rPr>
        <w:t>投标人应在【琅琊山景区】(https://www.lysfjq.cn/)获取招标文件，并于</w:t>
      </w:r>
      <w:r>
        <w:rPr>
          <w:rFonts w:hint="eastAsia" w:ascii="宋体" w:hAnsi="宋体" w:eastAsia="宋体" w:cs="宋体"/>
          <w:b/>
          <w:bCs/>
          <w:color w:val="auto"/>
          <w:kern w:val="0"/>
          <w:sz w:val="21"/>
          <w:szCs w:val="21"/>
          <w:highlight w:val="none"/>
          <w:u w:color="000000"/>
          <w:lang w:val="en-US" w:eastAsia="zh-CN" w:bidi="ar"/>
        </w:rPr>
        <w:t>202</w:t>
      </w:r>
      <w:r>
        <w:rPr>
          <w:rFonts w:hint="eastAsia" w:ascii="宋体" w:hAnsi="宋体" w:eastAsia="宋体" w:cs="宋体"/>
          <w:b/>
          <w:bCs/>
          <w:color w:val="000000"/>
          <w:kern w:val="0"/>
          <w:sz w:val="21"/>
          <w:szCs w:val="21"/>
          <w:highlight w:val="none"/>
          <w:u w:color="000000"/>
          <w:lang w:val="en-US" w:eastAsia="zh-CN" w:bidi="ar"/>
        </w:rPr>
        <w:t>5年3月 21日15时00分</w:t>
      </w:r>
      <w:r>
        <w:rPr>
          <w:rFonts w:hint="eastAsia" w:ascii="宋体" w:hAnsi="宋体" w:eastAsia="宋体" w:cs="宋体"/>
          <w:color w:val="000000"/>
          <w:kern w:val="0"/>
          <w:sz w:val="21"/>
          <w:szCs w:val="21"/>
          <w:highlight w:val="none"/>
          <w:u w:color="000000"/>
          <w:lang w:val="en-US" w:eastAsia="zh-CN" w:bidi="ar"/>
        </w:rPr>
        <w:t>（北京时间）前递交投标文件。</w:t>
      </w:r>
    </w:p>
    <w:p w14:paraId="3E4CAB3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14:paraId="64EEE74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项目名称：2025年琅琊山森林漂流皮划艇采购项目</w:t>
      </w:r>
    </w:p>
    <w:p w14:paraId="26AEED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项目预算金额：290000</w:t>
      </w:r>
      <w:r>
        <w:rPr>
          <w:rFonts w:hint="eastAsia" w:ascii="宋体" w:hAnsi="宋体" w:eastAsia="宋体" w:cs="宋体"/>
          <w:b w:val="0"/>
          <w:bCs w:val="0"/>
          <w:color w:val="auto"/>
          <w:kern w:val="0"/>
          <w:sz w:val="21"/>
          <w:szCs w:val="21"/>
          <w:highlight w:val="none"/>
          <w:u w:color="000000"/>
          <w:lang w:val="en-US" w:eastAsia="zh-CN" w:bidi="ar"/>
        </w:rPr>
        <w:t>元</w:t>
      </w:r>
    </w:p>
    <w:p w14:paraId="68D47398">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最高限价：</w:t>
      </w:r>
      <w:r>
        <w:rPr>
          <w:rFonts w:hint="eastAsia" w:ascii="宋体" w:hAnsi="宋体" w:eastAsia="宋体" w:cs="宋体"/>
          <w:b w:val="0"/>
          <w:bCs w:val="0"/>
          <w:color w:val="auto"/>
          <w:kern w:val="0"/>
          <w:sz w:val="21"/>
          <w:szCs w:val="21"/>
          <w:highlight w:val="none"/>
          <w:u w:color="000000"/>
          <w:lang w:val="en-US" w:eastAsia="zh-CN" w:bidi="ar"/>
        </w:rPr>
        <w:t>本项目最高限价为（人民币）贰拾玖万</w:t>
      </w:r>
      <w:r>
        <w:rPr>
          <w:rFonts w:hint="eastAsia" w:ascii="宋体" w:hAnsi="宋体" w:eastAsia="宋体" w:cs="宋体"/>
          <w:color w:val="auto"/>
          <w:kern w:val="0"/>
          <w:sz w:val="21"/>
          <w:szCs w:val="21"/>
          <w:highlight w:val="none"/>
          <w:u w:color="000000"/>
          <w:lang w:val="en-US" w:eastAsia="zh-CN" w:bidi="ar"/>
        </w:rPr>
        <w:t>元整，</w:t>
      </w:r>
      <w:r>
        <w:rPr>
          <w:rFonts w:hint="eastAsia" w:ascii="宋体" w:hAnsi="宋体" w:eastAsia="宋体" w:cs="宋体"/>
          <w:b w:val="0"/>
          <w:bCs w:val="0"/>
          <w:color w:val="auto"/>
          <w:kern w:val="0"/>
          <w:sz w:val="21"/>
          <w:szCs w:val="21"/>
          <w:highlight w:val="none"/>
          <w:u w:color="000000"/>
          <w:lang w:val="en-US" w:eastAsia="zh-CN" w:bidi="ar"/>
        </w:rPr>
        <w:t>投标报价不得超过最高限价，否则按无效投标处理。</w:t>
      </w:r>
    </w:p>
    <w:p w14:paraId="5D2BC59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采购需求：漂流艇采购，具体详见项目采购需求。</w:t>
      </w:r>
    </w:p>
    <w:p w14:paraId="090AF0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供货期要求：自合同签订后接到招标人通知之日起5个日历天内完成供货并确保货物验收合格。</w:t>
      </w:r>
    </w:p>
    <w:p w14:paraId="2DCCC71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本项目不接受联合体投标。</w:t>
      </w:r>
    </w:p>
    <w:p w14:paraId="5ED727F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color w:val="auto"/>
          <w:spacing w:val="2"/>
          <w:sz w:val="21"/>
          <w:szCs w:val="21"/>
          <w:highlight w:val="none"/>
          <w:lang w:val="en-US"/>
        </w:rPr>
      </w:pPr>
      <w:r>
        <w:rPr>
          <w:rFonts w:hint="eastAsia" w:ascii="宋体" w:hAnsi="宋体" w:eastAsia="宋体" w:cs="宋体"/>
          <w:b/>
          <w:bCs w:val="0"/>
          <w:color w:val="auto"/>
          <w:spacing w:val="2"/>
          <w:kern w:val="0"/>
          <w:sz w:val="21"/>
          <w:szCs w:val="21"/>
          <w:highlight w:val="none"/>
          <w:u w:color="000000"/>
          <w:lang w:val="en-US" w:eastAsia="zh-CN" w:bidi="ar"/>
        </w:rPr>
        <w:t>二、</w:t>
      </w:r>
      <w:r>
        <w:rPr>
          <w:rFonts w:hint="eastAsia" w:ascii="宋体" w:hAnsi="宋体" w:eastAsia="宋体" w:cs="宋体"/>
          <w:b/>
          <w:bCs w:val="0"/>
          <w:color w:val="auto"/>
          <w:kern w:val="0"/>
          <w:sz w:val="21"/>
          <w:szCs w:val="21"/>
          <w:highlight w:val="none"/>
          <w:u w:color="000000"/>
          <w:lang w:val="en-US" w:eastAsia="zh-CN" w:bidi="ar"/>
        </w:rPr>
        <w:t>申请人的资格要求</w:t>
      </w:r>
    </w:p>
    <w:p w14:paraId="7CAF5DE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1.投标人具有相应供货和服务能力。</w:t>
      </w:r>
    </w:p>
    <w:p w14:paraId="0296ED22">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2.信誉要求：投标人不得存在以下情形：</w:t>
      </w:r>
    </w:p>
    <w:p w14:paraId="1C8A658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①投标人被人民法院列入失信被执行人的；</w:t>
      </w:r>
    </w:p>
    <w:p w14:paraId="6B7DB01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②投标人或其法定代表人前三年有行贿犯罪行为的；</w:t>
      </w:r>
    </w:p>
    <w:p w14:paraId="712E924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③投标人被市场监督管理部门列入经营异常名录或者严重违法企业名单，且未被移除的；</w:t>
      </w:r>
    </w:p>
    <w:p w14:paraId="521199D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④投标人被税务部门列入重大税收违法案件当事人的；</w:t>
      </w:r>
    </w:p>
    <w:p w14:paraId="28FF07C8">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⑤在“信用中国”网站上披露仍在公示期的严重失信行为的；</w:t>
      </w:r>
    </w:p>
    <w:p w14:paraId="589C6061">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⑥被滁州市县两级各行业主管部门及公管部门取消在一定期限内的投标资格且在取消期限内的；</w:t>
      </w:r>
    </w:p>
    <w:p w14:paraId="4154AB12">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⑦被滁州市县两级公管部门记入不良行为记录或者信用信息记录，且在披露期内的。</w:t>
      </w:r>
    </w:p>
    <w:p w14:paraId="66ABBE1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⑧被人力资源社会保障主管部门列入拖欠农民工工资‘黑名单’或因拖欠农民工工资被县级及以上有关行政主管部门限制投标资格且在限制期限内的。</w:t>
      </w:r>
    </w:p>
    <w:p w14:paraId="618BF02C">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3.投标人所属分公司、办事处等分支机构存在第3条信誉要求①-⑧项情形之一的， 接受 投标人参加本项目。</w:t>
      </w:r>
    </w:p>
    <w:p w14:paraId="7D31CCB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备注：第3、4条按照附件1“关于联合惩戒失信行为加强信用查询管理的通知”查询或承诺。</w:t>
      </w:r>
    </w:p>
    <w:p w14:paraId="4985A2C7">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4.本项目不接受联合体投标</w:t>
      </w:r>
    </w:p>
    <w:p w14:paraId="52DA342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14:paraId="20FA743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b/>
          <w:bCs/>
          <w:sz w:val="21"/>
          <w:szCs w:val="21"/>
          <w:highlight w:val="none"/>
          <w:u w:val="single"/>
          <w:lang w:val="en-US"/>
        </w:rPr>
      </w:pPr>
      <w:r>
        <w:rPr>
          <w:rFonts w:hint="eastAsia" w:ascii="宋体" w:hAnsi="宋体" w:eastAsia="宋体" w:cs="宋体"/>
          <w:b/>
          <w:bCs/>
          <w:color w:val="000000"/>
          <w:kern w:val="0"/>
          <w:sz w:val="21"/>
          <w:szCs w:val="21"/>
          <w:highlight w:val="none"/>
          <w:u w:color="000000"/>
          <w:lang w:val="en-US" w:eastAsia="zh-CN" w:bidi="ar"/>
        </w:rPr>
        <w:t>时间：</w:t>
      </w:r>
      <w:r>
        <w:rPr>
          <w:rFonts w:hint="eastAsia" w:ascii="宋体" w:hAnsi="宋体" w:eastAsia="宋体" w:cs="宋体"/>
          <w:b/>
          <w:bCs/>
          <w:color w:val="000000"/>
          <w:kern w:val="0"/>
          <w:sz w:val="21"/>
          <w:szCs w:val="21"/>
          <w:highlight w:val="none"/>
          <w:u w:val="single" w:color="000000"/>
          <w:lang w:val="en-US" w:eastAsia="zh-CN" w:bidi="ar"/>
        </w:rPr>
        <w:t xml:space="preserve"> 2025年3月 14 日</w:t>
      </w:r>
      <w:r>
        <w:rPr>
          <w:rFonts w:hint="eastAsia" w:ascii="宋体" w:hAnsi="宋体" w:eastAsia="宋体" w:cs="宋体"/>
          <w:b/>
          <w:bCs/>
          <w:color w:val="000000"/>
          <w:kern w:val="0"/>
          <w:sz w:val="21"/>
          <w:szCs w:val="21"/>
          <w:highlight w:val="none"/>
          <w:u w:color="000000"/>
          <w:lang w:val="en-US" w:eastAsia="zh-CN" w:bidi="ar"/>
        </w:rPr>
        <w:t>至</w:t>
      </w:r>
      <w:r>
        <w:rPr>
          <w:rFonts w:hint="eastAsia" w:ascii="宋体" w:hAnsi="宋体" w:eastAsia="宋体" w:cs="宋体"/>
          <w:b/>
          <w:bCs/>
          <w:color w:val="000000"/>
          <w:kern w:val="0"/>
          <w:sz w:val="21"/>
          <w:szCs w:val="21"/>
          <w:highlight w:val="none"/>
          <w:u w:val="single" w:color="000000"/>
          <w:lang w:val="en-US" w:eastAsia="zh-CN" w:bidi="ar"/>
        </w:rPr>
        <w:t xml:space="preserve"> 2025年3月21日</w:t>
      </w:r>
    </w:p>
    <w:p w14:paraId="319B4D8F">
      <w:pPr>
        <w:keepNext w:val="0"/>
        <w:keepLines w:val="0"/>
        <w:pageBreakBefore w:val="0"/>
        <w:kinsoku/>
        <w:overflowPunct/>
        <w:topLinePunct w:val="0"/>
        <w:autoSpaceDE/>
        <w:autoSpaceDN/>
        <w:bidi w:val="0"/>
        <w:adjustRightInd/>
        <w:snapToGrid/>
        <w:spacing w:line="440" w:lineRule="exact"/>
        <w:ind w:firstLine="540"/>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地点：【琅琊山景区】(https://www.lysfjq.cn/)</w:t>
      </w:r>
    </w:p>
    <w:p w14:paraId="13D48B7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14:paraId="4AB9B72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14:paraId="4F33425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cs="宋体"/>
          <w:b/>
          <w:color w:val="auto"/>
          <w:sz w:val="21"/>
          <w:szCs w:val="21"/>
          <w:highlight w:val="none"/>
        </w:rPr>
        <w:t>四、提交投标文件截止时间、开标时间和</w:t>
      </w:r>
      <w:r>
        <w:rPr>
          <w:rFonts w:hint="eastAsia" w:ascii="宋体" w:hAnsi="宋体" w:cs="宋体"/>
          <w:b/>
          <w:color w:val="auto"/>
          <w:sz w:val="21"/>
          <w:szCs w:val="21"/>
          <w:highlight w:val="none"/>
          <w:lang w:val="en-US" w:eastAsia="zh-CN"/>
        </w:rPr>
        <w:t>地点</w:t>
      </w:r>
    </w:p>
    <w:p w14:paraId="7F91703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截止时间：</w:t>
      </w:r>
      <w:r>
        <w:rPr>
          <w:rFonts w:hint="eastAsia" w:ascii="宋体" w:hAnsi="宋体" w:eastAsia="宋体" w:cs="宋体"/>
          <w:b/>
          <w:bCs w:val="0"/>
          <w:color w:val="auto"/>
          <w:kern w:val="0"/>
          <w:sz w:val="21"/>
          <w:szCs w:val="21"/>
          <w:highlight w:val="none"/>
          <w:u w:val="single" w:color="000000"/>
          <w:lang w:val="en-US" w:eastAsia="zh-CN" w:bidi="ar"/>
        </w:rPr>
        <w:t>2025年3月21日15时00分</w:t>
      </w:r>
      <w:r>
        <w:rPr>
          <w:rFonts w:hint="eastAsia" w:ascii="宋体" w:hAnsi="宋体" w:eastAsia="宋体" w:cs="宋体"/>
          <w:b/>
          <w:bCs w:val="0"/>
          <w:color w:val="auto"/>
          <w:kern w:val="0"/>
          <w:sz w:val="21"/>
          <w:szCs w:val="21"/>
          <w:highlight w:val="none"/>
          <w:u w:color="000000"/>
          <w:lang w:val="en-US" w:eastAsia="zh-CN" w:bidi="ar"/>
        </w:rPr>
        <w:t>（北京时间）</w:t>
      </w:r>
    </w:p>
    <w:p w14:paraId="3C2BE80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default"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地点：安徽省琅耶山健身休闲有限公司会议室（安徽省滁州市西涧中路4306号）  </w:t>
      </w:r>
    </w:p>
    <w:p w14:paraId="7A473C1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14:paraId="1D802D3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bCs/>
          <w:sz w:val="21"/>
          <w:szCs w:val="21"/>
          <w:highlight w:val="none"/>
          <w:u w:val="single"/>
          <w:lang w:val="en-US"/>
        </w:rPr>
      </w:pPr>
      <w:r>
        <w:rPr>
          <w:rFonts w:hint="eastAsia" w:ascii="宋体" w:hAnsi="宋体" w:eastAsia="宋体" w:cs="宋体"/>
          <w:bCs/>
          <w:color w:val="000000"/>
          <w:kern w:val="0"/>
          <w:sz w:val="21"/>
          <w:szCs w:val="21"/>
          <w:highlight w:val="none"/>
          <w:u w:color="000000"/>
          <w:lang w:val="en-US" w:eastAsia="zh-CN" w:bidi="ar"/>
        </w:rPr>
        <w:t>本项目不要求投标人提交投标保证金。</w:t>
      </w:r>
    </w:p>
    <w:p w14:paraId="0EF4BA4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14:paraId="2645F1D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1.招标人信息</w:t>
      </w:r>
    </w:p>
    <w:p w14:paraId="4117D12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称：安徽省琅耶山健身休闲有限公司</w:t>
      </w:r>
    </w:p>
    <w:p w14:paraId="6CAE5245">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w:t>
      </w:r>
      <w:r>
        <w:rPr>
          <w:rFonts w:hint="eastAsia" w:ascii="宋体" w:hAnsi="宋体" w:eastAsia="宋体" w:cs="宋体"/>
          <w:color w:val="auto"/>
          <w:szCs w:val="21"/>
          <w:highlight w:val="none"/>
          <w:lang w:val="en-US" w:eastAsia="zh-CN"/>
        </w:rPr>
        <w:t xml:space="preserve">安徽省滁州市西涧中路4306号 </w:t>
      </w:r>
    </w:p>
    <w:p w14:paraId="42229E7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4" w:name="_Toc28359086"/>
      <w:bookmarkStart w:id="15" w:name="_Toc28359009"/>
      <w:r>
        <w:rPr>
          <w:rFonts w:hint="eastAsia" w:ascii="宋体" w:hAnsi="宋体" w:eastAsia="宋体" w:cs="宋体"/>
          <w:color w:val="auto"/>
          <w:szCs w:val="21"/>
          <w:highlight w:val="none"/>
          <w:lang w:val="en-US" w:eastAsia="zh-CN"/>
        </w:rPr>
        <w:t>13365700719</w:t>
      </w:r>
    </w:p>
    <w:p w14:paraId="09393DBD">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2.采购代理机构信息</w:t>
      </w:r>
      <w:bookmarkEnd w:id="14"/>
      <w:bookmarkEnd w:id="15"/>
    </w:p>
    <w:p w14:paraId="2B4213F3">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称：安徽诚昇工程技术有限公司　</w:t>
      </w:r>
    </w:p>
    <w:p w14:paraId="43E06E5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址：滁州市南谯区花园东路1086号　</w:t>
      </w:r>
    </w:p>
    <w:p w14:paraId="56DBD27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6" w:name="_Toc28359010"/>
      <w:bookmarkStart w:id="17" w:name="_Toc28359087"/>
      <w:r>
        <w:rPr>
          <w:rFonts w:hint="eastAsia" w:ascii="宋体" w:hAnsi="宋体" w:eastAsia="宋体" w:cs="宋体"/>
          <w:color w:val="auto"/>
          <w:szCs w:val="21"/>
          <w:highlight w:val="none"/>
          <w:lang w:eastAsia="zh-CN"/>
        </w:rPr>
        <w:t>15255016513</w:t>
      </w:r>
    </w:p>
    <w:p w14:paraId="59D90E4D">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3.项目联系方式</w:t>
      </w:r>
      <w:bookmarkEnd w:id="16"/>
      <w:bookmarkEnd w:id="17"/>
    </w:p>
    <w:p w14:paraId="44A4CD9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lang w:val="en-US" w:eastAsia="zh-CN"/>
        </w:rPr>
        <w:t>钱宇欣、陈艳菊</w:t>
      </w:r>
    </w:p>
    <w:p w14:paraId="71C7340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电　话：</w:t>
      </w:r>
      <w:r>
        <w:rPr>
          <w:rFonts w:hint="eastAsia" w:ascii="宋体" w:hAnsi="宋体" w:eastAsia="宋体" w:cs="宋体"/>
          <w:color w:val="auto"/>
          <w:szCs w:val="21"/>
          <w:highlight w:val="none"/>
          <w:lang w:val="en-US" w:eastAsia="zh-CN"/>
        </w:rPr>
        <w:t>13365700719</w:t>
      </w:r>
      <w:r>
        <w:rPr>
          <w:rFonts w:hint="eastAsia" w:ascii="宋体" w:hAnsi="宋体" w:eastAsia="宋体" w:cs="宋体"/>
          <w:color w:val="auto"/>
          <w:szCs w:val="21"/>
          <w:highlight w:val="none"/>
          <w:lang w:eastAsia="zh-CN"/>
        </w:rPr>
        <w:t>、15255016513</w:t>
      </w:r>
    </w:p>
    <w:p w14:paraId="4777F7E5">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p>
    <w:p w14:paraId="4E29E9F4">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452D5F1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379E5C5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1EC33B2C">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0F103B7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662771F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r>
        <w:rPr>
          <w:rFonts w:hint="eastAsia" w:ascii="宋体" w:hAnsi="宋体" w:eastAsia="宋体" w:cs="宋体"/>
          <w:bCs/>
          <w:color w:val="000000"/>
          <w:kern w:val="0"/>
          <w:sz w:val="32"/>
          <w:szCs w:val="32"/>
          <w:highlight w:val="none"/>
          <w:u w:color="000000"/>
          <w:lang w:val="en-US" w:eastAsia="zh-CN" w:bidi="ar"/>
        </w:rPr>
        <w:t xml:space="preserve">  </w:t>
      </w:r>
    </w:p>
    <w:p w14:paraId="235C063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789D225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
          <w:bCs/>
          <w:color w:val="auto"/>
          <w:kern w:val="0"/>
          <w:sz w:val="32"/>
          <w:szCs w:val="32"/>
          <w:highlight w:val="none"/>
          <w:u w:color="000000"/>
          <w:lang w:val="en-US" w:eastAsia="zh-CN" w:bidi="ar"/>
        </w:rPr>
      </w:pPr>
      <w:r>
        <w:rPr>
          <w:rFonts w:hint="eastAsia" w:ascii="宋体" w:hAnsi="宋体" w:eastAsia="宋体" w:cs="宋体"/>
          <w:bCs/>
          <w:color w:val="000000"/>
          <w:kern w:val="0"/>
          <w:sz w:val="32"/>
          <w:szCs w:val="32"/>
          <w:highlight w:val="none"/>
          <w:u w:color="000000"/>
          <w:lang w:val="en-US" w:eastAsia="zh-CN" w:bidi="ar"/>
        </w:rPr>
        <w:t xml:space="preserve"> </w:t>
      </w:r>
      <w:bookmarkStart w:id="18" w:name="_Toc23335"/>
      <w:r>
        <w:rPr>
          <w:rFonts w:hint="eastAsia" w:ascii="宋体" w:hAnsi="宋体" w:eastAsia="宋体" w:cs="宋体"/>
          <w:b/>
          <w:bCs/>
          <w:color w:val="auto"/>
          <w:kern w:val="0"/>
          <w:sz w:val="32"/>
          <w:szCs w:val="32"/>
          <w:highlight w:val="none"/>
          <w:u w:color="000000"/>
          <w:lang w:val="en-US" w:eastAsia="zh-CN" w:bidi="ar"/>
        </w:rPr>
        <w:t>第二章 投标人须知</w:t>
      </w:r>
      <w:bookmarkEnd w:id="18"/>
      <w:bookmarkStart w:id="19" w:name="_Toc9559"/>
      <w:bookmarkEnd w:id="19"/>
      <w:bookmarkStart w:id="20" w:name="_Toc28003_WPSOffice_Level2"/>
    </w:p>
    <w:p w14:paraId="1DCCFE3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20"/>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6CFB1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BE7D609">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43BCA67C">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2900B1C7">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69D6F1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DDD3BFB">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78BA7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A9FFA3">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cs="Times New Roman"/>
                <w:bCs/>
                <w:highlight w:val="none"/>
                <w:lang w:val="en-US" w:eastAsia="zh-CN"/>
              </w:rPr>
            </w:pPr>
            <w:r>
              <w:rPr>
                <w:rFonts w:hint="eastAsia" w:cs="宋体"/>
                <w:color w:val="auto"/>
                <w:sz w:val="21"/>
                <w:szCs w:val="21"/>
                <w:highlight w:val="none"/>
                <w:lang w:eastAsia="zh-CN"/>
              </w:rPr>
              <w:t>2025年琅琊山森林漂流皮划艇采购项目</w:t>
            </w:r>
          </w:p>
        </w:tc>
      </w:tr>
      <w:tr w14:paraId="1B4474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E8CFE1A">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3DC72B">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DBC56D">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cs="Times New Roman"/>
                <w:bCs/>
                <w:highlight w:val="none"/>
                <w:lang w:val="en-US" w:eastAsia="zh-CN"/>
              </w:rPr>
            </w:pPr>
            <w:r>
              <w:rPr>
                <w:rFonts w:hint="default" w:cs="Times New Roman"/>
                <w:bCs/>
                <w:highlight w:val="none"/>
                <w:lang w:val="en-US" w:eastAsia="zh-CN"/>
              </w:rPr>
              <w:t>自合同签订后接到招标人通知之日起5个日历天内完成供货并确保货物验收合格。</w:t>
            </w:r>
          </w:p>
        </w:tc>
      </w:tr>
      <w:tr w14:paraId="789DEF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D277ABF">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FC0E0">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61D1A6">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2823A4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42EFC58">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AFEA35">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cs="Times New Roman"/>
                <w:highlight w:val="none"/>
                <w:lang w:val="en-US"/>
              </w:rPr>
            </w:pPr>
            <w:r>
              <w:rPr>
                <w:rFonts w:hint="eastAsia"/>
                <w:color w:val="auto"/>
                <w:sz w:val="21"/>
                <w:szCs w:val="21"/>
                <w:highlight w:val="none"/>
                <w:lang w:eastAsia="zh-CN"/>
              </w:rPr>
              <w:t>招标人</w:t>
            </w:r>
            <w:r>
              <w:rPr>
                <w:rFonts w:hint="eastAsia"/>
                <w:color w:val="auto"/>
                <w:sz w:val="21"/>
                <w:szCs w:val="21"/>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B460D43">
            <w:pPr>
              <w:pStyle w:val="15"/>
              <w:keepNext w:val="0"/>
              <w:keepLines w:val="0"/>
              <w:pageBreakBefore w:val="0"/>
              <w:kinsoku/>
              <w:wordWrap/>
              <w:overflowPunct/>
              <w:topLinePunct w:val="0"/>
              <w:autoSpaceDE/>
              <w:autoSpaceDN/>
              <w:bidi w:val="0"/>
              <w:adjustRightInd/>
              <w:spacing w:line="440" w:lineRule="exact"/>
              <w:ind w:left="0" w:leftChars="0" w:right="0" w:rightChars="0"/>
              <w:textAlignment w:val="auto"/>
              <w:rPr>
                <w:rFonts w:hint="default" w:ascii="宋体" w:hAnsi="宋体" w:eastAsia="宋体" w:cs="宋体"/>
                <w:color w:val="auto"/>
                <w:kern w:val="2"/>
                <w:sz w:val="21"/>
                <w:szCs w:val="21"/>
                <w:highlight w:val="none"/>
                <w:u w:color="auto"/>
                <w:lang w:val="en-US" w:eastAsia="zh-CN" w:bidi="ar"/>
              </w:rPr>
            </w:pPr>
            <w:r>
              <w:rPr>
                <w:rFonts w:hint="eastAsia" w:ascii="宋体" w:hAnsi="宋体" w:eastAsia="宋体" w:cs="宋体"/>
                <w:color w:val="auto"/>
                <w:sz w:val="21"/>
                <w:szCs w:val="21"/>
                <w:highlight w:val="none"/>
              </w:rPr>
              <w:t>联系人：</w:t>
            </w:r>
            <w:r>
              <w:rPr>
                <w:rFonts w:hint="eastAsia" w:cs="宋体"/>
                <w:color w:val="auto"/>
                <w:szCs w:val="21"/>
                <w:highlight w:val="none"/>
                <w:lang w:val="en-US" w:eastAsia="zh-CN"/>
              </w:rPr>
              <w:t>钱宇欣</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cs="宋体"/>
                <w:color w:val="auto"/>
                <w:szCs w:val="21"/>
                <w:highlight w:val="none"/>
                <w:lang w:val="en-US" w:eastAsia="zh-CN"/>
              </w:rPr>
              <w:t>13365700719</w:t>
            </w:r>
          </w:p>
        </w:tc>
      </w:tr>
      <w:tr w14:paraId="4B0399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BF6AB5">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96E195">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招标</w:t>
            </w:r>
            <w:r>
              <w:rPr>
                <w:rFonts w:cs="Times New Roman"/>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BC6518">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eastAsia="宋体" w:cs="宋体"/>
                <w:highlight w:val="none"/>
                <w:lang w:val="en-US" w:eastAsia="zh-CN"/>
              </w:rPr>
            </w:pPr>
            <w:r>
              <w:rPr>
                <w:rFonts w:hint="eastAsia" w:ascii="宋体" w:hAnsi="宋体" w:eastAsia="宋体" w:cs="宋体"/>
                <w:bCs/>
                <w:color w:val="auto"/>
                <w:sz w:val="21"/>
                <w:szCs w:val="21"/>
                <w:highlight w:val="none"/>
              </w:rPr>
              <w:t>联系人：</w:t>
            </w:r>
            <w:r>
              <w:rPr>
                <w:rFonts w:hint="eastAsia" w:cs="宋体"/>
                <w:color w:val="auto"/>
                <w:szCs w:val="21"/>
                <w:highlight w:val="none"/>
                <w:lang w:val="en-US" w:eastAsia="zh-CN"/>
              </w:rPr>
              <w:t>陈艳菊</w:t>
            </w:r>
            <w:r>
              <w:rPr>
                <w:rFonts w:hint="eastAsia" w:ascii="宋体" w:hAnsi="宋体" w:eastAsia="宋体" w:cs="宋体"/>
                <w:bCs/>
                <w:color w:val="auto"/>
                <w:sz w:val="21"/>
                <w:szCs w:val="21"/>
                <w:highlight w:val="none"/>
              </w:rPr>
              <w:t>；</w:t>
            </w:r>
            <w:r>
              <w:rPr>
                <w:rFonts w:hint="eastAsia" w:hAnsi="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cs="宋体"/>
                <w:color w:val="auto"/>
                <w:szCs w:val="21"/>
                <w:highlight w:val="none"/>
                <w:lang w:eastAsia="zh-CN"/>
              </w:rPr>
              <w:t>15255016513</w:t>
            </w:r>
          </w:p>
        </w:tc>
      </w:tr>
      <w:tr w14:paraId="34BA6B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58CB87">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6B000BC">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2B1A80">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hint="eastAsia" w:cs="Times New Roman"/>
                <w:color w:val="auto"/>
                <w:highlight w:val="none"/>
                <w:lang w:val="en-US" w:eastAsia="zh-CN"/>
              </w:rPr>
              <w:t>自筹</w:t>
            </w:r>
            <w:r>
              <w:rPr>
                <w:rFonts w:cs="Times New Roman"/>
                <w:color w:val="auto"/>
                <w:highlight w:val="none"/>
              </w:rPr>
              <w:t>资金</w:t>
            </w:r>
          </w:p>
        </w:tc>
      </w:tr>
      <w:tr w14:paraId="15568A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B6F4533">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E8B138">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36E70A">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290000.00元</w:t>
            </w:r>
          </w:p>
        </w:tc>
      </w:tr>
      <w:tr w14:paraId="05BF10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15A719">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5528C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81B679">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5614A7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DAE962">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B5ACD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18566E4">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63ECDA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D1FD93">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AAA2B9">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7C5FCB">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325E42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2A5FA">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76F3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A274D6">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509145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A12618">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C9C852">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6530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8DB3C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54B2DB">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EFF79F">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68D6">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BEEC0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3088F36">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7E399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E6C651">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不召开</w:t>
            </w:r>
          </w:p>
        </w:tc>
      </w:tr>
      <w:tr w14:paraId="0FA964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564176">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85BB8F">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DF981F">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 w:val="0"/>
                <w:bCs w:val="0"/>
                <w:highlight w:val="none"/>
                <w:lang w:val="en-US"/>
              </w:rPr>
            </w:pPr>
            <w:r>
              <w:rPr>
                <w:rFonts w:hint="eastAsia" w:cs="Times New Roman"/>
                <w:b w:val="0"/>
                <w:bCs w:val="0"/>
                <w:highlight w:val="none"/>
              </w:rPr>
              <w:t>质疑时间：202</w:t>
            </w:r>
            <w:r>
              <w:rPr>
                <w:rFonts w:hint="eastAsia" w:cs="Times New Roman"/>
                <w:b w:val="0"/>
                <w:bCs w:val="0"/>
                <w:highlight w:val="none"/>
                <w:lang w:val="en-US" w:eastAsia="zh-CN"/>
              </w:rPr>
              <w:t>5</w:t>
            </w:r>
            <w:r>
              <w:rPr>
                <w:rFonts w:hint="eastAsia" w:cs="Times New Roman"/>
                <w:b w:val="0"/>
                <w:bCs w:val="0"/>
                <w:highlight w:val="none"/>
              </w:rPr>
              <w:t>年</w:t>
            </w:r>
            <w:r>
              <w:rPr>
                <w:rFonts w:hint="eastAsia" w:cs="Times New Roman"/>
                <w:b w:val="0"/>
                <w:bCs w:val="0"/>
                <w:highlight w:val="none"/>
                <w:lang w:val="en-US" w:eastAsia="zh-CN"/>
              </w:rPr>
              <w:t>3</w:t>
            </w:r>
            <w:r>
              <w:rPr>
                <w:rFonts w:hint="eastAsia" w:cs="Times New Roman"/>
                <w:b w:val="0"/>
                <w:bCs w:val="0"/>
                <w:highlight w:val="none"/>
              </w:rPr>
              <w:t>月</w:t>
            </w:r>
            <w:r>
              <w:rPr>
                <w:rFonts w:hint="eastAsia" w:cs="Times New Roman"/>
                <w:b w:val="0"/>
                <w:bCs w:val="0"/>
                <w:highlight w:val="none"/>
                <w:lang w:val="en-US" w:eastAsia="zh-CN"/>
              </w:rPr>
              <w:t xml:space="preserve"> 18 </w:t>
            </w:r>
            <w:r>
              <w:rPr>
                <w:rFonts w:hint="eastAsia" w:cs="Times New Roman"/>
                <w:b w:val="0"/>
                <w:bCs w:val="0"/>
                <w:highlight w:val="none"/>
              </w:rPr>
              <w:t>日</w:t>
            </w:r>
            <w:r>
              <w:rPr>
                <w:rFonts w:hint="eastAsia" w:cs="Times New Roman"/>
                <w:b w:val="0"/>
                <w:bCs w:val="0"/>
                <w:highlight w:val="none"/>
                <w:lang w:val="en-US" w:eastAsia="zh-CN"/>
              </w:rPr>
              <w:t>8</w:t>
            </w:r>
            <w:r>
              <w:rPr>
                <w:rFonts w:hint="eastAsia" w:cs="Times New Roman"/>
                <w:b w:val="0"/>
                <w:bCs w:val="0"/>
                <w:highlight w:val="none"/>
              </w:rPr>
              <w:t>时前，供应商将所遇到的问题将疑问以书面形式（加盖公章）送至招标代理机构处，本项目不再集中召开投标预备会。</w:t>
            </w:r>
          </w:p>
        </w:tc>
      </w:tr>
      <w:tr w14:paraId="1F6FD4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F2E70D">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B9BFD5F">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82B8D">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bCs/>
                <w:color w:val="auto"/>
                <w:kern w:val="2"/>
                <w:sz w:val="21"/>
                <w:szCs w:val="21"/>
                <w:highlight w:val="none"/>
                <w:u w:color="auto"/>
                <w:lang w:val="en-US" w:eastAsia="zh-CN" w:bidi="ar"/>
              </w:rPr>
              <w:t>2025年3月20日12时后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color w:val="auto"/>
                <w:kern w:val="0"/>
                <w:sz w:val="21"/>
                <w:szCs w:val="21"/>
                <w:highlight w:val="none"/>
                <w:u w:color="000000"/>
                <w:lang w:val="en-US" w:eastAsia="zh-CN" w:bidi="ar"/>
              </w:rPr>
              <w:t>【琅琊山景区】(https://www.lysfjq.cn/)</w:t>
            </w:r>
            <w:r>
              <w:rPr>
                <w:rFonts w:hint="eastAsia" w:ascii="宋体" w:cs="宋体"/>
                <w:szCs w:val="21"/>
                <w:highlight w:val="none"/>
              </w:rPr>
              <w:t>发布。</w:t>
            </w:r>
          </w:p>
        </w:tc>
      </w:tr>
      <w:tr w14:paraId="6ACA53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1F48B1">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FB7F83">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1164A1">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FDF63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148A9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D36E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代理服务及专家评审等费用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68F9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代理服务费用金额：1300元，专家评审费按实计算。</w:t>
            </w:r>
          </w:p>
          <w:p w14:paraId="7CCEBC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代理服务费及专家评审等费用支付主体：中标单位，中标单位在获取中标通知书时一次性支付给代理机构。</w:t>
            </w:r>
          </w:p>
        </w:tc>
      </w:tr>
      <w:tr w14:paraId="63505D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7E3E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7A21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4263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563CEC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51F4AF">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D28EE6">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7314D5">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9</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2EB758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53C42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AC995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D0AFD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16623B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63E9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AB2C5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0CB901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投标文件须按格式文件要求签字或盖章</w:t>
            </w:r>
          </w:p>
        </w:tc>
      </w:tr>
      <w:tr w14:paraId="7B2153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C592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B185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DE9A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正本一份，副本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份。密封后递交</w:t>
            </w:r>
            <w:r>
              <w:rPr>
                <w:rFonts w:hint="eastAsia" w:ascii="宋体" w:hAnsi="宋体" w:cs="宋体"/>
                <w:color w:val="auto"/>
                <w:szCs w:val="21"/>
                <w:highlight w:val="none"/>
                <w:lang w:eastAsia="zh-CN"/>
              </w:rPr>
              <w:t>。</w:t>
            </w:r>
          </w:p>
        </w:tc>
      </w:tr>
      <w:tr w14:paraId="182970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6C6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A289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2F967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投标文件按顺序装订</w:t>
            </w:r>
          </w:p>
        </w:tc>
      </w:tr>
      <w:tr w14:paraId="3C79FB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AD264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6341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97F19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投标人地址：</w:t>
            </w:r>
          </w:p>
          <w:p w14:paraId="61238A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投标人名称：</w:t>
            </w:r>
          </w:p>
          <w:p w14:paraId="2483B4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                                   （项目名称）投标文件</w:t>
            </w:r>
          </w:p>
          <w:p w14:paraId="6E77580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在 2025年  月  日  时  分前不得开启</w:t>
            </w:r>
          </w:p>
        </w:tc>
      </w:tr>
      <w:tr w14:paraId="3AC2F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vMerge w:val="restart"/>
            <w:tcBorders>
              <w:top w:val="single" w:color="auto" w:sz="8" w:space="0"/>
              <w:left w:val="single" w:color="auto" w:sz="12" w:space="0"/>
              <w:right w:val="single" w:color="auto" w:sz="8" w:space="0"/>
            </w:tcBorders>
            <w:shd w:val="clear" w:color="auto" w:fill="auto"/>
            <w:vAlign w:val="center"/>
          </w:tcPr>
          <w:p w14:paraId="6B4C1B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77E7E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kern w:val="2"/>
                <w:highlight w:val="none"/>
                <w:lang w:val="en-US"/>
              </w:rPr>
            </w:pPr>
            <w:r>
              <w:rPr>
                <w:rFonts w:hint="eastAsia" w:ascii="宋体"/>
                <w:b/>
                <w:bCs/>
                <w:color w:val="auto"/>
                <w:sz w:val="21"/>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063DE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 xml:space="preserve"> 2025年3月 21 日15时00分（北京时间）</w:t>
            </w:r>
          </w:p>
        </w:tc>
      </w:tr>
      <w:tr w14:paraId="2521B0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vMerge w:val="continue"/>
            <w:tcBorders>
              <w:left w:val="single" w:color="auto" w:sz="12" w:space="0"/>
              <w:right w:val="single" w:color="auto" w:sz="8" w:space="0"/>
            </w:tcBorders>
            <w:shd w:val="clear" w:color="auto" w:fill="auto"/>
            <w:vAlign w:val="center"/>
          </w:tcPr>
          <w:p w14:paraId="6737831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75C0C6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BC97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开标时间：2025年3月 21 日15时00分（北京时间）</w:t>
            </w:r>
          </w:p>
          <w:p w14:paraId="1321B9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 xml:space="preserve">开标地点：安徽省琅耶山健身休闲有限公司会议室（安徽省滁州市西涧中路4306号） </w:t>
            </w:r>
          </w:p>
        </w:tc>
      </w:tr>
      <w:tr w14:paraId="1D95FF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20" w:hRule="atLeast"/>
        </w:trPr>
        <w:tc>
          <w:tcPr>
            <w:tcW w:w="1035" w:type="dxa"/>
            <w:vMerge w:val="continue"/>
            <w:tcBorders>
              <w:left w:val="single" w:color="auto" w:sz="12" w:space="0"/>
              <w:bottom w:val="single" w:color="auto" w:sz="8" w:space="0"/>
              <w:right w:val="single" w:color="auto" w:sz="8" w:space="0"/>
            </w:tcBorders>
            <w:shd w:val="clear" w:color="auto" w:fill="auto"/>
            <w:vAlign w:val="center"/>
          </w:tcPr>
          <w:p w14:paraId="6BA141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A6F6A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4112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密封情况：由投标人或其推选的代表检查投标文件的密封情况 ；</w:t>
            </w:r>
          </w:p>
          <w:p w14:paraId="7C7561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开标顺序：由代理机构开启投标文件，报评标委员会评审。</w:t>
            </w:r>
          </w:p>
        </w:tc>
      </w:tr>
      <w:tr w14:paraId="2DC992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C035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8807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1C0B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14:paraId="447009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5CECF7D">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B95D86">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CA97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4D0BBA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38E6340">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7EBB21">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E59C4">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w:t>
            </w:r>
            <w:r>
              <w:rPr>
                <w:rFonts w:hint="eastAsia" w:cs="宋体"/>
                <w:szCs w:val="21"/>
                <w:highlight w:val="none"/>
                <w:lang w:val="en-US" w:eastAsia="zh-CN"/>
              </w:rPr>
              <w:t>3</w:t>
            </w:r>
            <w:r>
              <w:rPr>
                <w:rFonts w:hint="eastAsia" w:ascii="宋体" w:hAnsi="宋体" w:cs="宋体"/>
                <w:szCs w:val="21"/>
                <w:highlight w:val="none"/>
              </w:rPr>
              <w:t>名，并标明排序。</w:t>
            </w:r>
          </w:p>
        </w:tc>
      </w:tr>
      <w:tr w14:paraId="6D0541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9CF490">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DE3C587">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6DABE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1FB75986">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w:t>
            </w:r>
            <w:r>
              <w:rPr>
                <w:rFonts w:hint="eastAsia" w:ascii="宋体" w:hAnsi="Times New Roman" w:eastAsia="宋体" w:cs="Times New Roman"/>
                <w:color w:val="auto"/>
                <w:szCs w:val="21"/>
                <w:highlight w:val="none"/>
              </w:rPr>
              <w:t>公告期为1个工作日</w:t>
            </w:r>
          </w:p>
        </w:tc>
      </w:tr>
      <w:tr w14:paraId="606B27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2B44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45E7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3A33E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0EFDB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18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47A3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2582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color w:val="auto"/>
                <w:sz w:val="21"/>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A377E5">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是否收取履约担保</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收取 </w:t>
            </w:r>
          </w:p>
          <w:p w14:paraId="6C058483">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形式：支持银行转账、银行电汇、银行保函、担保机构担保、保证保险使用</w:t>
            </w:r>
          </w:p>
          <w:p w14:paraId="1F5701D1">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金额：中标合同金额×</w:t>
            </w:r>
            <w:r>
              <w:rPr>
                <w:rFonts w:hint="eastAsia" w:ascii="宋体" w:hAnsi="宋体" w:eastAsia="宋体" w:cs="宋体"/>
                <w:b w:val="0"/>
                <w:bCs w:val="0"/>
                <w:color w:val="auto"/>
                <w:sz w:val="21"/>
                <w:szCs w:val="21"/>
                <w:highlight w:val="none"/>
                <w:lang w:val="en-US" w:eastAsia="zh-CN"/>
              </w:rPr>
              <w:t>2</w:t>
            </w:r>
            <w:r>
              <w:rPr>
                <w:rFonts w:hint="eastAsia"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w:t>
            </w:r>
          </w:p>
          <w:p w14:paraId="0B2DCB0A">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收款单位：另行通知                  </w:t>
            </w:r>
          </w:p>
          <w:p w14:paraId="7B300AA7">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开户银行：另行通知                 </w:t>
            </w:r>
          </w:p>
          <w:p w14:paraId="5A963791">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银行账号：另行通知  </w:t>
            </w:r>
          </w:p>
          <w:p w14:paraId="1EC282C6">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缴纳时限：中标人须在中标通知书发出后</w:t>
            </w:r>
            <w:r>
              <w:rPr>
                <w:rFonts w:hint="eastAsia"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 xml:space="preserve">日内完成履约保证金缴纳及合同签订，如未按期交齐履约保证金或未按期签订合同的，视同放弃中标资格。 </w:t>
            </w:r>
          </w:p>
          <w:p w14:paraId="62CB20EF">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退还时限：履约保证金有效期满7日内。</w:t>
            </w:r>
          </w:p>
          <w:p w14:paraId="716BDC32">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其他相关要求：</w:t>
            </w:r>
          </w:p>
          <w:p w14:paraId="726B2BC1">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1、采用银行保函的具体要求</w:t>
            </w:r>
          </w:p>
          <w:p w14:paraId="3309B334">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①保函形式须为见索即付型（无条件保函）；</w:t>
            </w:r>
          </w:p>
          <w:p w14:paraId="0C2B462A">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②须经招标人认可。</w:t>
            </w:r>
          </w:p>
          <w:p w14:paraId="597D7020">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2、采用担保保函的具体要求：须经招标人认可。</w:t>
            </w:r>
          </w:p>
          <w:p w14:paraId="20854CA2">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3、采用商业保险的具体要求：须经招标人认可。</w:t>
            </w:r>
          </w:p>
          <w:p w14:paraId="1BA30E4C">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rPr>
              <w:t>4、采用第三方担保的具体要求：须经招标人认可。</w:t>
            </w:r>
          </w:p>
        </w:tc>
      </w:tr>
      <w:tr w14:paraId="440699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0C87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color w:val="auto"/>
                <w:sz w:val="21"/>
                <w:szCs w:val="21"/>
                <w:highlight w:val="yellow"/>
              </w:rPr>
              <w:t>付款方式、时间、条件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325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eastAsiaTheme="minorEastAsia"/>
                <w:color w:val="auto"/>
                <w:highlight w:val="none"/>
                <w:lang w:val="en-US" w:eastAsia="zh-CN"/>
              </w:rPr>
            </w:pPr>
            <w:r>
              <w:rPr>
                <w:rFonts w:hint="eastAsia" w:ascii="宋体" w:hAnsi="宋体" w:eastAsia="宋体" w:cs="宋体"/>
                <w:b/>
                <w:bCs/>
                <w:color w:val="auto"/>
                <w:sz w:val="21"/>
                <w:szCs w:val="21"/>
                <w:highlight w:val="none"/>
                <w:lang w:val="en-US" w:eastAsia="zh-CN"/>
              </w:rPr>
              <w:t>1.无预付款，中标人将货物运至指定地点并由采购人验收合格后，</w:t>
            </w:r>
            <w:r>
              <w:rPr>
                <w:rFonts w:hint="eastAsia" w:ascii="宋体" w:hAnsi="宋体" w:eastAsia="宋体" w:cs="宋体"/>
                <w:b/>
                <w:bCs/>
                <w:color w:val="auto"/>
                <w:sz w:val="21"/>
                <w:szCs w:val="21"/>
                <w:highlight w:val="yellow"/>
                <w:lang w:val="en-US" w:eastAsia="zh-CN"/>
              </w:rPr>
              <w:t>支付95%合同价款，剩余5%质保期结束后付清。</w:t>
            </w:r>
          </w:p>
        </w:tc>
      </w:tr>
      <w:tr w14:paraId="2E292F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8D9B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E2D73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67E01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021921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130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D65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63863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8BC9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296D01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019FC2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F5B72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B0962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bl>
    <w:p w14:paraId="6D2E5900">
      <w:pPr>
        <w:rPr>
          <w:rFonts w:hint="eastAsia" w:ascii="宋体" w:hAnsi="宋体" w:eastAsia="宋体" w:cs="宋体"/>
          <w:b/>
          <w:bCs w:val="0"/>
          <w:color w:val="000000"/>
          <w:kern w:val="0"/>
          <w:sz w:val="28"/>
          <w:szCs w:val="28"/>
          <w:highlight w:val="none"/>
          <w:u w:color="000000"/>
          <w:lang w:val="en-US" w:eastAsia="zh-CN" w:bidi="ar"/>
        </w:rPr>
      </w:pPr>
      <w:bookmarkStart w:id="21" w:name="_Toc122"/>
      <w:bookmarkEnd w:id="21"/>
      <w:r>
        <w:rPr>
          <w:rFonts w:hint="eastAsia" w:ascii="宋体" w:hAnsi="宋体" w:eastAsia="宋体" w:cs="宋体"/>
          <w:b/>
          <w:bCs w:val="0"/>
          <w:color w:val="000000"/>
          <w:kern w:val="0"/>
          <w:sz w:val="28"/>
          <w:szCs w:val="28"/>
          <w:highlight w:val="none"/>
          <w:u w:color="000000"/>
          <w:lang w:val="en-US" w:eastAsia="zh-CN" w:bidi="ar"/>
        </w:rPr>
        <w:br w:type="page"/>
      </w:r>
    </w:p>
    <w:p w14:paraId="7DB96E6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38D265B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2" w:name="_Toc26859"/>
      <w:bookmarkEnd w:id="22"/>
      <w:bookmarkStart w:id="23"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3"/>
    </w:p>
    <w:p w14:paraId="4B1C0DA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4B3F8B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3915296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7D9CE29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121E3EE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6E00A15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7B587397">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288E078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2749154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0C99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1A8621EC">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14:paraId="0A2992A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00410E5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AE641D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14:paraId="79E376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06888F8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74577EF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31BC579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1108D155">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w:t>
      </w:r>
    </w:p>
    <w:p w14:paraId="0C5E0F5E">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14:paraId="1794C86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综合评分法。</w:t>
      </w:r>
      <w:r>
        <w:rPr>
          <w:rFonts w:hint="eastAsia" w:ascii="宋体" w:hAnsi="宋体" w:eastAsia="宋体" w:cs="宋体"/>
          <w:color w:val="auto"/>
          <w:kern w:val="0"/>
          <w:sz w:val="21"/>
          <w:szCs w:val="21"/>
          <w:highlight w:val="none"/>
          <w:u w:color="000000"/>
          <w:lang w:val="en-US" w:eastAsia="zh-CN" w:bidi="ar"/>
        </w:rPr>
        <w:t>（详见第三章评标办法）</w:t>
      </w:r>
    </w:p>
    <w:p w14:paraId="10749633">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14:paraId="2D5224B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F40857E">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14:paraId="3A4F1F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964E7CB">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4" w:name="_Toc144974507"/>
      <w:bookmarkEnd w:id="24"/>
      <w:bookmarkStart w:id="25" w:name="_Toc247527563"/>
      <w:bookmarkEnd w:id="25"/>
      <w:bookmarkStart w:id="26" w:name="_Toc152042315"/>
      <w:bookmarkEnd w:id="26"/>
      <w:bookmarkStart w:id="27" w:name="_Toc247513962"/>
      <w:bookmarkEnd w:id="27"/>
      <w:bookmarkStart w:id="28" w:name="_Toc152045539"/>
      <w:bookmarkEnd w:id="28"/>
      <w:bookmarkStart w:id="29" w:name="_Toc296602429"/>
      <w:bookmarkEnd w:id="29"/>
      <w:bookmarkStart w:id="30"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30"/>
    </w:p>
    <w:p w14:paraId="7F8898A1">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253E4FE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02E547A">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3FF7D76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3F0B66D">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无论投标人是否到现场实地踏勘，中标后签订合同时和履约过程中，投标人不得以不完全了解现场情况或现场情况与招标文件描述不一致等为由，提出任何形式的增加工程造价或索赔的要求。</w:t>
      </w:r>
    </w:p>
    <w:p w14:paraId="6A4C187C">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75FD52D1">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34408D9F">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14:paraId="40C643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838BA27">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14:paraId="3A67BB84">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4881099">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14:paraId="5B03D80D">
      <w:pPr>
        <w:spacing w:line="360" w:lineRule="auto"/>
        <w:ind w:firstLine="420" w:firstLineChars="200"/>
        <w:rPr>
          <w:rFonts w:hint="eastAsia" w:ascii="宋体"/>
          <w:szCs w:val="21"/>
          <w:highlight w:val="none"/>
        </w:rPr>
      </w:pPr>
      <w:bookmarkStart w:id="31" w:name="_Toc24655"/>
      <w:bookmarkEnd w:id="31"/>
      <w:bookmarkStart w:id="32" w:name="_Toc10668_WPSOffice_Level3"/>
      <w:bookmarkEnd w:id="32"/>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99EC1A">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6883FDA0">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71B1EE4F">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03C3630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（1）国家对本次投标货物和服务的生产、调试、验收、维修等有关法律、法规及行业管理标准；</w:t>
      </w:r>
    </w:p>
    <w:p w14:paraId="63BCE63D">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7C2B91E9">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4752FE06">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172994F5">
      <w:pPr>
        <w:spacing w:line="440" w:lineRule="exact"/>
        <w:ind w:firstLine="527" w:firstLineChars="250"/>
        <w:rPr>
          <w:rFonts w:ascii="宋体"/>
          <w:bCs/>
          <w:szCs w:val="21"/>
          <w:highlight w:val="none"/>
        </w:rPr>
      </w:pPr>
      <w:r>
        <w:rPr>
          <w:rFonts w:hint="eastAsia" w:ascii="宋体"/>
          <w:b/>
          <w:szCs w:val="21"/>
          <w:highlight w:val="none"/>
        </w:rPr>
        <w:t>14.保密</w:t>
      </w:r>
    </w:p>
    <w:p w14:paraId="26F77F2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2D5886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1CF2757D">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14:paraId="12E1FD4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29427645">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14:paraId="085CC0C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C323C1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2A53CA6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485980C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3E37ADA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14:paraId="40F9A7C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0B8E0D1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14:paraId="61AB69E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267EC58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6C36944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4DF8F4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6B3AFC2E">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11DCB263">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网上留言或书面形式提出。招标人将在收到异议之日起3日内作出答复；作出答复前，将暂停招标投标活动。</w:t>
      </w:r>
    </w:p>
    <w:p w14:paraId="0039AA3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5F7DB09B">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14:paraId="2F91AC3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b/>
          <w:bCs w:val="0"/>
          <w:color w:val="000000"/>
          <w:kern w:val="0"/>
          <w:sz w:val="21"/>
          <w:szCs w:val="21"/>
          <w:highlight w:val="none"/>
          <w:u w:color="000000"/>
          <w:lang w:val="en-US" w:eastAsia="zh-CN" w:bidi="ar"/>
        </w:rPr>
        <w:t>【琅琊山景区】(https://www.lysfjq.cn/)</w:t>
      </w:r>
      <w:r>
        <w:rPr>
          <w:rFonts w:hint="eastAsia" w:ascii="宋体" w:hAnsi="宋体" w:eastAsia="宋体" w:cs="宋体"/>
          <w:bCs/>
          <w:color w:val="000000"/>
          <w:kern w:val="0"/>
          <w:sz w:val="21"/>
          <w:szCs w:val="21"/>
          <w:highlight w:val="none"/>
          <w:u w:color="000000"/>
          <w:lang w:val="en-US" w:eastAsia="zh-CN" w:bidi="ar"/>
        </w:rPr>
        <w:t>发出。</w:t>
      </w:r>
    </w:p>
    <w:p w14:paraId="00E83DF1">
      <w:pPr>
        <w:spacing w:line="440" w:lineRule="exact"/>
        <w:ind w:firstLine="422" w:firstLineChars="200"/>
        <w:rPr>
          <w:rFonts w:hint="eastAsia" w:ascii="宋体" w:hAnsi="宋体" w:eastAsia="宋体" w:cs="宋体"/>
          <w:b/>
          <w:bCs w:val="0"/>
          <w:color w:val="000000"/>
          <w:kern w:val="0"/>
          <w:sz w:val="21"/>
          <w:szCs w:val="21"/>
          <w:highlight w:val="none"/>
          <w:u w:color="000000"/>
          <w:lang w:val="en-US" w:eastAsia="zh-CN" w:bidi="ar"/>
        </w:rPr>
      </w:pPr>
      <w:bookmarkStart w:id="33" w:name="_Toc1549_WPSOffice_Level3"/>
      <w:bookmarkEnd w:id="33"/>
      <w:bookmarkStart w:id="34" w:name="_Toc9710"/>
      <w:r>
        <w:rPr>
          <w:rFonts w:hint="eastAsia" w:ascii="宋体" w:hAnsi="宋体" w:eastAsia="宋体" w:cs="宋体"/>
          <w:b/>
          <w:bCs w:val="0"/>
          <w:color w:val="000000"/>
          <w:kern w:val="0"/>
          <w:sz w:val="21"/>
          <w:szCs w:val="21"/>
          <w:highlight w:val="none"/>
          <w:u w:color="000000"/>
          <w:lang w:val="en-US" w:eastAsia="zh-CN" w:bidi="ar"/>
        </w:rPr>
        <w:t>19.样品</w:t>
      </w:r>
      <w:bookmarkEnd w:id="34"/>
      <w:r>
        <w:rPr>
          <w:rFonts w:hint="eastAsia" w:ascii="宋体" w:hAnsi="宋体" w:eastAsia="宋体" w:cs="宋体"/>
          <w:b/>
          <w:bCs w:val="0"/>
          <w:color w:val="000000"/>
          <w:kern w:val="0"/>
          <w:sz w:val="21"/>
          <w:szCs w:val="21"/>
          <w:highlight w:val="none"/>
          <w:u w:color="000000"/>
          <w:lang w:val="en-US" w:eastAsia="zh-CN" w:bidi="ar"/>
        </w:rPr>
        <w:t>（本项目不采用）</w:t>
      </w:r>
    </w:p>
    <w:p w14:paraId="14539248">
      <w:pPr>
        <w:spacing w:line="440" w:lineRule="exact"/>
        <w:ind w:firstLine="420" w:firstLineChars="200"/>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b w:val="0"/>
          <w:bCs/>
          <w:color w:val="000000"/>
          <w:kern w:val="0"/>
          <w:sz w:val="21"/>
          <w:szCs w:val="21"/>
          <w:highlight w:val="none"/>
          <w:u w:color="000000"/>
          <w:lang w:val="en-US" w:eastAsia="zh-CN" w:bidi="ar"/>
        </w:rPr>
        <w:t>19.1 凡需要设置样品情形时，必须明确是否需要随样品提交检测报告，并明确检测机构的要求、检测内容、成交样品封存等事项。磋商小组无法判断样品是否合格且样品需要提供给第三方权威检测机构检测的,在供应商提供采购人认可的第三方权威检测机构检测报告后，磋商小组推荐的成交候选供应商方可生效，采购人或代理机构发布中标（成交）结果公告。磋商文件中应明确样品送检方式、检测费用支付方法、供应商在规定时间内无法提供第三方权威检测机构检测报告的处理方式。</w:t>
      </w:r>
      <w:r>
        <w:rPr>
          <w:rFonts w:hint="eastAsia" w:ascii="宋体" w:hAnsi="宋体" w:eastAsia="宋体" w:cs="宋体"/>
          <w:b/>
          <w:bCs w:val="0"/>
          <w:color w:val="000000"/>
          <w:kern w:val="0"/>
          <w:sz w:val="21"/>
          <w:szCs w:val="21"/>
          <w:highlight w:val="none"/>
          <w:u w:color="000000"/>
          <w:lang w:val="en-US" w:eastAsia="zh-CN" w:bidi="ar"/>
        </w:rPr>
        <w:t>（本项目不需要提供样品）</w:t>
      </w:r>
    </w:p>
    <w:p w14:paraId="0640972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4C4109A7">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0CCF493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12B0525B">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2DDD0733">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7966AD9F">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21.1投标文件由投标文件一（资信证明文件）、投标文件二（技术标）和投标文件三（商务标）三部分组成。</w:t>
      </w:r>
    </w:p>
    <w:p w14:paraId="1C0D16DC">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14:paraId="7A1F0BE1">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0AF0D6A4">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7B54ECE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44F28A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220FADC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22.3投标报价的综合单价包括完成本项目全部供货及服务的一切费用：包括但不限于设备费、材料费（含</w:t>
      </w:r>
      <w:r>
        <w:rPr>
          <w:rFonts w:hint="eastAsia"/>
          <w:highlight w:val="none"/>
          <w:lang w:val="en-US" w:eastAsia="zh-CN"/>
        </w:rPr>
        <w:t>辅材）</w:t>
      </w:r>
      <w:r>
        <w:rPr>
          <w:rFonts w:hint="eastAsia" w:ascii="宋体" w:hAnsi="宋体" w:eastAsia="宋体" w:cs="宋体"/>
          <w:color w:val="000000"/>
          <w:kern w:val="0"/>
          <w:sz w:val="21"/>
          <w:szCs w:val="21"/>
          <w:highlight w:val="none"/>
          <w:u w:color="000000"/>
          <w:lang w:val="en-US" w:eastAsia="zh-CN" w:bidi="ar"/>
        </w:rPr>
        <w:t>、装卸费、运输费、管理费、其他费</w:t>
      </w:r>
      <w:r>
        <w:rPr>
          <w:rFonts w:hint="eastAsia" w:ascii="宋体" w:hAnsi="宋体" w:eastAsia="宋体" w:cs="宋体"/>
          <w:color w:val="auto"/>
          <w:kern w:val="0"/>
          <w:sz w:val="21"/>
          <w:szCs w:val="21"/>
          <w:highlight w:val="none"/>
          <w:u w:color="000000"/>
          <w:lang w:val="en-US" w:eastAsia="zh-CN" w:bidi="ar"/>
        </w:rPr>
        <w:t>用（如包装费、仓储费、保管费）、调试费、利润、招标代理费、专家评审费、售后服务费、税金</w:t>
      </w:r>
      <w:r>
        <w:rPr>
          <w:rFonts w:hint="eastAsia" w:ascii="宋体" w:hAnsi="宋体" w:eastAsia="宋体" w:cs="宋体"/>
          <w:color w:val="auto"/>
          <w:szCs w:val="21"/>
          <w:highlight w:val="none"/>
          <w:lang w:val="en-US" w:eastAsia="zh-CN"/>
        </w:rPr>
        <w:t>费用等，</w:t>
      </w:r>
      <w:r>
        <w:rPr>
          <w:rFonts w:hint="eastAsia" w:ascii="宋体" w:hAnsi="宋体" w:eastAsia="宋体" w:cs="宋体"/>
          <w:color w:val="auto"/>
          <w:kern w:val="0"/>
          <w:sz w:val="21"/>
          <w:szCs w:val="21"/>
          <w:highlight w:val="none"/>
          <w:u w:color="000000"/>
          <w:lang w:val="en-US" w:eastAsia="zh-CN" w:bidi="ar"/>
        </w:rPr>
        <w:t>政策性文件规定及合同包含的所有风险和责任等</w:t>
      </w:r>
      <w:r>
        <w:rPr>
          <w:rFonts w:hint="eastAsia" w:ascii="宋体" w:hAnsi="宋体" w:eastAsia="宋体" w:cs="宋体"/>
          <w:color w:val="000000"/>
          <w:kern w:val="0"/>
          <w:sz w:val="21"/>
          <w:szCs w:val="21"/>
          <w:highlight w:val="none"/>
          <w:u w:color="000000"/>
          <w:lang w:val="en-US" w:eastAsia="zh-CN" w:bidi="ar"/>
        </w:rPr>
        <w:t>、货物送至招标人指定地点前的各项应有费用，</w:t>
      </w:r>
      <w:r>
        <w:rPr>
          <w:rFonts w:hint="eastAsia" w:ascii="宋体" w:hAnsi="宋体" w:eastAsia="宋体" w:cs="宋体"/>
          <w:color w:val="000000"/>
          <w:szCs w:val="21"/>
          <w:highlight w:val="none"/>
          <w:lang w:val="en-US" w:eastAsia="zh-CN"/>
        </w:rPr>
        <w:t>采购人后期不再追加任何费用</w:t>
      </w:r>
      <w:r>
        <w:rPr>
          <w:rFonts w:hint="eastAsia" w:ascii="宋体" w:hAnsi="宋体" w:eastAsia="宋体" w:cs="宋体"/>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5BC84B0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14:paraId="2F6A08C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3545774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1BD35B4E">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14:paraId="34219C6A">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6E72E59E">
      <w:pPr>
        <w:spacing w:line="440" w:lineRule="exact"/>
        <w:ind w:firstLine="403" w:firstLineChars="192"/>
        <w:rPr>
          <w:rFonts w:hint="eastAsia" w:ascii="宋体"/>
          <w:color w:val="000000"/>
          <w:szCs w:val="21"/>
          <w:highlight w:val="none"/>
        </w:rPr>
      </w:pPr>
      <w:r>
        <w:rPr>
          <w:rFonts w:hint="eastAsia" w:ascii="宋体"/>
          <w:szCs w:val="21"/>
          <w:highlight w:val="none"/>
        </w:rPr>
        <w:t>22.9</w:t>
      </w:r>
      <w:r>
        <w:rPr>
          <w:rFonts w:hint="eastAsia" w:ascii="宋体"/>
          <w:color w:val="000000"/>
          <w:szCs w:val="21"/>
          <w:highlight w:val="none"/>
        </w:rPr>
        <w:t>如投标文件中未列明全面实现投标货物功能而必须配置的配套或辅助设施及相应技术措施的费用，这些费用将被视为已包含在总投标价中。</w:t>
      </w:r>
    </w:p>
    <w:p w14:paraId="2E9F5F43">
      <w:pPr>
        <w:spacing w:line="440" w:lineRule="exact"/>
        <w:ind w:firstLine="403" w:firstLineChars="192"/>
        <w:rPr>
          <w:rFonts w:hint="eastAsia" w:ascii="宋体"/>
          <w:color w:val="000000"/>
          <w:szCs w:val="21"/>
          <w:highlight w:val="none"/>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.1</w:t>
      </w:r>
      <w:r>
        <w:rPr>
          <w:rFonts w:hint="eastAsia" w:ascii="宋体"/>
          <w:color w:val="000000"/>
          <w:szCs w:val="21"/>
          <w:highlight w:val="none"/>
          <w:lang w:val="en-US" w:eastAsia="zh-CN"/>
        </w:rPr>
        <w:t>0</w:t>
      </w:r>
      <w:r>
        <w:rPr>
          <w:rFonts w:hint="eastAsia" w:ascii="宋体"/>
          <w:color w:val="000000"/>
          <w:szCs w:val="21"/>
          <w:highlight w:val="none"/>
        </w:rPr>
        <w:t>投标人不得对从第三方采购货物的随机备品、备件另行收费，否则在计算评标价时这部分费用将不予扣除，在授予合同时将从中标价格中扣除该部分费用。</w:t>
      </w:r>
    </w:p>
    <w:p w14:paraId="2AC0CCA3">
      <w:pPr>
        <w:spacing w:line="440" w:lineRule="exact"/>
        <w:ind w:firstLine="403" w:firstLineChars="192"/>
        <w:rPr>
          <w:rFonts w:hint="eastAsia" w:ascii="宋体" w:hAnsi="宋体" w:eastAsia="宋体" w:cs="宋体"/>
          <w:b/>
          <w:bCs w:val="0"/>
          <w:color w:val="000000"/>
          <w:kern w:val="0"/>
          <w:sz w:val="21"/>
          <w:szCs w:val="21"/>
          <w:highlight w:val="none"/>
          <w:u w:color="000000"/>
          <w:lang w:val="en-US" w:eastAsia="zh-CN" w:bidi="ar"/>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w:t>
      </w:r>
      <w:r>
        <w:rPr>
          <w:rFonts w:hint="eastAsia" w:ascii="宋体"/>
          <w:color w:val="000000"/>
          <w:szCs w:val="21"/>
          <w:highlight w:val="none"/>
          <w:lang w:val="en-US" w:eastAsia="zh-CN"/>
        </w:rPr>
        <w:t>11</w:t>
      </w:r>
      <w:r>
        <w:rPr>
          <w:rFonts w:hint="eastAsia" w:ascii="宋体"/>
          <w:color w:val="000000"/>
          <w:szCs w:val="21"/>
          <w:highlight w:val="none"/>
        </w:rPr>
        <w:t>投标人应根据</w:t>
      </w:r>
      <w:r>
        <w:rPr>
          <w:rFonts w:hint="eastAsia" w:ascii="宋体"/>
          <w:color w:val="000000"/>
          <w:szCs w:val="21"/>
          <w:highlight w:val="none"/>
          <w:lang w:eastAsia="zh-CN"/>
        </w:rPr>
        <w:t>货物</w:t>
      </w:r>
      <w:r>
        <w:rPr>
          <w:rFonts w:hint="eastAsia" w:ascii="宋体"/>
          <w:color w:val="000000"/>
          <w:szCs w:val="21"/>
          <w:highlight w:val="none"/>
        </w:rPr>
        <w:t>的状况列出随机备品备件的清单和数量，并将该备品备件价格计入总投标价，若所提供的产品无需备件，则应在投标文件中说明；无论投标人在报价中列明随机备品备件的数量及价格多少，在</w:t>
      </w:r>
      <w:r>
        <w:rPr>
          <w:rFonts w:hint="eastAsia" w:ascii="宋体"/>
          <w:color w:val="000000"/>
          <w:szCs w:val="21"/>
          <w:highlight w:val="none"/>
          <w:lang w:eastAsia="zh-CN"/>
        </w:rPr>
        <w:t>质保</w:t>
      </w:r>
      <w:r>
        <w:rPr>
          <w:rFonts w:hint="eastAsia" w:ascii="宋体"/>
          <w:color w:val="000000"/>
          <w:szCs w:val="21"/>
          <w:highlight w:val="none"/>
        </w:rPr>
        <w:t>期内采购人均无需为维护维修保养所需的专用工具和备品备件另行支付费用。</w:t>
      </w:r>
    </w:p>
    <w:p w14:paraId="67603096">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2A34AEF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除投标人须知前附表另有规定外，投标有效期为90天。</w:t>
      </w:r>
    </w:p>
    <w:p w14:paraId="6E818FB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68C22BA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076F6762">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0C51EF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4C1C4D09">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5" w:name="_Toc6570_WPSOffice_Level3"/>
      <w:bookmarkEnd w:id="35"/>
      <w:bookmarkStart w:id="36"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6"/>
    </w:p>
    <w:p w14:paraId="59FD684D">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7" w:name="_Toc490"/>
      <w:bookmarkEnd w:id="37"/>
      <w:bookmarkStart w:id="38" w:name="_Toc30407_WPSOffice_Level3"/>
      <w:bookmarkEnd w:id="38"/>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5CF901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25.1投标文件份数：正本1份，副本2份。</w:t>
      </w:r>
    </w:p>
    <w:p w14:paraId="6F547A7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27EF79D7">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B8EE1A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投标人须在投标人须知前附表规定的投标截止时间前递交投标文件。</w:t>
      </w:r>
    </w:p>
    <w:p w14:paraId="4F9F39F1">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58AE8821">
      <w:pPr>
        <w:spacing w:line="440" w:lineRule="exact"/>
        <w:ind w:firstLine="315" w:firstLineChars="150"/>
        <w:jc w:val="left"/>
        <w:rPr>
          <w:rFonts w:hint="eastAsia" w:ascii="宋体" w:hAnsi="宋体" w:eastAsia="宋体" w:cs="宋体"/>
          <w:color w:val="000000"/>
          <w:szCs w:val="21"/>
          <w:highlight w:val="none"/>
          <w:lang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在投标人须知前附表规定的投标截止时间前，投标人可以修改或撤回已递交的投标文件，但应以书面形式通知招标人</w:t>
      </w:r>
      <w:r>
        <w:rPr>
          <w:rFonts w:hint="eastAsia" w:ascii="宋体" w:hAnsi="宋体" w:eastAsia="宋体" w:cs="宋体"/>
          <w:color w:val="000000"/>
          <w:szCs w:val="21"/>
          <w:highlight w:val="none"/>
          <w:lang w:eastAsia="zh-CN"/>
        </w:rPr>
        <w:t>。</w:t>
      </w:r>
    </w:p>
    <w:p w14:paraId="08972E22">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2 投标人修改或撤回已递交投标文件的书面通知应按照本章的要求签字或盖章。招标人收到书面通知后，投标人签到登记。</w:t>
      </w:r>
    </w:p>
    <w:p w14:paraId="1EF018C0">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.3 投标人撤回投标文件的，招标人自收到投标人书面撤回通知之日起5日内退还已收取的投标保证金。</w:t>
      </w:r>
    </w:p>
    <w:p w14:paraId="4852BD9D">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.4 修改的内容为投标文件的组成部分。修改的投标文件应按照本章第3条、第4条规定进行编制、密封、标记和递交，并标明“修改”字样。</w:t>
      </w:r>
    </w:p>
    <w:p w14:paraId="461E4E56">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6FC9FF3B">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9" w:name="_Toc28864"/>
      <w:bookmarkEnd w:id="39"/>
      <w:bookmarkStart w:id="40"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6C770A13">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1662C5D6">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105E760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0D2F4B4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41" w:name="_Toc15542_WPSOffice_Level3"/>
      <w:bookmarkEnd w:id="41"/>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406913F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7D82A3FF">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安徽诚昇工程技术有限公司 </w:t>
      </w:r>
      <w:r>
        <w:rPr>
          <w:rFonts w:hint="eastAsia" w:ascii="宋体" w:hAnsi="宋体" w:eastAsia="宋体" w:cs="宋体"/>
          <w:color w:val="000000"/>
          <w:kern w:val="0"/>
          <w:sz w:val="21"/>
          <w:szCs w:val="21"/>
          <w:highlight w:val="none"/>
          <w:u w:color="000000"/>
          <w:lang w:val="en-US" w:eastAsia="zh-CN" w:bidi="ar"/>
        </w:rPr>
        <w:t>主持。</w:t>
      </w:r>
    </w:p>
    <w:p w14:paraId="05A7E6C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4A02D2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52A233A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（3）按照投标人须知前附表规定检查投标文件的密封情况；</w:t>
      </w:r>
    </w:p>
    <w:p w14:paraId="58AD1F7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（4）按照投标人须知前附表的规定确定并宣布投标文件开标顺序；</w:t>
      </w:r>
    </w:p>
    <w:p w14:paraId="3EF313BA">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（5）公布投标人投标报价、服务期及其他内容，并记录在案；</w:t>
      </w:r>
    </w:p>
    <w:p w14:paraId="795A08C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（6）开标结束。</w:t>
      </w:r>
    </w:p>
    <w:p w14:paraId="03F58A4C">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1CC3329A">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EC7A47C">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57A19F3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6B1BD1C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1D23BCA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0A873E7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C6CC74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6975971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63CFE28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649459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3D6EBD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5853381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4A23073B">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3588AB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14:paraId="1EA1024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2EB482A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1822C59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2" w:name="_Toc5272_WPSOffice_Level3"/>
      <w:bookmarkEnd w:id="42"/>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33F9E7D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42E68F6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360B414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2A48424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3CDB5B9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1D83A3A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E41FCE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6B6B601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3D6C149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6031489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32.重新招标 </w:t>
      </w:r>
    </w:p>
    <w:p w14:paraId="5FBFC294">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14:paraId="3FB82D5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1948BE34">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7F25BAF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64C76DE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40"/>
    </w:p>
    <w:p w14:paraId="7E58EF5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 中标公示</w:t>
      </w:r>
    </w:p>
    <w:p w14:paraId="107361B0">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w:t>
      </w:r>
      <w:r>
        <w:rPr>
          <w:rFonts w:hint="eastAsia" w:ascii="宋体" w:hAnsi="Times New Roman" w:eastAsia="宋体" w:cs="Times New Roman"/>
          <w:color w:val="auto"/>
          <w:spacing w:val="0"/>
          <w:sz w:val="21"/>
          <w:szCs w:val="21"/>
          <w:highlight w:val="none"/>
          <w:lang w:val="en-US" w:eastAsia="zh-CN"/>
        </w:rPr>
        <w:t>1</w:t>
      </w:r>
      <w:r>
        <w:rPr>
          <w:rFonts w:hint="eastAsia" w:ascii="宋体" w:hAnsi="Times New Roman" w:eastAsia="宋体" w:cs="Times New Roman"/>
          <w:color w:val="auto"/>
          <w:spacing w:val="0"/>
          <w:sz w:val="21"/>
          <w:szCs w:val="21"/>
          <w:highlight w:val="none"/>
        </w:rPr>
        <w:t>日。</w:t>
      </w:r>
    </w:p>
    <w:p w14:paraId="747B8D44">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kern w:val="2"/>
          <w:sz w:val="21"/>
          <w:szCs w:val="21"/>
          <w:lang w:val="en-US" w:eastAsia="zh-CN" w:bidi="ar-SA"/>
        </w:rPr>
        <w:t>34.</w:t>
      </w:r>
      <w:r>
        <w:rPr>
          <w:rFonts w:hint="eastAsia" w:ascii="宋体" w:hAnsi="Times New Roman" w:eastAsia="宋体" w:cs="Times New Roman"/>
          <w:b/>
          <w:color w:val="auto"/>
          <w:spacing w:val="0"/>
          <w:sz w:val="21"/>
          <w:szCs w:val="21"/>
          <w:highlight w:val="none"/>
        </w:rPr>
        <w:t>评标结果异议</w:t>
      </w:r>
    </w:p>
    <w:p w14:paraId="1CFF5C32">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15D27CA4">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default" w:ascii="宋体" w:hAnsi="Times New Roman" w:eastAsia="宋体" w:cs="Times New Roman"/>
          <w:b/>
          <w:color w:val="auto"/>
          <w:spacing w:val="0"/>
          <w:kern w:val="2"/>
          <w:sz w:val="21"/>
          <w:szCs w:val="21"/>
          <w:lang w:val="en-US" w:eastAsia="zh-CN" w:bidi="ar-SA"/>
        </w:rPr>
        <w:t>3</w:t>
      </w:r>
      <w:r>
        <w:rPr>
          <w:rFonts w:hint="eastAsia" w:ascii="宋体" w:hAnsi="Times New Roman" w:eastAsia="宋体" w:cs="Times New Roman"/>
          <w:b/>
          <w:color w:val="auto"/>
          <w:spacing w:val="0"/>
          <w:kern w:val="2"/>
          <w:sz w:val="21"/>
          <w:szCs w:val="21"/>
          <w:lang w:val="en-US" w:eastAsia="zh-CN" w:bidi="ar-SA"/>
        </w:rPr>
        <w:t>5</w:t>
      </w:r>
      <w:r>
        <w:rPr>
          <w:rFonts w:hint="default" w:ascii="宋体" w:hAnsi="Times New Roman" w:eastAsia="宋体" w:cs="Times New Roman"/>
          <w:b/>
          <w:color w:val="auto"/>
          <w:spacing w:val="0"/>
          <w:kern w:val="2"/>
          <w:sz w:val="21"/>
          <w:szCs w:val="21"/>
          <w:lang w:val="en-US" w:eastAsia="zh-CN" w:bidi="ar-SA"/>
        </w:rPr>
        <w:t>.</w:t>
      </w:r>
      <w:r>
        <w:rPr>
          <w:rFonts w:hint="eastAsia" w:ascii="宋体" w:hAnsi="Times New Roman" w:eastAsia="宋体" w:cs="Times New Roman"/>
          <w:b/>
          <w:color w:val="auto"/>
          <w:spacing w:val="0"/>
          <w:sz w:val="21"/>
          <w:szCs w:val="21"/>
          <w:highlight w:val="none"/>
        </w:rPr>
        <w:t>定标</w:t>
      </w:r>
    </w:p>
    <w:p w14:paraId="0477DFE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28EBD6E2">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kern w:val="2"/>
          <w:sz w:val="21"/>
          <w:szCs w:val="21"/>
          <w:lang w:val="en-US" w:eastAsia="zh-CN" w:bidi="ar-SA"/>
        </w:rPr>
        <w:t>36.</w:t>
      </w:r>
      <w:r>
        <w:rPr>
          <w:rFonts w:hint="eastAsia" w:ascii="宋体" w:hAnsi="Times New Roman" w:eastAsia="宋体" w:cs="Times New Roman"/>
          <w:b/>
          <w:color w:val="auto"/>
          <w:spacing w:val="0"/>
          <w:sz w:val="21"/>
          <w:szCs w:val="21"/>
          <w:highlight w:val="none"/>
          <w:lang w:val="en-US" w:eastAsia="zh-CN"/>
        </w:rPr>
        <w:t>中标通知</w:t>
      </w:r>
    </w:p>
    <w:p w14:paraId="6E65FF57">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14:paraId="7044B80B">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3" w:name="_Toc7247"/>
      <w:bookmarkEnd w:id="43"/>
      <w:r>
        <w:rPr>
          <w:rFonts w:hint="eastAsia" w:ascii="宋体" w:hAnsi="Times New Roman" w:eastAsia="宋体" w:cs="Times New Roman"/>
          <w:b/>
          <w:color w:val="auto"/>
          <w:spacing w:val="0"/>
          <w:sz w:val="21"/>
          <w:szCs w:val="21"/>
          <w:highlight w:val="none"/>
          <w:lang w:val="en-US" w:eastAsia="zh-CN"/>
        </w:rPr>
        <w:t xml:space="preserve"> 37.</w:t>
      </w:r>
      <w:bookmarkStart w:id="44" w:name="_Toc217446068"/>
      <w:r>
        <w:rPr>
          <w:rFonts w:hint="eastAsia" w:ascii="宋体" w:hAnsi="Times New Roman" w:eastAsia="宋体" w:cs="Times New Roman"/>
          <w:b/>
          <w:color w:val="auto"/>
          <w:spacing w:val="0"/>
          <w:sz w:val="21"/>
          <w:szCs w:val="21"/>
          <w:highlight w:val="none"/>
          <w:lang w:val="en-US" w:eastAsia="zh-CN"/>
        </w:rPr>
        <w:t>履约保证金</w:t>
      </w:r>
      <w:bookmarkEnd w:id="44"/>
    </w:p>
    <w:p w14:paraId="784DE7F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5" w:name="_Toc316_WPSOffice_Level3"/>
      <w:bookmarkEnd w:id="45"/>
      <w:bookmarkStart w:id="46" w:name="_Toc23484"/>
      <w:r>
        <w:rPr>
          <w:rFonts w:hint="eastAsia" w:ascii="宋体" w:hAnsi="Times New Roman" w:eastAsia="宋体" w:cs="Times New Roman"/>
          <w:color w:val="auto"/>
          <w:spacing w:val="0"/>
          <w:sz w:val="21"/>
          <w:szCs w:val="21"/>
          <w:highlight w:val="none"/>
          <w:lang w:val="en-US" w:eastAsia="zh-CN"/>
        </w:rPr>
        <w:t>37.1</w:t>
      </w:r>
      <w:bookmarkEnd w:id="46"/>
      <w:r>
        <w:rPr>
          <w:rFonts w:hint="eastAsia" w:ascii="宋体" w:hAnsi="Times New Roman" w:eastAsia="宋体" w:cs="Times New Roman"/>
          <w:color w:val="auto"/>
          <w:spacing w:val="0"/>
          <w:sz w:val="21"/>
          <w:szCs w:val="21"/>
          <w:highlight w:val="none"/>
          <w:lang w:val="en-US" w:eastAsia="zh-CN"/>
        </w:rPr>
        <w:t>详见投标人须知前附表要求。</w:t>
      </w:r>
    </w:p>
    <w:p w14:paraId="7BB56FB8">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F86135B">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14:paraId="27A8CB53">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14:paraId="3738658E">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14:paraId="0F1EB4A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14:paraId="7F1F4CB7">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14:paraId="0CAF03D1">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76F8BFC9">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14:paraId="1FC5365D">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B72A25C">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A06B757">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14:paraId="2CE623AC">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14:paraId="7193DE9C">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14:paraId="357EE2CC">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A0E9584">
      <w:pPr>
        <w:rPr>
          <w:rFonts w:hint="eastAsia" w:ascii="宋体" w:hAnsi="宋体" w:eastAsia="宋体" w:cs="宋体"/>
          <w:b/>
          <w:bCs w:val="0"/>
          <w:color w:val="000000"/>
          <w:kern w:val="44"/>
          <w:sz w:val="28"/>
          <w:szCs w:val="28"/>
          <w:highlight w:val="none"/>
          <w:u w:color="000000"/>
          <w:lang w:val="en-US" w:eastAsia="zh-CN" w:bidi="ar"/>
        </w:rPr>
      </w:pPr>
      <w:r>
        <w:rPr>
          <w:rFonts w:hint="eastAsia" w:ascii="宋体" w:hAnsi="宋体" w:eastAsia="宋体" w:cs="宋体"/>
          <w:b/>
          <w:bCs w:val="0"/>
          <w:color w:val="000000"/>
          <w:kern w:val="44"/>
          <w:sz w:val="28"/>
          <w:szCs w:val="28"/>
          <w:highlight w:val="none"/>
          <w:u w:color="000000"/>
          <w:lang w:val="en-US" w:eastAsia="zh-CN" w:bidi="ar"/>
        </w:rPr>
        <w:br w:type="page"/>
      </w:r>
    </w:p>
    <w:p w14:paraId="78826FA4">
      <w:pPr>
        <w:numPr>
          <w:ilvl w:val="0"/>
          <w:numId w:val="0"/>
        </w:numPr>
        <w:spacing w:before="156" w:beforeLines="50" w:after="156" w:afterLines="50"/>
        <w:jc w:val="center"/>
        <w:outlineLvl w:val="0"/>
        <w:rPr>
          <w:rFonts w:hint="default" w:ascii="宋体" w:hAnsi="宋体" w:eastAsia="宋体" w:cs="宋体"/>
          <w:b/>
          <w:bCs w:val="0"/>
          <w:color w:val="000000"/>
          <w:kern w:val="44"/>
          <w:sz w:val="32"/>
          <w:szCs w:val="32"/>
          <w:highlight w:val="none"/>
          <w:u w:color="000000"/>
          <w:lang w:val="en-US" w:eastAsia="zh-CN" w:bidi="ar"/>
        </w:rPr>
      </w:pPr>
      <w:bookmarkStart w:id="47" w:name="_Toc29327"/>
      <w:r>
        <w:rPr>
          <w:rFonts w:hint="eastAsia" w:ascii="宋体" w:hAnsi="宋体" w:eastAsia="宋体" w:cs="宋体"/>
          <w:b/>
          <w:bCs w:val="0"/>
          <w:color w:val="000000"/>
          <w:kern w:val="44"/>
          <w:sz w:val="32"/>
          <w:szCs w:val="32"/>
          <w:highlight w:val="none"/>
          <w:u w:color="000000"/>
          <w:lang w:val="en-US" w:eastAsia="zh-CN" w:bidi="ar"/>
        </w:rPr>
        <w:t>第三章 评标办法</w:t>
      </w:r>
      <w:bookmarkEnd w:id="47"/>
      <w:r>
        <w:rPr>
          <w:rFonts w:hint="eastAsia" w:ascii="宋体" w:hAnsi="宋体" w:eastAsia="宋体" w:cs="宋体"/>
          <w:b/>
          <w:bCs w:val="0"/>
          <w:color w:val="000000"/>
          <w:kern w:val="44"/>
          <w:sz w:val="32"/>
          <w:szCs w:val="32"/>
          <w:highlight w:val="none"/>
          <w:u w:color="000000"/>
          <w:lang w:val="en-US" w:eastAsia="zh-CN" w:bidi="ar"/>
        </w:rPr>
        <w:t xml:space="preserve"> </w:t>
      </w:r>
    </w:p>
    <w:p w14:paraId="361411D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8"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8"/>
      <w:r>
        <w:rPr>
          <w:rFonts w:hint="eastAsia" w:ascii="宋体" w:hAnsi="宋体" w:eastAsia="宋体" w:cs="宋体"/>
          <w:b/>
          <w:bCs w:val="0"/>
          <w:color w:val="000000"/>
          <w:kern w:val="0"/>
          <w:sz w:val="24"/>
          <w:szCs w:val="24"/>
          <w:highlight w:val="none"/>
          <w:u w:color="000000"/>
          <w:lang w:val="en-US" w:eastAsia="zh-CN" w:bidi="ar"/>
        </w:rPr>
        <w:t>、总则</w:t>
      </w:r>
    </w:p>
    <w:p w14:paraId="647B6128">
      <w:pPr>
        <w:spacing w:line="440" w:lineRule="exact"/>
        <w:ind w:firstLine="422" w:firstLineChars="200"/>
        <w:jc w:val="left"/>
        <w:rPr>
          <w:rFonts w:hint="eastAsia" w:ascii="黑体" w:eastAsia="黑体"/>
          <w:b/>
          <w:color w:val="auto"/>
          <w:szCs w:val="21"/>
          <w:highlight w:val="none"/>
        </w:rPr>
      </w:pPr>
      <w:bookmarkStart w:id="49" w:name="_Toc14651"/>
      <w:bookmarkEnd w:id="49"/>
      <w:bookmarkStart w:id="50"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50"/>
    </w:p>
    <w:p w14:paraId="6F276DA9">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本次评标采用</w:t>
      </w:r>
      <w:r>
        <w:rPr>
          <w:rFonts w:hint="eastAsia" w:ascii="宋体" w:hAnsi="宋体" w:cs="宋体"/>
          <w:color w:val="000000"/>
          <w:szCs w:val="21"/>
          <w:highlight w:val="none"/>
          <w:lang w:val="en-US" w:eastAsia="zh-CN"/>
        </w:rPr>
        <w:t>综合评分</w:t>
      </w:r>
      <w:r>
        <w:rPr>
          <w:rFonts w:hint="eastAsia" w:ascii="宋体" w:hAnsi="宋体" w:cs="宋体"/>
          <w:color w:val="000000"/>
          <w:szCs w:val="21"/>
          <w:highlight w:val="none"/>
        </w:rPr>
        <w:t>法。评标委员会对满足招标文件实质性要求的投标文件，按照本章规定的评分标准进行打分，并按总得分由高到低顺序推荐中标候选人应当不超过3名</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本项目推荐3名中标候选人</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，并标明排序，但投标报价低于其成本的除外。如总得分相等，以投标报价低的优先，投标报价仍相等由招标人随机抽取确定排名。</w:t>
      </w:r>
    </w:p>
    <w:p w14:paraId="2C61175E">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14:paraId="5761250D">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14:paraId="71945F8E">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14:paraId="3AC8F18D">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14:paraId="308E339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14:paraId="0FECE024">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14:paraId="7A7F8F7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56B94A70">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14:paraId="4F210A0F">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14:paraId="6F215C1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14:paraId="34CF53BC">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14:paraId="11F28FF0">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14:paraId="03D9561E">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14:paraId="47113C81">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14:paraId="130CDB05">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1" w:name="_Toc9092_WPSOffice_Level3"/>
      <w:bookmarkEnd w:id="51"/>
      <w:r>
        <w:rPr>
          <w:rFonts w:hint="eastAsia" w:ascii="黑体" w:hAnsi="宋体" w:eastAsia="黑体" w:cs="宋体"/>
          <w:b/>
          <w:bCs w:val="0"/>
          <w:color w:val="000000"/>
          <w:kern w:val="0"/>
          <w:sz w:val="21"/>
          <w:szCs w:val="21"/>
          <w:highlight w:val="none"/>
          <w:u w:color="000000"/>
          <w:lang w:val="en-US" w:eastAsia="zh-CN" w:bidi="ar"/>
        </w:rPr>
        <w:t>3.资格性审查</w:t>
      </w:r>
    </w:p>
    <w:p w14:paraId="05E0CDA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6"/>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14:paraId="5448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53DBFD54">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AC514C">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3442B7A8">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14:paraId="421C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14:paraId="015430E5">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14:paraId="6F22DC2E">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right w:val="single" w:color="auto" w:sz="4" w:space="0"/>
            </w:tcBorders>
            <w:shd w:val="clear" w:color="auto" w:fill="auto"/>
            <w:vAlign w:val="center"/>
          </w:tcPr>
          <w:p w14:paraId="6375BE09">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51E5C1E5">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 xml:space="preserve"> </w:t>
            </w:r>
            <w:r>
              <w:rPr>
                <w:rFonts w:hint="eastAsia" w:ascii="宋体" w:hAnsi="宋体" w:eastAsia="宋体" w:cs="宋体"/>
                <w:color w:val="000000"/>
                <w:kern w:val="2"/>
                <w:sz w:val="21"/>
                <w:szCs w:val="21"/>
                <w:highlight w:val="none"/>
                <w:u w:color="000000"/>
                <w:lang w:val="en-US" w:eastAsia="zh-CN" w:bidi="ar"/>
              </w:rPr>
              <w:t>法定代表人身份证明和有效身份复印件（或授权委托书及委托代理人有效身份证复印件）</w:t>
            </w:r>
          </w:p>
        </w:tc>
      </w:tr>
      <w:tr w14:paraId="3FFB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14:paraId="4FB4A695">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14:paraId="188EC688">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0E612A9B">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61E9B936">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14:paraId="3CCF7EAA">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投标人有效的营业执照、税务登记证、组织机构码证（或“三证合一证书”）复印件加盖投标人公章</w:t>
            </w:r>
          </w:p>
        </w:tc>
      </w:tr>
      <w:tr w14:paraId="13A8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25" w:type="dxa"/>
            <w:vMerge w:val="continue"/>
            <w:tcBorders>
              <w:left w:val="single" w:color="auto" w:sz="4" w:space="0"/>
              <w:right w:val="single" w:color="auto" w:sz="4" w:space="0"/>
            </w:tcBorders>
            <w:shd w:val="clear" w:color="auto" w:fill="auto"/>
            <w:vAlign w:val="center"/>
          </w:tcPr>
          <w:p w14:paraId="27F83588">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14:paraId="5F500A7B">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1274EB23">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color w:val="000000"/>
                <w:szCs w:val="21"/>
                <w:highlight w:val="none"/>
                <w:lang w:val="en-US" w:eastAsia="zh-CN"/>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24550C17">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14:paraId="5C9EB124">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诚信投标承诺书，核验标书 </w:t>
            </w:r>
          </w:p>
        </w:tc>
      </w:tr>
    </w:tbl>
    <w:p w14:paraId="6814245C">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14:paraId="7B9B586A">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2" w:name="_Toc4660368"/>
      <w:bookmarkEnd w:id="52"/>
      <w:r>
        <w:rPr>
          <w:rFonts w:hint="eastAsia" w:ascii="宋体" w:hAnsi="宋体" w:eastAsia="宋体" w:cs="宋体"/>
          <w:color w:val="000000"/>
          <w:kern w:val="0"/>
          <w:sz w:val="21"/>
          <w:szCs w:val="21"/>
          <w:highlight w:val="none"/>
          <w:u w:color="000000"/>
          <w:lang w:val="en-US" w:eastAsia="zh-CN" w:bidi="ar"/>
        </w:rPr>
        <w:t>4.1评审细则</w:t>
      </w:r>
    </w:p>
    <w:tbl>
      <w:tblPr>
        <w:tblStyle w:val="26"/>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14:paraId="0357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3FA2F31">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298077">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5BA55139">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14:paraId="323F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BEAA38">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BC49C">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5C23A42">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4EBDC355">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14:paraId="119A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A6333">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DC8CCF">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395E2CC8">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B4D819B">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14:paraId="2E9F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3DA08D">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D8FBA2">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C8CB9C5">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44D4044">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14:paraId="3A0E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B53022">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9333ED">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318452E6">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1EC54D1A">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14:paraId="7275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DDE66D">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C990A5">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542C40CC">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59F02FB7">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符合招标文件要求。</w:t>
            </w:r>
          </w:p>
        </w:tc>
      </w:tr>
      <w:tr w14:paraId="37E2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FA65E8">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95079C">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3FD4FDA6">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D85A8AC">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投标文件内容清晰、齐全无遗漏。</w:t>
            </w:r>
          </w:p>
        </w:tc>
      </w:tr>
      <w:tr w14:paraId="6620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restart"/>
            <w:tcBorders>
              <w:top w:val="single" w:color="auto" w:sz="4" w:space="0"/>
              <w:left w:val="single" w:color="auto" w:sz="4" w:space="0"/>
              <w:right w:val="single" w:color="auto" w:sz="4" w:space="0"/>
            </w:tcBorders>
            <w:shd w:val="clear" w:color="auto" w:fill="auto"/>
            <w:vAlign w:val="center"/>
          </w:tcPr>
          <w:p w14:paraId="175F39D1">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w:t>
            </w:r>
          </w:p>
        </w:tc>
        <w:tc>
          <w:tcPr>
            <w:tcW w:w="1000" w:type="dxa"/>
            <w:vMerge w:val="restart"/>
            <w:tcBorders>
              <w:top w:val="single" w:color="auto" w:sz="4" w:space="0"/>
              <w:left w:val="single" w:color="auto" w:sz="4" w:space="0"/>
              <w:right w:val="single" w:color="auto" w:sz="4" w:space="0"/>
            </w:tcBorders>
            <w:shd w:val="clear" w:color="auto" w:fill="auto"/>
            <w:vAlign w:val="center"/>
          </w:tcPr>
          <w:p w14:paraId="6F5D696D">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r>
              <w:rPr>
                <w:rFonts w:hint="default" w:ascii="宋体" w:hAnsi="宋体" w:eastAsia="宋体" w:cs="宋体"/>
                <w:kern w:val="2"/>
                <w:highlight w:val="none"/>
                <w:lang w:val="en-US"/>
              </w:rPr>
              <w:t>标书的响应程度</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02D05B9">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（7）技术参数响应程度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DABA659">
            <w:pPr>
              <w:keepNext w:val="0"/>
              <w:keepLines w:val="0"/>
              <w:widowControl/>
              <w:suppressLineNumbers w:val="0"/>
              <w:spacing w:before="0" w:beforeAutospacing="0" w:after="0" w:afterAutospacing="0" w:line="440" w:lineRule="exact"/>
              <w:ind w:left="0" w:right="0"/>
              <w:jc w:val="both"/>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 xml:space="preserve">最大限度满足招标文件要求。 </w:t>
            </w:r>
          </w:p>
        </w:tc>
      </w:tr>
      <w:tr w14:paraId="0F87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continue"/>
            <w:tcBorders>
              <w:left w:val="single" w:color="auto" w:sz="4" w:space="0"/>
              <w:bottom w:val="single" w:color="auto" w:sz="4" w:space="0"/>
              <w:right w:val="single" w:color="auto" w:sz="4" w:space="0"/>
            </w:tcBorders>
            <w:shd w:val="clear" w:color="auto" w:fill="auto"/>
            <w:vAlign w:val="center"/>
          </w:tcPr>
          <w:p w14:paraId="4D6CA1EC">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1000" w:type="dxa"/>
            <w:vMerge w:val="continue"/>
            <w:tcBorders>
              <w:left w:val="single" w:color="auto" w:sz="4" w:space="0"/>
              <w:bottom w:val="single" w:color="auto" w:sz="4" w:space="0"/>
              <w:right w:val="single" w:color="auto" w:sz="4" w:space="0"/>
            </w:tcBorders>
            <w:shd w:val="clear" w:color="auto" w:fill="auto"/>
            <w:vAlign w:val="center"/>
          </w:tcPr>
          <w:p w14:paraId="5B0CB9CE">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474FD1F4">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（8）商务条款响应程度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23C87E45">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最大限度满足招标文件要求。不满足者按评分细则进行评审评分。</w:t>
            </w:r>
          </w:p>
        </w:tc>
      </w:tr>
    </w:tbl>
    <w:p w14:paraId="1E7E469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14:paraId="500D5C8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14:paraId="73B41B6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14:paraId="4A487F52">
      <w:pPr>
        <w:widowControl w:val="0"/>
        <w:numPr>
          <w:ilvl w:val="0"/>
          <w:numId w:val="3"/>
        </w:numPr>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比较与评价</w:t>
      </w:r>
    </w:p>
    <w:p w14:paraId="727842F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资信和</w:t>
      </w:r>
      <w:r>
        <w:rPr>
          <w:rFonts w:hint="eastAsia" w:ascii="宋体" w:hAnsi="宋体"/>
          <w:b/>
          <w:szCs w:val="21"/>
          <w:highlight w:val="none"/>
        </w:rPr>
        <w:t>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14:paraId="68625FA2">
      <w:pPr>
        <w:spacing w:line="440" w:lineRule="exact"/>
        <w:ind w:right="36" w:rightChars="17" w:firstLine="417" w:firstLineChars="198"/>
        <w:jc w:val="left"/>
        <w:rPr>
          <w:rFonts w:hint="eastAsia" w:ascii="宋体" w:hAnsi="宋体" w:eastAsia="宋体" w:cs="宋体"/>
          <w:b/>
          <w:color w:val="auto"/>
          <w:sz w:val="21"/>
          <w:szCs w:val="21"/>
          <w:highlight w:val="none"/>
        </w:rPr>
      </w:pPr>
      <w:r>
        <w:rPr>
          <w:rFonts w:hint="eastAsia" w:ascii="宋体" w:hAnsi="宋体"/>
          <w:b/>
          <w:color w:val="auto"/>
          <w:szCs w:val="21"/>
          <w:highlight w:val="none"/>
          <w:lang w:val="en-US" w:eastAsia="zh-CN"/>
        </w:rPr>
        <w:t>5.1</w:t>
      </w:r>
      <w:r>
        <w:rPr>
          <w:rFonts w:hint="eastAsia" w:ascii="宋体" w:hAnsi="宋体" w:eastAsia="宋体" w:cs="宋体"/>
          <w:b/>
          <w:color w:val="auto"/>
          <w:sz w:val="21"/>
          <w:szCs w:val="21"/>
          <w:highlight w:val="none"/>
        </w:rPr>
        <w:t>资信标评审细则（</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18"/>
        <w:gridCol w:w="780"/>
        <w:gridCol w:w="6508"/>
      </w:tblGrid>
      <w:tr w14:paraId="5F5D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8" w:hRule="atLeast"/>
          <w:jc w:val="center"/>
        </w:trPr>
        <w:tc>
          <w:tcPr>
            <w:tcW w:w="746" w:type="dxa"/>
            <w:noWrap w:val="0"/>
            <w:vAlign w:val="center"/>
          </w:tcPr>
          <w:p w14:paraId="6A809464">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218" w:type="dxa"/>
            <w:noWrap w:val="0"/>
            <w:vAlign w:val="center"/>
          </w:tcPr>
          <w:p w14:paraId="05647D6F">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780" w:type="dxa"/>
            <w:noWrap w:val="0"/>
            <w:vAlign w:val="center"/>
          </w:tcPr>
          <w:p w14:paraId="512B416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508" w:type="dxa"/>
            <w:noWrap w:val="0"/>
            <w:vAlign w:val="center"/>
          </w:tcPr>
          <w:p w14:paraId="1A150C48">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0F30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43035F9C">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218" w:type="dxa"/>
            <w:noWrap w:val="0"/>
            <w:vAlign w:val="center"/>
          </w:tcPr>
          <w:p w14:paraId="5C5CD0B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企业业绩</w:t>
            </w:r>
          </w:p>
        </w:tc>
        <w:tc>
          <w:tcPr>
            <w:tcW w:w="780" w:type="dxa"/>
            <w:noWrap w:val="0"/>
            <w:vAlign w:val="center"/>
          </w:tcPr>
          <w:p w14:paraId="268E524E">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10分</w:t>
            </w:r>
          </w:p>
        </w:tc>
        <w:tc>
          <w:tcPr>
            <w:tcW w:w="6508" w:type="dxa"/>
            <w:noWrap w:val="0"/>
            <w:vAlign w:val="center"/>
          </w:tcPr>
          <w:p w14:paraId="43A95B84">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2022年1月1日以来至投标截止时间，投标单位具有供货业绩（业绩内容需含漂流艇）的，每提供一个得5分，本项最高得10分。</w:t>
            </w:r>
          </w:p>
          <w:p w14:paraId="217EC56F">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eastAsia="宋体" w:cs="宋体"/>
                <w:b/>
                <w:bCs/>
                <w:color w:val="auto"/>
                <w:szCs w:val="21"/>
                <w:highlight w:val="none"/>
                <w:lang w:val="en-US" w:eastAsia="zh-CN"/>
              </w:rPr>
              <w:t>注：投标文件中须提供业绩合同扫描件和供货记录或收款记录，若业绩合同中体现不出合同签订时间、金额或服务内容等评审因素，还须另外提供业绩合同甲方出具的证明材料，否则不予认可。</w:t>
            </w:r>
          </w:p>
        </w:tc>
      </w:tr>
      <w:tr w14:paraId="2B14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46" w:type="dxa"/>
            <w:noWrap w:val="0"/>
            <w:vAlign w:val="center"/>
          </w:tcPr>
          <w:p w14:paraId="72CFDA79">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2</w:t>
            </w:r>
          </w:p>
        </w:tc>
        <w:tc>
          <w:tcPr>
            <w:tcW w:w="1218" w:type="dxa"/>
            <w:noWrap w:val="0"/>
            <w:vAlign w:val="center"/>
          </w:tcPr>
          <w:p w14:paraId="3644AFD1">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企认体系</w:t>
            </w:r>
          </w:p>
        </w:tc>
        <w:tc>
          <w:tcPr>
            <w:tcW w:w="780" w:type="dxa"/>
            <w:noWrap w:val="0"/>
            <w:vAlign w:val="center"/>
          </w:tcPr>
          <w:p w14:paraId="6E0F7790">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6分</w:t>
            </w:r>
          </w:p>
        </w:tc>
        <w:tc>
          <w:tcPr>
            <w:tcW w:w="6508" w:type="dxa"/>
            <w:noWrap w:val="0"/>
            <w:vAlign w:val="center"/>
          </w:tcPr>
          <w:p w14:paraId="1D7358FD">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投标人所投产品的制造商具有经国家认证认可监督管理委员会认证机构颁发的有效下列证书：</w:t>
            </w:r>
          </w:p>
          <w:p w14:paraId="5C6CD933">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1.质量管理体系认证；</w:t>
            </w:r>
          </w:p>
          <w:p w14:paraId="5BA3E1EF">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2.知识产权管理体系；</w:t>
            </w:r>
          </w:p>
          <w:p w14:paraId="2AC8DECF">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3.工业化和信息化融合管理体系认证；</w:t>
            </w:r>
          </w:p>
          <w:p w14:paraId="73BFFAAA">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每提供一个得2分，满分 6分。 </w:t>
            </w:r>
          </w:p>
          <w:p w14:paraId="232C6DD0">
            <w:pPr>
              <w:keepNext w:val="0"/>
              <w:keepLines w:val="0"/>
              <w:suppressLineNumbers w:val="0"/>
              <w:spacing w:before="0" w:beforeAutospacing="0" w:after="0" w:afterAutospacing="0" w:line="440" w:lineRule="exact"/>
              <w:ind w:left="0" w:right="0"/>
              <w:jc w:val="both"/>
              <w:rPr>
                <w:rFonts w:hint="eastAsia" w:ascii="宋体" w:hAnsi="宋体" w:eastAsia="宋体" w:cs="宋体"/>
                <w:b/>
                <w:bCs/>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注：投标文件中需提供有效的证书复印件以及全国认证认可信息公共服务平台证书信息查询截图（官网查询截图和供应商所提供的认证证书一致，否则不得分）。 </w:t>
            </w:r>
          </w:p>
        </w:tc>
      </w:tr>
      <w:tr w14:paraId="3DBE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46" w:type="dxa"/>
            <w:noWrap w:val="0"/>
            <w:vAlign w:val="center"/>
          </w:tcPr>
          <w:p w14:paraId="218A8708">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w:t>
            </w:r>
          </w:p>
        </w:tc>
        <w:tc>
          <w:tcPr>
            <w:tcW w:w="1218" w:type="dxa"/>
            <w:noWrap w:val="0"/>
            <w:vAlign w:val="center"/>
          </w:tcPr>
          <w:p w14:paraId="079BA9DA">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企业实力</w:t>
            </w:r>
          </w:p>
        </w:tc>
        <w:tc>
          <w:tcPr>
            <w:tcW w:w="780" w:type="dxa"/>
            <w:noWrap w:val="0"/>
            <w:vAlign w:val="center"/>
          </w:tcPr>
          <w:p w14:paraId="20D821E1">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4分</w:t>
            </w:r>
          </w:p>
        </w:tc>
        <w:tc>
          <w:tcPr>
            <w:tcW w:w="6508" w:type="dxa"/>
            <w:noWrap w:val="0"/>
            <w:vAlign w:val="center"/>
          </w:tcPr>
          <w:p w14:paraId="0589337D">
            <w:pPr>
              <w:keepNext w:val="0"/>
              <w:keepLines w:val="0"/>
              <w:numPr>
                <w:ilvl w:val="0"/>
                <w:numId w:val="4"/>
              </w:numPr>
              <w:suppressLineNumbers w:val="0"/>
              <w:spacing w:before="0" w:beforeAutospacing="0" w:after="0" w:afterAutospacing="0" w:line="440" w:lineRule="exact"/>
              <w:ind w:left="0" w:right="0"/>
              <w:rPr>
                <w:rFonts w:hint="eastAsia" w:ascii="宋体" w:hAnsi="宋体" w:cs="宋体"/>
                <w:szCs w:val="21"/>
                <w:highlight w:val="none"/>
              </w:rPr>
            </w:pPr>
            <w:r>
              <w:rPr>
                <w:rFonts w:hint="eastAsia" w:ascii="Times New Roman" w:hAnsi="Times New Roman" w:eastAsia="宋体" w:cs="Times New Roman"/>
                <w:b w:val="0"/>
                <w:bCs/>
                <w:color w:val="auto"/>
                <w:szCs w:val="21"/>
                <w:highlight w:val="none"/>
                <w:lang w:val="en-US" w:eastAsia="zh-CN"/>
              </w:rPr>
              <w:t>供应商自2022年1月1日</w:t>
            </w:r>
            <w:r>
              <w:rPr>
                <w:rFonts w:hint="eastAsia" w:ascii="宋体" w:hAnsi="宋体" w:cs="宋体"/>
                <w:szCs w:val="21"/>
                <w:highlight w:val="none"/>
              </w:rPr>
              <w:t>至投标截止日</w:t>
            </w:r>
            <w:r>
              <w:rPr>
                <w:rFonts w:hint="eastAsia" w:ascii="Times New Roman" w:hAnsi="Times New Roman" w:eastAsia="宋体" w:cs="Times New Roman"/>
                <w:b w:val="0"/>
                <w:bCs/>
                <w:color w:val="auto"/>
                <w:szCs w:val="21"/>
                <w:highlight w:val="none"/>
                <w:lang w:val="en-US" w:eastAsia="zh-CN"/>
              </w:rPr>
              <w:t>（以颁发时间为准），获得省级及以上行政主管部门颁发的荣誉或奖项的，</w:t>
            </w:r>
            <w:r>
              <w:rPr>
                <w:rFonts w:hint="eastAsia" w:ascii="宋体" w:hAnsi="宋体" w:cs="宋体"/>
                <w:szCs w:val="21"/>
                <w:highlight w:val="none"/>
              </w:rPr>
              <w:t>每提供一个得2分，最高得</w:t>
            </w:r>
            <w:r>
              <w:rPr>
                <w:rFonts w:hint="eastAsia" w:ascii="宋体" w:hAnsi="宋体" w:cs="宋体"/>
                <w:szCs w:val="21"/>
                <w:highlight w:val="none"/>
                <w:lang w:val="en-US" w:eastAsia="zh-CN"/>
              </w:rPr>
              <w:t>2</w:t>
            </w:r>
            <w:r>
              <w:rPr>
                <w:rFonts w:hint="eastAsia" w:ascii="宋体" w:hAnsi="宋体" w:cs="宋体"/>
                <w:szCs w:val="21"/>
                <w:highlight w:val="none"/>
              </w:rPr>
              <w:t>分。</w:t>
            </w:r>
          </w:p>
          <w:p w14:paraId="0FAE177E">
            <w:pPr>
              <w:keepNext w:val="0"/>
              <w:keepLines w:val="0"/>
              <w:suppressLineNumbers w:val="0"/>
              <w:spacing w:before="0" w:beforeAutospacing="0" w:after="0" w:afterAutospacing="0" w:line="440" w:lineRule="exact"/>
              <w:ind w:left="0" w:right="0"/>
              <w:jc w:val="left"/>
              <w:rPr>
                <w:rFonts w:hint="eastAsia" w:ascii="Times New Roman" w:hAnsi="Times New Roman" w:eastAsia="宋体" w:cs="Times New Roman"/>
                <w:b w:val="0"/>
                <w:bCs/>
                <w:color w:val="auto"/>
                <w:szCs w:val="21"/>
                <w:highlight w:val="none"/>
                <w:lang w:val="en-US" w:eastAsia="zh-CN"/>
              </w:rPr>
            </w:pPr>
            <w:r>
              <w:rPr>
                <w:rFonts w:hint="eastAsia" w:ascii="宋体" w:hAnsi="宋体" w:cs="宋体"/>
                <w:szCs w:val="21"/>
                <w:highlight w:val="none"/>
                <w:lang w:val="en-US" w:eastAsia="zh-CN"/>
              </w:rPr>
              <w:t>2.</w:t>
            </w:r>
            <w:r>
              <w:rPr>
                <w:rFonts w:hint="eastAsia" w:ascii="宋体" w:hAnsi="宋体" w:cs="宋体"/>
                <w:szCs w:val="21"/>
                <w:highlight w:val="none"/>
              </w:rPr>
              <w:t>供应商承诺中标后具有售后服务部门，可提供上门维修服务</w:t>
            </w:r>
            <w:r>
              <w:rPr>
                <w:rFonts w:hint="eastAsia" w:ascii="Times New Roman" w:hAnsi="Times New Roman" w:eastAsia="宋体" w:cs="Times New Roman"/>
                <w:b w:val="0"/>
                <w:bCs/>
                <w:color w:val="auto"/>
                <w:szCs w:val="21"/>
                <w:highlight w:val="none"/>
                <w:lang w:val="en-US" w:eastAsia="zh-CN"/>
              </w:rPr>
              <w:t>的得2分。</w:t>
            </w:r>
            <w:r>
              <w:rPr>
                <w:rFonts w:hint="eastAsia" w:ascii="Times New Roman" w:hAnsi="Times New Roman" w:eastAsia="宋体" w:cs="Times New Roman"/>
                <w:b/>
                <w:bCs w:val="0"/>
                <w:color w:val="auto"/>
                <w:szCs w:val="21"/>
                <w:highlight w:val="none"/>
                <w:lang w:val="en-US" w:eastAsia="zh-CN"/>
              </w:rPr>
              <w:t>(承诺函格式自拟，未提供的不得分）</w:t>
            </w:r>
          </w:p>
          <w:p w14:paraId="6326E1B9">
            <w:pPr>
              <w:keepNext w:val="0"/>
              <w:keepLines w:val="0"/>
              <w:suppressLineNumbers w:val="0"/>
              <w:spacing w:before="0" w:beforeAutospacing="0" w:after="0" w:afterAutospacing="0" w:line="440" w:lineRule="exact"/>
              <w:ind w:left="0" w:right="0"/>
              <w:jc w:val="both"/>
              <w:rPr>
                <w:rFonts w:hint="eastAsia"/>
                <w:highlight w:val="none"/>
                <w:lang w:val="en-US" w:eastAsia="zh-CN"/>
              </w:rPr>
            </w:pPr>
            <w:r>
              <w:rPr>
                <w:rFonts w:hint="eastAsia" w:ascii="Times New Roman" w:hAnsi="Times New Roman" w:eastAsia="宋体" w:cs="Times New Roman"/>
                <w:b w:val="0"/>
                <w:bCs/>
                <w:color w:val="auto"/>
                <w:szCs w:val="21"/>
                <w:highlight w:val="none"/>
                <w:lang w:val="en-US" w:eastAsia="zh-CN"/>
              </w:rPr>
              <w:t>注:上述评分项最多提供一个荣誉或奖项，按照排列顺序从首个荣誉或奖项开始评审至对应数量，超出部分不进行评审。有效时间以荣誉证书文件颁发时间为准。</w:t>
            </w:r>
          </w:p>
        </w:tc>
      </w:tr>
    </w:tbl>
    <w:p w14:paraId="5C5728BF">
      <w:pPr>
        <w:spacing w:line="440" w:lineRule="exact"/>
        <w:ind w:firstLine="422" w:firstLineChars="200"/>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6.2技术标评审细则（50分）</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83"/>
        <w:gridCol w:w="886"/>
        <w:gridCol w:w="6237"/>
      </w:tblGrid>
      <w:tr w14:paraId="60F9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575CE5B7">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83" w:type="dxa"/>
            <w:noWrap w:val="0"/>
            <w:vAlign w:val="center"/>
          </w:tcPr>
          <w:p w14:paraId="3F3ADF22">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886" w:type="dxa"/>
            <w:noWrap w:val="0"/>
            <w:vAlign w:val="center"/>
          </w:tcPr>
          <w:p w14:paraId="0D69DE6A">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237" w:type="dxa"/>
            <w:noWrap w:val="0"/>
            <w:vAlign w:val="center"/>
          </w:tcPr>
          <w:p w14:paraId="6408EE11">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4907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0B6D6E99">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383" w:type="dxa"/>
            <w:noWrap w:val="0"/>
            <w:vAlign w:val="center"/>
          </w:tcPr>
          <w:p w14:paraId="5AE65DDC">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技术参数响应</w:t>
            </w:r>
          </w:p>
        </w:tc>
        <w:tc>
          <w:tcPr>
            <w:tcW w:w="886" w:type="dxa"/>
            <w:noWrap w:val="0"/>
            <w:vAlign w:val="center"/>
          </w:tcPr>
          <w:p w14:paraId="30E5B665">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35</w:t>
            </w:r>
            <w:r>
              <w:rPr>
                <w:rFonts w:hint="eastAsia" w:ascii="宋体" w:hAnsi="Times New Roman" w:eastAsia="宋体" w:cs="Times New Roman"/>
                <w:b/>
                <w:bCs/>
                <w:color w:val="auto"/>
                <w:szCs w:val="21"/>
                <w:highlight w:val="none"/>
                <w:lang w:val="en-US" w:eastAsia="zh-CN"/>
              </w:rPr>
              <w:t>分</w:t>
            </w:r>
          </w:p>
        </w:tc>
        <w:tc>
          <w:tcPr>
            <w:tcW w:w="6237" w:type="dxa"/>
            <w:noWrap w:val="0"/>
            <w:vAlign w:val="center"/>
          </w:tcPr>
          <w:p w14:paraId="0118F35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1、技术参数中标注“★”的须全部满足，任何一项不响应或负偏离按无效标处理。</w:t>
            </w:r>
          </w:p>
          <w:p w14:paraId="5280445E">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2、技术参数中标注“▲”的每满足或优于一项指标的加5分，共7项，满分35分。</w:t>
            </w:r>
          </w:p>
          <w:p w14:paraId="5513F2B5">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3、未标符号的为一般参数，投标文件中无需列明，但在合同签订后将作为履约验收的依据，投标人在投标文件中提供相关承诺函扫描件，承诺函格式自拟，但须明确体现上述内容，否则投标无效；</w:t>
            </w:r>
          </w:p>
          <w:p w14:paraId="5F9F70FD">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注：（1）如某项标识中包含多条技术参数或要求，则该项标识所含内容均需满足或优于招标文件要求，否则不予认可。</w:t>
            </w:r>
          </w:p>
          <w:p w14:paraId="2C2ACC9F">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2）以技术参数响应表、货物的详细配置清单中要求提供的证明材料作为评审依据。技术参数响应情况投标人须依据所投产品如实填写，若自填响应或正偏离，供货时实际产品不响应或负偏离，弄虚作假谋取中标资格的，采购人有权上报相关部门。</w:t>
            </w:r>
          </w:p>
        </w:tc>
      </w:tr>
      <w:tr w14:paraId="09B3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1A8E1380">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2</w:t>
            </w:r>
          </w:p>
        </w:tc>
        <w:tc>
          <w:tcPr>
            <w:tcW w:w="1383" w:type="dxa"/>
            <w:noWrap w:val="0"/>
            <w:vAlign w:val="center"/>
          </w:tcPr>
          <w:p w14:paraId="41CC03C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供货及安装方案</w:t>
            </w:r>
          </w:p>
        </w:tc>
        <w:tc>
          <w:tcPr>
            <w:tcW w:w="886" w:type="dxa"/>
            <w:noWrap w:val="0"/>
            <w:vAlign w:val="center"/>
          </w:tcPr>
          <w:p w14:paraId="094D781B">
            <w:pPr>
              <w:keepNext w:val="0"/>
              <w:keepLines w:val="0"/>
              <w:suppressLineNumbers w:val="0"/>
              <w:spacing w:before="0" w:beforeAutospacing="0" w:after="0" w:afterAutospacing="0" w:line="440" w:lineRule="exact"/>
              <w:ind w:left="0" w:right="0"/>
              <w:jc w:val="center"/>
              <w:rPr>
                <w:rFonts w:hint="default" w:ascii="宋体" w:hAnsi="Times New Roman"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5分</w:t>
            </w:r>
          </w:p>
        </w:tc>
        <w:tc>
          <w:tcPr>
            <w:tcW w:w="6237" w:type="dxa"/>
            <w:noWrap w:val="0"/>
            <w:vAlign w:val="top"/>
          </w:tcPr>
          <w:p w14:paraId="21544A6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根据投标人投标文件中提供的供货及安装方案，由评标委员会进行综合评审：</w:t>
            </w:r>
          </w:p>
          <w:p w14:paraId="0D887EE6">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（1）对本项目特点理解准确，优于本项目采购需求，完整详细，可行性、实用性、针对性强，得 5 分；</w:t>
            </w:r>
          </w:p>
          <w:p w14:paraId="1354A3F1">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（2）对本项目特点理解基本准确，适合本项目采购需求，完整详细，具有可行性、实用性和针对性，得 3 分；</w:t>
            </w:r>
          </w:p>
          <w:p w14:paraId="0126902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（3）对本项目特点和难点理解有待提升，基本适合本项目采购需求，可行性、实用性、针对性有待改善，得 1 分；</w:t>
            </w:r>
          </w:p>
          <w:p w14:paraId="6F0D488A">
            <w:pPr>
              <w:keepNext w:val="0"/>
              <w:keepLines w:val="0"/>
              <w:suppressLineNumbers w:val="0"/>
              <w:spacing w:before="0" w:beforeAutospacing="0" w:after="0" w:afterAutospacing="0" w:line="440" w:lineRule="exact"/>
              <w:ind w:left="0" w:right="0"/>
              <w:jc w:val="both"/>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r w14:paraId="5678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08B5A375">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w:t>
            </w:r>
          </w:p>
        </w:tc>
        <w:tc>
          <w:tcPr>
            <w:tcW w:w="1383" w:type="dxa"/>
            <w:noWrap w:val="0"/>
            <w:vAlign w:val="center"/>
          </w:tcPr>
          <w:p w14:paraId="4EBFE22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售后服务方案</w:t>
            </w:r>
          </w:p>
        </w:tc>
        <w:tc>
          <w:tcPr>
            <w:tcW w:w="886" w:type="dxa"/>
            <w:noWrap w:val="0"/>
            <w:vAlign w:val="center"/>
          </w:tcPr>
          <w:p w14:paraId="2AB2726F">
            <w:pPr>
              <w:keepNext w:val="0"/>
              <w:keepLines w:val="0"/>
              <w:suppressLineNumbers w:val="0"/>
              <w:spacing w:before="0" w:beforeAutospacing="0" w:after="0" w:afterAutospacing="0" w:line="440" w:lineRule="exact"/>
              <w:ind w:left="0" w:right="0"/>
              <w:jc w:val="center"/>
              <w:rPr>
                <w:rFonts w:hint="eastAsia" w:ascii="宋体" w:hAnsi="Times New Roman" w:cs="Times New Roman"/>
                <w:b/>
                <w:bCs/>
                <w:color w:val="auto"/>
                <w:kern w:val="2"/>
                <w:sz w:val="21"/>
                <w:szCs w:val="21"/>
                <w:highlight w:val="none"/>
                <w:lang w:val="en-US" w:eastAsia="zh-CN" w:bidi="ar-SA"/>
              </w:rPr>
            </w:pPr>
            <w:r>
              <w:rPr>
                <w:rFonts w:hint="eastAsia" w:ascii="宋体" w:hAnsi="Times New Roman" w:cs="Times New Roman"/>
                <w:b/>
                <w:bCs/>
                <w:color w:val="auto"/>
                <w:szCs w:val="21"/>
                <w:highlight w:val="none"/>
                <w:lang w:val="en-US" w:eastAsia="zh-CN"/>
              </w:rPr>
              <w:t>5分</w:t>
            </w:r>
          </w:p>
        </w:tc>
        <w:tc>
          <w:tcPr>
            <w:tcW w:w="6237" w:type="dxa"/>
            <w:noWrap w:val="0"/>
            <w:vAlign w:val="top"/>
          </w:tcPr>
          <w:p w14:paraId="3C213CF9">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根据投标人投标文件中提供的售后服务方案，由评标委员会进行综合评审：</w:t>
            </w:r>
          </w:p>
          <w:p w14:paraId="0A18FF7B">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（1）方案体系完备、有针对性地提出服务理念、方法，有创新举措、服务响应或故障排除及时得 5 分；</w:t>
            </w:r>
          </w:p>
          <w:p w14:paraId="46C640B0">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（2）方案体系较完备，服务理念、方法适合，服务响应或故障排除方案有待改善，得 3 分；</w:t>
            </w:r>
          </w:p>
          <w:p w14:paraId="553D9C75">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（3）方案体系、服务理念、方法一般，服务响应或故障排除方案不全面，得 1分；</w:t>
            </w:r>
          </w:p>
          <w:p w14:paraId="7ADB0E8E">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r w14:paraId="5029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643235C2">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4</w:t>
            </w:r>
          </w:p>
        </w:tc>
        <w:tc>
          <w:tcPr>
            <w:tcW w:w="1383" w:type="dxa"/>
            <w:noWrap w:val="0"/>
            <w:vAlign w:val="center"/>
          </w:tcPr>
          <w:p w14:paraId="2B05DA92">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培训方案</w:t>
            </w:r>
          </w:p>
        </w:tc>
        <w:tc>
          <w:tcPr>
            <w:tcW w:w="886" w:type="dxa"/>
            <w:noWrap w:val="0"/>
            <w:vAlign w:val="center"/>
          </w:tcPr>
          <w:p w14:paraId="623C2B1C">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5分</w:t>
            </w:r>
          </w:p>
        </w:tc>
        <w:tc>
          <w:tcPr>
            <w:tcW w:w="6237" w:type="dxa"/>
            <w:noWrap w:val="0"/>
            <w:vAlign w:val="top"/>
          </w:tcPr>
          <w:p w14:paraId="775F82CB">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根据投标人投标文件中提供的培训方案，由评标委员会进行综合评审：</w:t>
            </w:r>
          </w:p>
          <w:p w14:paraId="27F7C179">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（1）培训方案内容完整，团队水平资深，课程内容丰富，贴合日常使用及维护，实用性强的，得 5 分；</w:t>
            </w:r>
          </w:p>
          <w:p w14:paraId="4C3A825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（2）培训方案内容基本完整，团队水平较好，课程内容常规，对日常使用及维护有一定作用，实用性一般，得 3 分；</w:t>
            </w:r>
          </w:p>
          <w:p w14:paraId="25DA2D3B">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（3）培训方案内容简单，团队水平一般，课程内容较少，对日常使用及维护无指导作用，实用性差的，得 1 分；</w:t>
            </w:r>
          </w:p>
          <w:p w14:paraId="7204A9E6">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bl>
    <w:p w14:paraId="7790B95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lang w:val="en-US" w:eastAsia="zh-CN"/>
        </w:rPr>
      </w:pPr>
    </w:p>
    <w:p w14:paraId="43A96C7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5.2</w:t>
      </w:r>
      <w:r>
        <w:rPr>
          <w:rFonts w:hint="eastAsia" w:ascii="宋体" w:hAnsi="宋体"/>
          <w:b/>
          <w:color w:val="auto"/>
          <w:szCs w:val="21"/>
          <w:highlight w:val="none"/>
        </w:rPr>
        <w:t>商务标评审细则</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30</w:t>
      </w:r>
      <w:r>
        <w:rPr>
          <w:rFonts w:hint="eastAsia" w:ascii="宋体" w:hAnsi="宋体"/>
          <w:b/>
          <w:color w:val="auto"/>
          <w:szCs w:val="21"/>
          <w:highlight w:val="none"/>
        </w:rPr>
        <w:t>分</w:t>
      </w:r>
      <w:r>
        <w:rPr>
          <w:rFonts w:hint="eastAsia" w:ascii="宋体" w:hAnsi="宋体"/>
          <w:b/>
          <w:color w:val="auto"/>
          <w:szCs w:val="21"/>
          <w:highlight w:val="none"/>
          <w:lang w:eastAsia="zh-CN"/>
        </w:rPr>
        <w:t>）</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83"/>
        <w:gridCol w:w="886"/>
        <w:gridCol w:w="6237"/>
      </w:tblGrid>
      <w:tr w14:paraId="17CE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47729432">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83" w:type="dxa"/>
            <w:noWrap w:val="0"/>
            <w:vAlign w:val="center"/>
          </w:tcPr>
          <w:p w14:paraId="048C5511">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886" w:type="dxa"/>
            <w:noWrap w:val="0"/>
            <w:vAlign w:val="center"/>
          </w:tcPr>
          <w:p w14:paraId="439D8DD7">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237" w:type="dxa"/>
            <w:noWrap w:val="0"/>
            <w:vAlign w:val="center"/>
          </w:tcPr>
          <w:p w14:paraId="3AEB383E">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1A59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6D700D74">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383" w:type="dxa"/>
            <w:noWrap w:val="0"/>
            <w:vAlign w:val="center"/>
          </w:tcPr>
          <w:p w14:paraId="22FB8A9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报价</w:t>
            </w:r>
          </w:p>
        </w:tc>
        <w:tc>
          <w:tcPr>
            <w:tcW w:w="886" w:type="dxa"/>
            <w:noWrap w:val="0"/>
            <w:vAlign w:val="center"/>
          </w:tcPr>
          <w:p w14:paraId="5AD68D7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30分</w:t>
            </w:r>
          </w:p>
        </w:tc>
        <w:tc>
          <w:tcPr>
            <w:tcW w:w="6237" w:type="dxa"/>
            <w:noWrap w:val="0"/>
            <w:vAlign w:val="center"/>
          </w:tcPr>
          <w:p w14:paraId="763358D9">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lang w:val="en-US" w:eastAsia="zh-CN"/>
              </w:rPr>
              <w:t>采购人</w:t>
            </w:r>
            <w:r>
              <w:rPr>
                <w:rFonts w:hint="eastAsia" w:ascii="宋体" w:hAnsi="宋体"/>
                <w:color w:val="auto"/>
                <w:szCs w:val="21"/>
                <w:highlight w:val="none"/>
              </w:rPr>
              <w:t>设置投标报价最高限价，各投标人有效报价不得高于最高限价，否则，其投标文件按无效标处理。</w:t>
            </w:r>
          </w:p>
          <w:p w14:paraId="75FC94F0">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rPr>
              <w:t>1.评审基准价=所有有效投标人的最低报价；其得分为满分；</w:t>
            </w:r>
          </w:p>
          <w:p w14:paraId="3BDD7C8D">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rPr>
              <w:t>2.其它报价得分=评审基准价/投标报价*满分，小数点后保留两位小数，第三位四舍五入；</w:t>
            </w:r>
          </w:p>
          <w:p w14:paraId="6993DFB4">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color w:val="auto"/>
                <w:szCs w:val="21"/>
                <w:highlight w:val="none"/>
              </w:rPr>
              <w:t>3.本项分值由评审委员会负责组织计算。</w:t>
            </w:r>
          </w:p>
        </w:tc>
      </w:tr>
    </w:tbl>
    <w:p w14:paraId="5987963E">
      <w:pPr>
        <w:spacing w:line="440" w:lineRule="exact"/>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特别说明：</w:t>
      </w:r>
    </w:p>
    <w:p w14:paraId="1D90433D">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1.评标专家检验电子投标文件的上述材料，如果由于投标人自身原因导致评标专家无法查看并检验电子投标文件中以上相关资料的，后果有投标人自行承担。</w:t>
      </w:r>
    </w:p>
    <w:p w14:paraId="2D7B1136">
      <w:pPr>
        <w:spacing w:line="40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2.以上分值均保留二位小数，小数点后第三位四舍五入。</w:t>
      </w:r>
    </w:p>
    <w:p w14:paraId="35A92C1D">
      <w:pPr>
        <w:spacing w:line="400" w:lineRule="exact"/>
        <w:ind w:firstLine="422" w:firstLineChars="200"/>
        <w:rPr>
          <w:rFonts w:hint="eastAsia"/>
          <w:b/>
          <w:color w:val="auto"/>
          <w:szCs w:val="21"/>
          <w:highlight w:val="none"/>
        </w:rPr>
      </w:pPr>
      <w:r>
        <w:rPr>
          <w:rFonts w:hint="eastAsia" w:ascii="Times New Roman" w:hAnsi="Times New Roman" w:eastAsia="宋体" w:cs="Times New Roman"/>
          <w:b/>
          <w:color w:val="auto"/>
          <w:szCs w:val="21"/>
          <w:highlight w:val="none"/>
          <w:lang w:val="en-US" w:eastAsia="zh-CN"/>
        </w:rPr>
        <w:t>注：1.</w:t>
      </w:r>
      <w:r>
        <w:rPr>
          <w:rFonts w:hint="eastAsia" w:ascii="Times New Roman" w:hAnsi="Times New Roman" w:eastAsia="宋体" w:cs="Times New Roman"/>
          <w:b/>
          <w:color w:val="auto"/>
          <w:szCs w:val="21"/>
          <w:highlight w:val="none"/>
        </w:rPr>
        <w:t>提</w:t>
      </w:r>
      <w:r>
        <w:rPr>
          <w:rFonts w:hint="eastAsia"/>
          <w:b/>
          <w:color w:val="auto"/>
          <w:szCs w:val="21"/>
          <w:highlight w:val="none"/>
        </w:rPr>
        <w:t>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p w14:paraId="55C07871">
      <w:pPr>
        <w:pStyle w:val="2"/>
        <w:keepNext w:val="0"/>
        <w:keepLines w:val="0"/>
        <w:pageBreakBefore w:val="0"/>
        <w:kinsoku/>
        <w:wordWrap/>
        <w:overflowPunct/>
        <w:topLinePunct w:val="0"/>
        <w:autoSpaceDE/>
        <w:autoSpaceDN/>
        <w:bidi w:val="0"/>
        <w:spacing w:line="320" w:lineRule="exact"/>
        <w:ind w:left="0" w:leftChars="0" w:firstLine="0" w:firstLineChars="0"/>
        <w:jc w:val="left"/>
        <w:textAlignment w:val="auto"/>
        <w:rPr>
          <w:rFonts w:hint="eastAsia"/>
        </w:rPr>
      </w:pPr>
    </w:p>
    <w:p w14:paraId="0D193987">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四、推荐中标候选人</w:t>
      </w:r>
    </w:p>
    <w:p w14:paraId="63EAB5F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7.评标委员会按资信标和商务标得分之和，从高到低按顺序推荐3名中标候选人。</w:t>
      </w:r>
    </w:p>
    <w:p w14:paraId="7326BE8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7.1如总得分相等，以投标报价低的优先，投标报价仍相等由招标人随机抽取确定排名。</w:t>
      </w:r>
    </w:p>
    <w:p w14:paraId="1350C25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14:paraId="7B6CB50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14:paraId="26EC8A6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未在投标截止时间前递交投标文件的，投标将被拒绝。</w:t>
      </w:r>
    </w:p>
    <w:p w14:paraId="6AE2238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14:paraId="35D8CD9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2BCEDF9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14:paraId="7CD4BAA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14:paraId="6789FD0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w:t>
      </w:r>
    </w:p>
    <w:p w14:paraId="6A2D73D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14:paraId="7CD11D8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14:paraId="44810CB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14:paraId="43EB71E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14:paraId="77BA61E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14:paraId="65E4015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14:paraId="597CB9B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0348556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14:paraId="6B27589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14:paraId="7DACDEA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14:paraId="7D9CD7B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14:paraId="3283676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14:paraId="4749021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14:paraId="22DAF80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3" w:name="_Toc95223440"/>
      <w:r>
        <w:rPr>
          <w:rFonts w:hint="eastAsia" w:ascii="宋体"/>
          <w:color w:val="auto"/>
          <w:szCs w:val="21"/>
          <w:highlight w:val="none"/>
          <w:lang w:val="en-US" w:eastAsia="zh-CN"/>
        </w:rPr>
        <w:t>10.评分标准</w:t>
      </w:r>
      <w:bookmarkEnd w:id="53"/>
    </w:p>
    <w:p w14:paraId="3A570B1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10.1评分标准：见资信、商务评分表。</w:t>
      </w:r>
    </w:p>
    <w:p w14:paraId="48A8DAF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14:paraId="0A1DB05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14:paraId="4D6A2D7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14:paraId="3D13D4B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14:paraId="17B2C23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14:paraId="733C26A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14:paraId="787B27B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14:paraId="30930AD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14:paraId="3A74D5E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14:paraId="744CF4A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14:paraId="000B5CB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14:paraId="3D2BE02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14:paraId="62F4F9C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14:paraId="23AB374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90E5B4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14:paraId="1AA4C10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14:paraId="657D72B8">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ascii="宋体" w:cs="宋体"/>
          <w:b/>
          <w:bCs/>
          <w:color w:val="auto"/>
          <w:sz w:val="32"/>
          <w:szCs w:val="32"/>
          <w:highlight w:val="none"/>
        </w:rPr>
      </w:pPr>
      <w:bookmarkStart w:id="54" w:name="_Toc10480"/>
    </w:p>
    <w:p w14:paraId="73802FAF">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eastAsiaTheme="minorEastAsia"/>
          <w:sz w:val="32"/>
          <w:szCs w:val="32"/>
          <w:highlight w:val="none"/>
          <w:lang w:eastAsia="zh-CN"/>
        </w:rPr>
      </w:pPr>
      <w:r>
        <w:rPr>
          <w:rFonts w:hint="eastAsia" w:ascii="宋体" w:cs="宋体"/>
          <w:b/>
          <w:bCs/>
          <w:color w:val="auto"/>
          <w:sz w:val="32"/>
          <w:szCs w:val="32"/>
          <w:highlight w:val="none"/>
        </w:rPr>
        <w:t>第</w:t>
      </w:r>
      <w:r>
        <w:rPr>
          <w:rFonts w:hint="eastAsia" w:ascii="宋体" w:cs="宋体"/>
          <w:b/>
          <w:bCs/>
          <w:color w:val="auto"/>
          <w:sz w:val="32"/>
          <w:szCs w:val="32"/>
          <w:highlight w:val="none"/>
          <w:lang w:val="en-US" w:eastAsia="zh-CN"/>
        </w:rPr>
        <w:t>四</w:t>
      </w:r>
      <w:r>
        <w:rPr>
          <w:rFonts w:hint="eastAsia" w:ascii="宋体" w:cs="宋体"/>
          <w:b/>
          <w:bCs/>
          <w:color w:val="auto"/>
          <w:sz w:val="32"/>
          <w:szCs w:val="32"/>
          <w:highlight w:val="none"/>
        </w:rPr>
        <w:t xml:space="preserve">章  </w:t>
      </w:r>
      <w:r>
        <w:rPr>
          <w:rFonts w:hint="eastAsia" w:ascii="宋体" w:cs="宋体"/>
          <w:b/>
          <w:bCs/>
          <w:color w:val="auto"/>
          <w:sz w:val="32"/>
          <w:szCs w:val="32"/>
          <w:highlight w:val="none"/>
          <w:lang w:eastAsia="zh-CN"/>
        </w:rPr>
        <w:t>采购需求</w:t>
      </w:r>
      <w:bookmarkEnd w:id="54"/>
    </w:p>
    <w:p w14:paraId="40A6CF75">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一、项目概况</w:t>
      </w:r>
    </w:p>
    <w:p w14:paraId="10F143A9">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本项目为2025年琅琊山森林漂流皮划艇采购项目，所有产品均须符合相关国家标准。</w:t>
      </w:r>
    </w:p>
    <w:p w14:paraId="2729A779">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二、采购需求清单</w:t>
      </w:r>
    </w:p>
    <w:tbl>
      <w:tblPr>
        <w:tblStyle w:val="26"/>
        <w:tblW w:w="8918" w:type="dxa"/>
        <w:tblInd w:w="-2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484"/>
        <w:gridCol w:w="5007"/>
        <w:gridCol w:w="832"/>
        <w:gridCol w:w="845"/>
      </w:tblGrid>
      <w:tr w14:paraId="5A05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081F5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3B47FF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器材名称</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326A3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规格参数</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C988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741400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14:paraId="5825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3"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50CBB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692408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双人皮艇</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7C54FEA4">
            <w:pPr>
              <w:pStyle w:val="62"/>
              <w:keepNext w:val="0"/>
              <w:keepLines w:val="0"/>
              <w:pageBreakBefore w:val="0"/>
              <w:suppressLineNumbers w:val="0"/>
              <w:kinsoku/>
              <w:wordWrap/>
              <w:overflowPunct/>
              <w:topLinePunct w:val="0"/>
              <w:autoSpaceDE/>
              <w:autoSpaceDN/>
              <w:bidi w:val="0"/>
              <w:adjustRightInd/>
              <w:snapToGrid/>
              <w:spacing w:before="71" w:beforeAutospacing="0" w:after="0" w:afterAutospacing="0" w:line="300" w:lineRule="exact"/>
              <w:ind w:left="0" w:right="103"/>
              <w:jc w:val="left"/>
              <w:rPr>
                <w:rFonts w:hint="eastAsia" w:ascii="宋体" w:hAnsi="宋体" w:eastAsia="宋体" w:cs="宋体"/>
                <w:b w:val="0"/>
                <w:bCs w:val="0"/>
                <w:color w:val="auto"/>
                <w:sz w:val="21"/>
                <w:szCs w:val="21"/>
                <w:highlight w:val="none"/>
                <w:lang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定制型加强玻璃漂河道漂尺寸：</w:t>
            </w:r>
            <w:r>
              <w:rPr>
                <w:rFonts w:hint="eastAsia" w:cs="宋体"/>
                <w:b w:val="0"/>
                <w:bCs w:val="0"/>
                <w:i w:val="0"/>
                <w:iCs w:val="0"/>
                <w:color w:val="auto"/>
                <w:sz w:val="21"/>
                <w:szCs w:val="21"/>
                <w:highlight w:val="none"/>
                <w:u w:val="none"/>
                <w:lang w:val="en-US" w:eastAsia="zh-CN"/>
              </w:rPr>
              <w:t>长</w:t>
            </w:r>
            <w:r>
              <w:rPr>
                <w:rFonts w:hint="eastAsia" w:ascii="宋体" w:hAnsi="宋体" w:eastAsia="宋体" w:cs="宋体"/>
                <w:b w:val="0"/>
                <w:bCs w:val="0"/>
                <w:color w:val="auto"/>
                <w:spacing w:val="-4"/>
                <w:sz w:val="21"/>
                <w:szCs w:val="21"/>
                <w:highlight w:val="none"/>
              </w:rPr>
              <w:t>23</w:t>
            </w:r>
            <w:r>
              <w:rPr>
                <w:rFonts w:hint="eastAsia" w:ascii="宋体" w:hAnsi="宋体" w:eastAsia="宋体" w:cs="宋体"/>
                <w:b w:val="0"/>
                <w:bCs w:val="0"/>
                <w:color w:val="auto"/>
                <w:spacing w:val="-4"/>
                <w:sz w:val="21"/>
                <w:szCs w:val="21"/>
                <w:highlight w:val="none"/>
                <w:lang w:val="en-US" w:eastAsia="zh-CN"/>
              </w:rPr>
              <w:t>5</w:t>
            </w:r>
            <w:r>
              <w:rPr>
                <w:rFonts w:hint="eastAsia" w:ascii="宋体" w:hAnsi="宋体" w:eastAsia="宋体" w:cs="宋体"/>
                <w:b w:val="0"/>
                <w:bCs w:val="0"/>
                <w:color w:val="auto"/>
                <w:spacing w:val="-4"/>
                <w:sz w:val="21"/>
                <w:szCs w:val="21"/>
                <w:highlight w:val="none"/>
              </w:rPr>
              <w:t>0*</w:t>
            </w:r>
            <w:r>
              <w:rPr>
                <w:rFonts w:hint="eastAsia" w:cs="宋体"/>
                <w:b w:val="0"/>
                <w:bCs w:val="0"/>
                <w:color w:val="auto"/>
                <w:spacing w:val="-4"/>
                <w:sz w:val="21"/>
                <w:szCs w:val="21"/>
                <w:highlight w:val="none"/>
                <w:lang w:val="en-US" w:eastAsia="zh-CN"/>
              </w:rPr>
              <w:t>宽</w:t>
            </w:r>
            <w:r>
              <w:rPr>
                <w:rFonts w:hint="eastAsia" w:ascii="宋体" w:hAnsi="宋体" w:eastAsia="宋体" w:cs="宋体"/>
                <w:b w:val="0"/>
                <w:bCs w:val="0"/>
                <w:color w:val="auto"/>
                <w:spacing w:val="-4"/>
                <w:sz w:val="21"/>
                <w:szCs w:val="21"/>
                <w:highlight w:val="none"/>
              </w:rPr>
              <w:t>1</w:t>
            </w:r>
            <w:r>
              <w:rPr>
                <w:rFonts w:hint="eastAsia" w:cs="宋体"/>
                <w:b w:val="0"/>
                <w:bCs w:val="0"/>
                <w:color w:val="auto"/>
                <w:spacing w:val="-4"/>
                <w:sz w:val="21"/>
                <w:szCs w:val="21"/>
                <w:highlight w:val="none"/>
                <w:lang w:val="en-US" w:eastAsia="zh-CN"/>
              </w:rPr>
              <w:t>20</w:t>
            </w:r>
            <w:r>
              <w:rPr>
                <w:rFonts w:hint="eastAsia" w:ascii="宋体" w:hAnsi="宋体" w:eastAsia="宋体" w:cs="宋体"/>
                <w:b w:val="0"/>
                <w:bCs w:val="0"/>
                <w:color w:val="auto"/>
                <w:spacing w:val="-4"/>
                <w:sz w:val="21"/>
                <w:szCs w:val="21"/>
                <w:highlight w:val="none"/>
              </w:rPr>
              <w:t>0*</w:t>
            </w:r>
            <w:r>
              <w:rPr>
                <w:rFonts w:hint="eastAsia" w:ascii="宋体" w:hAnsi="宋体" w:eastAsia="宋体" w:cs="宋体"/>
                <w:b w:val="0"/>
                <w:bCs w:val="0"/>
                <w:color w:val="auto"/>
                <w:spacing w:val="5"/>
                <w:sz w:val="21"/>
                <w:szCs w:val="21"/>
                <w:highlight w:val="none"/>
                <w:lang w:val="en-US" w:eastAsia="zh-CN"/>
              </w:rPr>
              <w:t>深</w:t>
            </w:r>
            <w:r>
              <w:rPr>
                <w:rFonts w:hint="eastAsia" w:ascii="宋体" w:hAnsi="宋体" w:eastAsia="宋体" w:cs="宋体"/>
                <w:b w:val="0"/>
                <w:bCs w:val="0"/>
                <w:color w:val="auto"/>
                <w:spacing w:val="-6"/>
                <w:sz w:val="21"/>
                <w:szCs w:val="21"/>
                <w:highlight w:val="none"/>
              </w:rPr>
              <w:t>350</w:t>
            </w:r>
            <w:r>
              <w:rPr>
                <w:rFonts w:hint="eastAsia" w:cs="宋体"/>
                <w:b w:val="0"/>
                <w:bCs w:val="0"/>
                <w:color w:val="auto"/>
                <w:spacing w:val="-6"/>
                <w:sz w:val="21"/>
                <w:szCs w:val="21"/>
                <w:highlight w:val="none"/>
                <w:lang w:val="en-US" w:eastAsia="zh-CN"/>
              </w:rPr>
              <w:t>mm</w:t>
            </w:r>
            <w:r>
              <w:rPr>
                <w:rFonts w:hint="eastAsia" w:cs="宋体"/>
                <w:b w:val="0"/>
                <w:bCs w:val="0"/>
                <w:color w:val="auto"/>
                <w:spacing w:val="-6"/>
                <w:sz w:val="21"/>
                <w:szCs w:val="21"/>
                <w:highlight w:val="none"/>
                <w:lang w:eastAsia="zh-CN"/>
              </w:rPr>
              <w:t>（</w:t>
            </w:r>
            <w:r>
              <w:rPr>
                <w:rFonts w:hint="eastAsia" w:cs="宋体"/>
                <w:b w:val="0"/>
                <w:bCs w:val="0"/>
                <w:color w:val="auto"/>
                <w:spacing w:val="-4"/>
                <w:sz w:val="21"/>
                <w:szCs w:val="21"/>
                <w:highlight w:val="none"/>
                <w:lang w:val="en-US" w:eastAsia="zh-CN"/>
              </w:rPr>
              <w:t>±50</w:t>
            </w:r>
            <w:r>
              <w:rPr>
                <w:rFonts w:hint="eastAsia" w:cs="宋体"/>
                <w:b w:val="0"/>
                <w:bCs w:val="0"/>
                <w:color w:val="auto"/>
                <w:spacing w:val="-6"/>
                <w:sz w:val="21"/>
                <w:szCs w:val="21"/>
                <w:highlight w:val="none"/>
                <w:lang w:val="en-US" w:eastAsia="zh-CN"/>
              </w:rPr>
              <w:t>mm，具体尺寸在中标后，到现场进行实地测量后，与招标单位共同确认为准</w:t>
            </w:r>
            <w:r>
              <w:rPr>
                <w:rFonts w:hint="eastAsia" w:cs="宋体"/>
                <w:b w:val="0"/>
                <w:bCs w:val="0"/>
                <w:color w:val="auto"/>
                <w:spacing w:val="-6"/>
                <w:sz w:val="21"/>
                <w:szCs w:val="21"/>
                <w:highlight w:val="none"/>
                <w:lang w:eastAsia="zh-CN"/>
              </w:rPr>
              <w:t>）</w:t>
            </w:r>
          </w:p>
          <w:p w14:paraId="0ED65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气室：2个</w:t>
            </w:r>
          </w:p>
          <w:p w14:paraId="37834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额定乘员：2人</w:t>
            </w:r>
          </w:p>
          <w:p w14:paraId="47239E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color w:val="auto"/>
                <w:sz w:val="21"/>
                <w:szCs w:val="21"/>
                <w:highlight w:val="yellow"/>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color w:val="auto"/>
                <w:sz w:val="21"/>
                <w:szCs w:val="21"/>
                <w:highlight w:val="yellow"/>
                <w:lang w:val="en-US" w:eastAsia="zh-CN"/>
              </w:rPr>
              <w:t>颜色、Logo根据客户要求定制</w:t>
            </w:r>
          </w:p>
          <w:p w14:paraId="6E678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宋体" w:hAnsi="宋体" w:eastAsia="宋体" w:cs="宋体"/>
                <w:b/>
                <w:bCs/>
                <w:color w:val="auto"/>
                <w:sz w:val="21"/>
                <w:szCs w:val="21"/>
                <w:highlight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color w:val="auto"/>
                <w:sz w:val="21"/>
                <w:szCs w:val="21"/>
                <w:highlight w:val="none"/>
                <w:lang w:val="en-US" w:eastAsia="zh-CN"/>
              </w:rPr>
              <w:t>含船桨（木质杆、塑料桨）2只、安全头盔2顶、救生衣2件；</w:t>
            </w:r>
            <w:r>
              <w:rPr>
                <w:rFonts w:hint="eastAsia" w:ascii="宋体" w:hAnsi="宋体" w:eastAsia="宋体" w:cs="宋体"/>
                <w:b/>
                <w:bCs/>
                <w:color w:val="auto"/>
                <w:sz w:val="21"/>
                <w:szCs w:val="21"/>
                <w:highlight w:val="none"/>
                <w:lang w:val="en-US" w:eastAsia="zh-CN"/>
              </w:rPr>
              <w:t>（无需证明材料）</w:t>
            </w:r>
          </w:p>
          <w:p w14:paraId="639C7B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▲主材：0.9mmPVC、复合织材</w:t>
            </w:r>
          </w:p>
          <w:p w14:paraId="639AB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▲阀门：铜质专用止回阀</w:t>
            </w:r>
          </w:p>
          <w:p w14:paraId="03871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▲一、坐垫：EVA泡棉直型</w:t>
            </w:r>
          </w:p>
          <w:p w14:paraId="788AE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防磨材料：亮光增滑专用防磨条，防磨强度高。</w:t>
            </w:r>
          </w:p>
          <w:p w14:paraId="4767AB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安全绳：直径不小于8mm涤纶多股绳，在30min内，承受800-1200N拉力，结实耐用。</w:t>
            </w:r>
          </w:p>
          <w:p w14:paraId="235DE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▲二、安全把手：采用柔软合成纤维材料，宽度20-30mm，30min内，承受800-1200N拉力</w:t>
            </w:r>
          </w:p>
          <w:p w14:paraId="19E59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▲底部处理：长形聚氯聚乙烯泡沫坐垫（聚乙烯泡沫需提供表观密度、吸水率、硬度、抗压强度数据）</w:t>
            </w:r>
          </w:p>
          <w:p w14:paraId="0127A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auto"/>
                <w:sz w:val="21"/>
                <w:szCs w:val="21"/>
                <w:highlight w:val="none"/>
                <w:u w:val="none"/>
                <w:lang w:val="en-US" w:eastAsia="zh-CN"/>
              </w:rPr>
              <w:t>▲</w:t>
            </w:r>
            <w:r>
              <w:rPr>
                <w:rFonts w:hint="eastAsia" w:ascii="宋体" w:hAnsi="宋体" w:eastAsia="宋体" w:cs="宋体"/>
                <w:b w:val="0"/>
                <w:bCs w:val="0"/>
                <w:i w:val="0"/>
                <w:iCs w:val="0"/>
                <w:color w:val="auto"/>
                <w:kern w:val="2"/>
                <w:sz w:val="21"/>
                <w:szCs w:val="21"/>
                <w:highlight w:val="none"/>
                <w:u w:val="none"/>
                <w:lang w:val="en-US" w:eastAsia="zh-CN" w:bidi="ar-SA"/>
              </w:rPr>
              <w:t>检测机构：中国船级社</w:t>
            </w:r>
          </w:p>
          <w:p w14:paraId="60AAC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auto"/>
                <w:kern w:val="2"/>
                <w:sz w:val="21"/>
                <w:szCs w:val="21"/>
                <w:highlight w:val="none"/>
                <w:u w:val="none"/>
                <w:lang w:val="en-US" w:eastAsia="zh-CN" w:bidi="ar-SA"/>
              </w:rPr>
              <w:t>（需提供产品证书、型式认可证书）</w:t>
            </w:r>
          </w:p>
          <w:p w14:paraId="39803FB8">
            <w:pPr>
              <w:pStyle w:val="2"/>
              <w:keepNext w:val="0"/>
              <w:keepLines w:val="0"/>
              <w:pageBreakBefore w:val="0"/>
              <w:kinsoku/>
              <w:wordWrap/>
              <w:overflowPunct/>
              <w:topLinePunct w:val="0"/>
              <w:autoSpaceDE/>
              <w:autoSpaceDN/>
              <w:bidi w:val="0"/>
              <w:adjustRightInd/>
              <w:snapToGrid/>
              <w:spacing w:line="300" w:lineRule="exact"/>
              <w:ind w:left="0" w:leftChars="0" w:firstLine="0" w:firstLineChars="0"/>
              <w:rPr>
                <w:rFonts w:hint="eastAsia"/>
                <w:color w:val="auto"/>
                <w:highlight w:val="none"/>
              </w:rPr>
            </w:pPr>
            <w:r>
              <w:rPr>
                <w:rFonts w:hint="eastAsia" w:ascii="宋体" w:hAnsi="宋体" w:eastAsia="宋体" w:cs="宋体"/>
                <w:b w:val="0"/>
                <w:bCs w:val="0"/>
                <w:i w:val="0"/>
                <w:iCs w:val="0"/>
                <w:color w:val="auto"/>
                <w:sz w:val="21"/>
                <w:szCs w:val="21"/>
                <w:highlight w:val="none"/>
                <w:u w:val="none"/>
                <w:lang w:val="en-US" w:eastAsia="zh-CN"/>
              </w:rPr>
              <w:t>▲</w:t>
            </w:r>
            <w:r>
              <w:rPr>
                <w:rFonts w:hint="eastAsia"/>
                <w:color w:val="auto"/>
                <w:highlight w:val="none"/>
              </w:rPr>
              <w:t>生产工艺</w:t>
            </w:r>
            <w:r>
              <w:rPr>
                <w:rFonts w:hint="eastAsia"/>
                <w:color w:val="auto"/>
                <w:highlight w:val="none"/>
                <w:lang w:eastAsia="zh-CN"/>
              </w:rPr>
              <w:t>：</w:t>
            </w:r>
            <w:r>
              <w:rPr>
                <w:rFonts w:hint="eastAsia"/>
                <w:color w:val="auto"/>
                <w:highlight w:val="none"/>
              </w:rPr>
              <w:t>采用高温熔接+专用胶水粘合工艺，专用胶水大大优于普通胶水，剥离强度、耐高温、耐水解等性能大大增强，阳光暴晒下，艇连接部位牢固性能</w:t>
            </w:r>
            <w:r>
              <w:rPr>
                <w:rFonts w:hint="eastAsia"/>
                <w:color w:val="auto"/>
                <w:highlight w:val="none"/>
                <w:lang w:val="en-US" w:eastAsia="zh-CN"/>
              </w:rPr>
              <w:t>完好</w:t>
            </w:r>
            <w:r>
              <w:rPr>
                <w:rFonts w:hint="eastAsia"/>
                <w:color w:val="auto"/>
                <w:highlight w:val="none"/>
              </w:rPr>
              <w:t>。</w:t>
            </w:r>
          </w:p>
          <w:p w14:paraId="097B7EF3">
            <w:pPr>
              <w:keepNext w:val="0"/>
              <w:keepLines w:val="0"/>
              <w:suppressLineNumbers w:val="0"/>
              <w:spacing w:before="0" w:beforeAutospacing="0" w:after="0" w:afterAutospacing="0"/>
              <w:ind w:left="0" w:right="0"/>
              <w:rPr>
                <w:rFonts w:hint="eastAsia"/>
                <w:color w:val="auto"/>
              </w:rPr>
            </w:pPr>
            <w:r>
              <w:rPr>
                <w:rFonts w:hint="default" w:ascii="宋体" w:hAnsi="宋体" w:cs="宋体"/>
                <w:b/>
                <w:color w:val="auto"/>
                <w:szCs w:val="21"/>
                <w:highlight w:val="none"/>
              </w:rPr>
              <w:t>注：上述要求</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标注不需要的除外）</w:t>
            </w:r>
            <w:r>
              <w:rPr>
                <w:rFonts w:hint="default" w:ascii="宋体" w:hAnsi="宋体" w:cs="宋体"/>
                <w:b/>
                <w:color w:val="auto"/>
                <w:szCs w:val="21"/>
                <w:highlight w:val="none"/>
              </w:rPr>
              <w:t>，须在投标文件</w:t>
            </w:r>
            <w:r>
              <w:rPr>
                <w:rFonts w:hint="eastAsia" w:ascii="宋体" w:hAnsi="宋体" w:cs="宋体"/>
                <w:b/>
                <w:color w:val="auto"/>
                <w:szCs w:val="21"/>
                <w:highlight w:val="none"/>
                <w:lang w:val="en-US" w:eastAsia="zh-CN"/>
              </w:rPr>
              <w:t>提供的证明材料</w:t>
            </w:r>
            <w:r>
              <w:rPr>
                <w:rFonts w:hint="default" w:ascii="宋体" w:hAnsi="宋体" w:cs="宋体"/>
                <w:b/>
                <w:color w:val="auto"/>
                <w:szCs w:val="21"/>
                <w:highlight w:val="none"/>
              </w:rPr>
              <w:t>中体现。</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3431C9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200</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4F8D85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条</w:t>
            </w:r>
          </w:p>
        </w:tc>
      </w:tr>
      <w:tr w14:paraId="0CA6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50EBC4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bookmarkStart w:id="55" w:name="_Toc17330"/>
            <w:r>
              <w:rPr>
                <w:rFonts w:hint="eastAsia" w:ascii="Times New Roman" w:hAnsi="Times New Roman" w:eastAsia="宋体" w:cs="Times New Roman"/>
                <w:color w:val="auto"/>
                <w:kern w:val="0"/>
                <w:sz w:val="21"/>
                <w:szCs w:val="21"/>
                <w:highlight w:val="none"/>
                <w:u w:color="000000"/>
                <w:lang w:val="en-US" w:eastAsia="zh-CN" w:bidi="ar"/>
              </w:rPr>
              <w:t>2</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305E687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yellow"/>
                <w:u w:color="000000"/>
                <w:lang w:val="en-US" w:eastAsia="zh-CN" w:bidi="ar"/>
              </w:rPr>
            </w:pPr>
            <w:r>
              <w:rPr>
                <w:rFonts w:hint="eastAsia" w:ascii="Times New Roman" w:hAnsi="Times New Roman" w:eastAsia="宋体" w:cs="Times New Roman"/>
                <w:color w:val="auto"/>
                <w:kern w:val="0"/>
                <w:sz w:val="21"/>
                <w:szCs w:val="21"/>
                <w:highlight w:val="yellow"/>
                <w:u w:color="000000"/>
                <w:lang w:val="en-US" w:eastAsia="zh-CN" w:bidi="ar"/>
              </w:rPr>
              <w:t>儿童救生衣</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7F1E2BFC">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质量须符合国家强制标准</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55A14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255</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200AC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件</w:t>
            </w:r>
          </w:p>
        </w:tc>
      </w:tr>
      <w:tr w14:paraId="17D4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4D9C57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3</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6650E24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yellow"/>
                <w:u w:color="000000"/>
                <w:lang w:val="en-US" w:eastAsia="zh-CN" w:bidi="ar"/>
              </w:rPr>
            </w:pPr>
            <w:r>
              <w:rPr>
                <w:rFonts w:hint="eastAsia" w:ascii="Times New Roman" w:hAnsi="Times New Roman" w:eastAsia="宋体" w:cs="Times New Roman"/>
                <w:color w:val="auto"/>
                <w:kern w:val="0"/>
                <w:sz w:val="21"/>
                <w:szCs w:val="21"/>
                <w:highlight w:val="yellow"/>
                <w:u w:color="000000"/>
                <w:lang w:val="en-US" w:eastAsia="zh-CN" w:bidi="ar"/>
              </w:rPr>
              <w:t>儿童安全头盔</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6D7580C7">
            <w:pPr>
              <w:keepNext w:val="0"/>
              <w:keepLines w:val="0"/>
              <w:suppressLineNumbers w:val="0"/>
              <w:spacing w:before="0" w:beforeAutospacing="0" w:after="0" w:afterAutospacing="0"/>
              <w:ind w:left="0" w:right="0"/>
              <w:rPr>
                <w:rFonts w:hint="default" w:ascii="Times New Roman" w:hAnsi="Times New Roman" w:eastAsia="宋体" w:cs="Times New Roman"/>
                <w:color w:val="auto"/>
                <w:kern w:val="0"/>
                <w:sz w:val="21"/>
                <w:szCs w:val="21"/>
                <w:highlight w:val="none"/>
                <w:u w:color="000000"/>
                <w:lang w:val="en-US" w:eastAsia="zh-CN" w:bidi="ar"/>
              </w:rPr>
            </w:pPr>
            <w:r>
              <w:rPr>
                <w:rFonts w:hint="default" w:ascii="Times New Roman" w:hAnsi="Times New Roman" w:eastAsia="宋体" w:cs="Times New Roman"/>
                <w:color w:val="auto"/>
                <w:kern w:val="0"/>
                <w:sz w:val="21"/>
                <w:szCs w:val="21"/>
                <w:highlight w:val="none"/>
                <w:u w:color="000000"/>
                <w:lang w:val="en-US" w:eastAsia="zh-CN" w:bidi="ar"/>
              </w:rPr>
              <w:t>头围48-60</w:t>
            </w:r>
            <w:r>
              <w:rPr>
                <w:rFonts w:hint="eastAsia" w:ascii="Times New Roman" w:hAnsi="Times New Roman" w:eastAsia="宋体" w:cs="Times New Roman"/>
                <w:color w:val="auto"/>
                <w:kern w:val="0"/>
                <w:sz w:val="21"/>
                <w:szCs w:val="21"/>
                <w:highlight w:val="none"/>
                <w:u w:color="000000"/>
                <w:lang w:val="en-US" w:eastAsia="zh-CN" w:bidi="ar"/>
              </w:rPr>
              <w:t>，质量须符合国家强制标准</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F86F9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260</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2203281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顶</w:t>
            </w:r>
          </w:p>
        </w:tc>
      </w:tr>
      <w:tr w14:paraId="6EA5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15661F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4</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02F9DDD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yellow"/>
                <w:u w:color="000000"/>
                <w:lang w:val="en-US" w:eastAsia="zh-CN" w:bidi="ar"/>
              </w:rPr>
            </w:pPr>
            <w:r>
              <w:rPr>
                <w:rFonts w:hint="eastAsia" w:ascii="Times New Roman" w:hAnsi="Times New Roman" w:eastAsia="宋体" w:cs="Times New Roman"/>
                <w:color w:val="auto"/>
                <w:kern w:val="0"/>
                <w:sz w:val="21"/>
                <w:szCs w:val="21"/>
                <w:highlight w:val="yellow"/>
                <w:u w:color="000000"/>
                <w:lang w:val="en-US" w:eastAsia="zh-CN" w:bidi="ar"/>
              </w:rPr>
              <w:t>船桨</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71D8B6AB">
            <w:pPr>
              <w:keepNext w:val="0"/>
              <w:keepLines w:val="0"/>
              <w:suppressLineNumbers w:val="0"/>
              <w:spacing w:before="0" w:beforeAutospacing="0" w:after="0" w:afterAutospacing="0"/>
              <w:ind w:left="0" w:right="0"/>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船桨（木质杆、塑料桨）</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224A74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550</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28F16D3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副</w:t>
            </w:r>
          </w:p>
        </w:tc>
      </w:tr>
    </w:tbl>
    <w:p w14:paraId="03068D74">
      <w:pPr>
        <w:pStyle w:val="2"/>
        <w:keepNext w:val="0"/>
        <w:keepLines w:val="0"/>
        <w:pageBreakBefore w:val="0"/>
        <w:kinsoku/>
        <w:wordWrap/>
        <w:overflowPunct/>
        <w:topLinePunct w:val="0"/>
        <w:autoSpaceDE/>
        <w:autoSpaceDN/>
        <w:bidi w:val="0"/>
        <w:adjustRightInd/>
        <w:snapToGrid/>
        <w:spacing w:line="440" w:lineRule="exact"/>
        <w:ind w:left="0" w:leftChars="0" w:firstLine="0" w:firstLineChars="0"/>
        <w:jc w:val="left"/>
        <w:rPr>
          <w:rFonts w:hint="eastAsia" w:ascii="宋体" w:hAnsi="宋体" w:eastAsia="宋体" w:cs="宋体"/>
          <w:b/>
          <w:color w:val="auto"/>
          <w:sz w:val="21"/>
          <w:szCs w:val="21"/>
          <w:highlight w:val="none"/>
          <w:lang w:val="en-US" w:eastAsia="zh-CN"/>
        </w:rPr>
      </w:pPr>
    </w:p>
    <w:p w14:paraId="46B849BF">
      <w:pPr>
        <w:pStyle w:val="2"/>
        <w:keepNext w:val="0"/>
        <w:keepLines w:val="0"/>
        <w:pageBreakBefore w:val="0"/>
        <w:kinsoku/>
        <w:wordWrap/>
        <w:overflowPunct/>
        <w:topLinePunct w:val="0"/>
        <w:autoSpaceDE/>
        <w:autoSpaceDN/>
        <w:bidi w:val="0"/>
        <w:adjustRightInd/>
        <w:snapToGrid/>
        <w:spacing w:line="440" w:lineRule="exact"/>
        <w:ind w:left="0" w:leftChars="0" w:firstLine="0" w:firstLineChars="0"/>
        <w:jc w:val="left"/>
        <w:rPr>
          <w:rFonts w:hint="eastAsia"/>
          <w:lang w:val="en-US" w:eastAsia="zh-CN"/>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商务要求</w:t>
      </w:r>
    </w:p>
    <w:p w14:paraId="5FC2A52B">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（一）货物的生产、维修、检验、验收等按照以下原则执行：有国家标准的执行国家标准；无国家标准的执行行业标准；无行业标准的执行地方标准；无地方标准的执行企业标准。</w:t>
      </w:r>
    </w:p>
    <w:p w14:paraId="018E4741">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二）招标人如果在技术参数或配置中标明了品牌或产地，则仅供参考，并非指定，投标人可选用推荐品牌或不低于推荐牌性能、技术水平、质量标准的其它品牌，如采用其它品牌的，应在投标文件中注明并提供相关技术参数、业绩等供评标委员会评审，未提供相关技术参数、业绩的或经评标委员会评审未通过的，中标后只能从招标人推荐品牌中进行选择，价格不予调整；招标人选择推荐品牌之外的除外。</w:t>
      </w:r>
    </w:p>
    <w:p w14:paraId="74133A3C">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 对于招标人推荐品牌的材料，投标人如认为招标人推荐的品牌有限定性、唯一性、明显不在同一档次等级的或者其他异议的，应在疑问提出的截止时间前通过交易中心电子交易平台提交。</w:t>
      </w:r>
    </w:p>
    <w:p w14:paraId="040E4783">
      <w:pPr>
        <w:spacing w:line="440" w:lineRule="exact"/>
        <w:ind w:firstLine="420" w:firstLineChars="200"/>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三）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w:t>
      </w:r>
      <w:r>
        <w:rPr>
          <w:rFonts w:hint="eastAsia" w:ascii="宋体" w:hAnsi="Times New Roman" w:eastAsia="宋体" w:cs="Times New Roman"/>
          <w:b/>
          <w:bCs/>
          <w:color w:val="auto"/>
          <w:szCs w:val="21"/>
          <w:highlight w:val="none"/>
          <w:lang w:val="en-US" w:eastAsia="zh-CN"/>
        </w:rPr>
        <w:t>(厂家出具的合格证书供货时提供)</w:t>
      </w:r>
    </w:p>
    <w:p w14:paraId="42FFFAA2">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（四）技术支持</w:t>
      </w:r>
    </w:p>
    <w:p w14:paraId="0A4DB8AE">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1.中标人应向采购人提供全方位、及时而有效的技术支持和服务。</w:t>
      </w:r>
    </w:p>
    <w:p w14:paraId="3D2037EC">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2.中标人负责供货。</w:t>
      </w:r>
    </w:p>
    <w:p w14:paraId="00CD6286">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中标人负责将货物的全部有关技术文件（外文应提供中文翻译资料，下同）、施工图纸、资料、测试、验收报告等汇集成册交付采购人，涉及进口的产品或部件配件软件等须提供中国海关进口货物报关单、完税证明及商检证明等材料。</w:t>
      </w:r>
    </w:p>
    <w:p w14:paraId="4316DD79">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（五）质保及售后服务：</w:t>
      </w:r>
    </w:p>
    <w:p w14:paraId="5CAAFDA7">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1.中标人须提供至少3年的免费质保服务，所有质保费用均已包含在投标报价中，质保期满后，应提供优先的有偿售后服务及按不高于投标文件中主要配件、易损件清单所报价格供应原厂零配件等。</w:t>
      </w:r>
    </w:p>
    <w:p w14:paraId="6F389D66">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2..中标人须设有维修服务电话，负责解答用户在货物使用中遇到的问题，及时提出解决问题的建议和操作方法。</w:t>
      </w:r>
    </w:p>
    <w:p w14:paraId="28C4D7C1">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3.售后服务响应时间：如货物出现故障，电话响应无法解决，中标人必须在接报修电话 24 小时内到现场并解决问题。 </w:t>
      </w:r>
    </w:p>
    <w:p w14:paraId="159EE58D">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（六）交货期:合同签订并接到供货通知后，须在合同约定期限内供完毕。</w:t>
      </w:r>
    </w:p>
    <w:p w14:paraId="3328AFD1">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（七）交货地点： 货物运至招标人指定地点。</w:t>
      </w:r>
    </w:p>
    <w:p w14:paraId="1FFFF542">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八）验收，若中标人提供的货物验收不合格，招标人有权取消其中标候选人资格（投标人在货物验收时合同签订前需提供设备生产厂家或具有授权权限的代理商针对本项目的授权代理证明文件及售后服务承诺书供招标人审核，否则招标人有权取消其中标候选人资格）；</w:t>
      </w:r>
    </w:p>
    <w:p w14:paraId="1271B67B">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采购人和相关部门按照国家规定标准验收，没有国家标准的按行业标准验收，无行业标准的按地方或企业标准验收，中标人予以配合。涉及安全、消防、环保等其他需要由质检或行业主管部门验收的项目，采购人须约请相关部门和专家参加项目验收。</w:t>
      </w:r>
    </w:p>
    <w:p w14:paraId="60C7C372">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2.货物在验收时，投标人应提供发票、制造厂家出具的产品合格证书、装箱清单等,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技术性指导等文件和应由投标人提供的必要文件。</w:t>
      </w:r>
    </w:p>
    <w:p w14:paraId="451E2C29">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（九）付款方式：见投标人须知前附表。</w:t>
      </w:r>
    </w:p>
    <w:p w14:paraId="77C99274">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2D00D2FC">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252664FB">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79FAEE9">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434FFF1E">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AE17CCB">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6B3DDF91">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72109F7">
      <w:pPr>
        <w:pStyle w:val="2"/>
        <w:rPr>
          <w:rFonts w:hint="eastAsia" w:ascii="宋体" w:hAnsi="Times New Roman" w:eastAsia="宋体" w:cs="Times New Roman"/>
          <w:b/>
          <w:bCs w:val="0"/>
          <w:color w:val="auto"/>
          <w:kern w:val="2"/>
          <w:sz w:val="32"/>
          <w:szCs w:val="32"/>
          <w:highlight w:val="none"/>
          <w:lang w:val="en-US" w:eastAsia="zh-CN" w:bidi="ar-SA"/>
        </w:rPr>
      </w:pPr>
    </w:p>
    <w:p w14:paraId="665A3223">
      <w:pPr>
        <w:rPr>
          <w:rFonts w:hint="eastAsia" w:ascii="宋体" w:hAnsi="Times New Roman" w:eastAsia="宋体" w:cs="Times New Roman"/>
          <w:b/>
          <w:bCs w:val="0"/>
          <w:color w:val="auto"/>
          <w:kern w:val="2"/>
          <w:sz w:val="32"/>
          <w:szCs w:val="32"/>
          <w:highlight w:val="none"/>
          <w:lang w:val="en-US" w:eastAsia="zh-CN" w:bidi="ar-SA"/>
        </w:rPr>
      </w:pPr>
    </w:p>
    <w:p w14:paraId="03EB2C4E">
      <w:pPr>
        <w:pStyle w:val="2"/>
        <w:rPr>
          <w:rFonts w:hint="eastAsia" w:ascii="宋体" w:hAnsi="Times New Roman" w:eastAsia="宋体" w:cs="Times New Roman"/>
          <w:b/>
          <w:bCs w:val="0"/>
          <w:color w:val="auto"/>
          <w:kern w:val="2"/>
          <w:sz w:val="32"/>
          <w:szCs w:val="32"/>
          <w:highlight w:val="none"/>
          <w:lang w:val="en-US" w:eastAsia="zh-CN" w:bidi="ar-SA"/>
        </w:rPr>
      </w:pPr>
    </w:p>
    <w:p w14:paraId="28FF927E">
      <w:pPr>
        <w:rPr>
          <w:rFonts w:hint="eastAsia" w:ascii="宋体" w:hAnsi="Times New Roman" w:eastAsia="宋体" w:cs="Times New Roman"/>
          <w:b/>
          <w:bCs w:val="0"/>
          <w:color w:val="auto"/>
          <w:kern w:val="2"/>
          <w:sz w:val="32"/>
          <w:szCs w:val="32"/>
          <w:highlight w:val="none"/>
          <w:lang w:val="en-US" w:eastAsia="zh-CN" w:bidi="ar-SA"/>
        </w:rPr>
      </w:pPr>
    </w:p>
    <w:p w14:paraId="7C2D70DB">
      <w:pPr>
        <w:pStyle w:val="2"/>
        <w:rPr>
          <w:rFonts w:hint="eastAsia" w:ascii="宋体" w:hAnsi="Times New Roman" w:eastAsia="宋体" w:cs="Times New Roman"/>
          <w:b/>
          <w:bCs w:val="0"/>
          <w:color w:val="auto"/>
          <w:kern w:val="2"/>
          <w:sz w:val="32"/>
          <w:szCs w:val="32"/>
          <w:highlight w:val="none"/>
          <w:lang w:val="en-US" w:eastAsia="zh-CN" w:bidi="ar-SA"/>
        </w:rPr>
      </w:pPr>
    </w:p>
    <w:p w14:paraId="51CCCDBD">
      <w:pPr>
        <w:rPr>
          <w:rFonts w:hint="eastAsia"/>
          <w:lang w:val="en-US" w:eastAsia="zh-CN"/>
        </w:rPr>
      </w:pPr>
    </w:p>
    <w:p w14:paraId="67F7087D">
      <w:pPr>
        <w:jc w:val="center"/>
        <w:outlineLvl w:val="0"/>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5"/>
    </w:p>
    <w:p w14:paraId="58707B4F">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eastAsia" w:ascii="宋体" w:hAnsi="宋体" w:cs="宋体"/>
          <w:b/>
          <w:color w:val="auto"/>
          <w:sz w:val="30"/>
          <w:szCs w:val="30"/>
          <w:highlight w:val="none"/>
        </w:rPr>
      </w:pPr>
      <w:r>
        <w:rPr>
          <w:rFonts w:hint="default" w:ascii="宋体" w:hAnsi="宋体" w:eastAsia="宋体" w:cs="宋体"/>
          <w:b/>
          <w:color w:val="auto"/>
          <w:kern w:val="2"/>
          <w:sz w:val="30"/>
          <w:szCs w:val="30"/>
          <w:lang w:val="en-US" w:eastAsia="zh-CN" w:bidi="ar-SA"/>
        </w:rPr>
        <w:t>一</w:t>
      </w:r>
      <w:r>
        <w:rPr>
          <w:rFonts w:hint="eastAsia" w:ascii="宋体" w:hAnsi="宋体" w:cs="宋体"/>
          <w:b/>
          <w:color w:val="auto"/>
          <w:sz w:val="28"/>
          <w:szCs w:val="28"/>
          <w:highlight w:val="none"/>
        </w:rPr>
        <w:t xml:space="preserve">  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p>
    <w:p w14:paraId="566D7A86">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14:paraId="3121E427">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买    方：                                   卖    方：</w:t>
      </w:r>
    </w:p>
    <w:p w14:paraId="3770D5AD">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1A8FC4F3">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2B449E9F">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14:paraId="68600907">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14:paraId="444165B5">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29D200E1">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14:paraId="67A5E82F">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14:paraId="52A6D779">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14:paraId="14A24A8B">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14:paraId="769A20F9">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14:paraId="1910FBF9">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14:paraId="3230CFBB">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14:paraId="5E8F591B">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14:paraId="37F40C79">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14:paraId="1A3B0157">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14:paraId="082AB7C5">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245E915B">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18D96BDB">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14:paraId="2E35CB1F">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14:paraId="344DF0C7">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14:paraId="2DB62316">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14:paraId="0B1E5F1E">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14:paraId="2ADDB481">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14:paraId="785E4DDD">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14:paraId="504CC90B">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14:paraId="6F67975F">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14:paraId="009F505D">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14:paraId="5AFF90F5">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14:paraId="6559A1C4">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14:paraId="4522FDB3">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  合同条款</w:t>
      </w:r>
    </w:p>
    <w:p w14:paraId="32CE17E5">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14:paraId="252309F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14:paraId="62808A9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14:paraId="155E69D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14:paraId="77EE2CD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14:paraId="20727EB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14:paraId="2C5FB36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14:paraId="6FEB3A1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14:paraId="38057A2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14:paraId="23FA659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14:paraId="2689AE2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14:paraId="6A57358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14:paraId="5A7F5432">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14:paraId="1ACF37EC">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036996D5">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14:paraId="7861CD9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14:paraId="2F9BE443">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14:paraId="290A32C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14:paraId="63556A22">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25376E06">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75E0DF4F">
      <w:pPr>
        <w:pStyle w:val="9"/>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3D5EE9F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14:paraId="06FD6EBC">
      <w:pPr>
        <w:pStyle w:val="9"/>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40CB766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14:paraId="380DC907">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14:paraId="4203C4E0">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14:paraId="3872A0AB">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14:paraId="1315BB8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7E17B74B">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14:paraId="29158EE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14:paraId="3C14B0C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14:paraId="543E4C3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14:paraId="2433EDB1">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14:paraId="34A4D705">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14:paraId="15252F6F">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14:paraId="48A996A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14:paraId="64D1D085">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013CF19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14:paraId="51BCF036">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14:paraId="1F0BE02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14:paraId="73E7529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14:paraId="6DB3BCA4">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54EAECE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14:paraId="02B798D6">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14:paraId="7FA79CE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14:paraId="37AA303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14:paraId="1E835C20">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14:paraId="6ECBB36A">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14:paraId="18346144">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14:paraId="44356ED7">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14:paraId="752D8FBF">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14:paraId="6ECEAD57">
      <w:pPr>
        <w:pStyle w:val="9"/>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14:paraId="62D17F79">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14:paraId="0029765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14:paraId="29C3E130">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0A22248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14:paraId="1462FD99">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14:paraId="2DE08C4B">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14:paraId="0B4FCDEA">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14:paraId="37936FF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14:paraId="351C3E0A">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14:paraId="6E966C43">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14:paraId="5457E4E2">
      <w:pPr>
        <w:pStyle w:val="9"/>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14:paraId="3A1C8F4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14:paraId="774B13C0">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559CC4E4">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643451A8">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14:paraId="224F25B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14:paraId="2DD8E5A0">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14:paraId="01D7636B">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3D938831">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025C1BC3">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14:paraId="329DF724">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0960EB78">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4FDFEEEF">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14:paraId="55C3FB82">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14:paraId="574F9658">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形式：支持银行转账、银行电汇、银行保函、担保机构担保、保证保险使用</w:t>
      </w:r>
    </w:p>
    <w:p w14:paraId="7D102F65">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金额：中标合同金额×2</w:t>
      </w:r>
      <w:r>
        <w:rPr>
          <w:rFonts w:hint="eastAsia" w:ascii="宋体" w:hAnsi="宋体" w:cs="宋体"/>
          <w:color w:val="auto"/>
          <w:sz w:val="21"/>
          <w:szCs w:val="21"/>
          <w:highlight w:val="none"/>
          <w:u w:val="none" w:color="000000"/>
          <w:lang w:val="en-US" w:eastAsia="zh-CN"/>
        </w:rPr>
        <w:t>.5</w:t>
      </w:r>
      <w:r>
        <w:rPr>
          <w:rFonts w:hint="eastAsia" w:ascii="宋体" w:hAnsi="宋体" w:cs="宋体"/>
          <w:color w:val="auto"/>
          <w:sz w:val="21"/>
          <w:szCs w:val="21"/>
          <w:highlight w:val="none"/>
          <w:u w:val="none" w:color="000000"/>
        </w:rPr>
        <w:t>%；</w:t>
      </w:r>
    </w:p>
    <w:p w14:paraId="2B529380">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收款单位：另行通知                  </w:t>
      </w:r>
    </w:p>
    <w:p w14:paraId="3694BD43">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开户银行：另行通知                 </w:t>
      </w:r>
    </w:p>
    <w:p w14:paraId="3301755A">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银行账号：另行通知  </w:t>
      </w:r>
    </w:p>
    <w:p w14:paraId="584EC314">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缴纳时限：中标人须在中标通知书发出后</w:t>
      </w:r>
      <w:r>
        <w:rPr>
          <w:rFonts w:hint="eastAsia" w:ascii="宋体" w:hAnsi="宋体" w:cs="宋体"/>
          <w:color w:val="auto"/>
          <w:sz w:val="21"/>
          <w:szCs w:val="21"/>
          <w:highlight w:val="none"/>
          <w:u w:val="none" w:color="000000"/>
          <w:lang w:val="en-US" w:eastAsia="zh-CN"/>
        </w:rPr>
        <w:t>7</w:t>
      </w:r>
      <w:r>
        <w:rPr>
          <w:rFonts w:hint="eastAsia" w:ascii="宋体" w:hAnsi="宋体" w:cs="宋体"/>
          <w:color w:val="auto"/>
          <w:sz w:val="21"/>
          <w:szCs w:val="21"/>
          <w:highlight w:val="none"/>
          <w:u w:val="none" w:color="000000"/>
        </w:rPr>
        <w:t xml:space="preserve">日内完成履约保证金缴纳及合同签订，如未按期交齐履约保证金或未按期签订合同的，视同放弃中标资格。 </w:t>
      </w:r>
    </w:p>
    <w:p w14:paraId="10C56207">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退还时限：履约保证金有效期满7日内。</w:t>
      </w:r>
    </w:p>
    <w:p w14:paraId="21B6173F">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其他相关要求：</w:t>
      </w:r>
    </w:p>
    <w:p w14:paraId="2732F873">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1、采用银行保函的具体要求</w:t>
      </w:r>
    </w:p>
    <w:p w14:paraId="129EFF2F">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①保函形式须为见索即付型（无条件保函）；</w:t>
      </w:r>
    </w:p>
    <w:p w14:paraId="1BB09291">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②须经招标人认可。</w:t>
      </w:r>
    </w:p>
    <w:p w14:paraId="633D7118">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2、采用担保保函的具体要求：须经招标人认可。</w:t>
      </w:r>
    </w:p>
    <w:p w14:paraId="2FB9139A">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3、采用商业保险的具体要求：须经招标人认可。</w:t>
      </w:r>
    </w:p>
    <w:p w14:paraId="34B0B045">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4、采用第三方担保的具体要求：须经招标人认可。</w:t>
      </w:r>
    </w:p>
    <w:p w14:paraId="6A680640">
      <w:pPr>
        <w:pStyle w:val="9"/>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14:paraId="4BCB115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14:paraId="34CCDFE4">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14:paraId="42AED61B">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14:paraId="76EB1144">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14:paraId="5C97C595">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14:paraId="4D948D3E">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65852F4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14:paraId="05275883">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14:paraId="336B211C">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14:paraId="70A7604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14:paraId="1B995124">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14:paraId="3BAA91BC">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14:paraId="5D8202D9">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14:paraId="5C6C26B5">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14:paraId="7DD5CD69">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14:paraId="765DC028">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14:paraId="0E21C5B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14:paraId="4047ED16">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14:paraId="7B6B119C">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14:paraId="6B29725A">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14:paraId="3BB0C524">
      <w:pPr>
        <w:pStyle w:val="9"/>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14:paraId="2FEC296E">
      <w:pPr>
        <w:spacing w:line="360" w:lineRule="auto"/>
        <w:ind w:firstLine="525" w:firstLineChars="250"/>
        <w:rPr>
          <w:rFonts w:hint="eastAsia" w:ascii="宋体" w:hAnsi="宋体" w:eastAsia="宋体" w:cs="宋体-18030"/>
          <w:szCs w:val="21"/>
          <w:highlight w:val="none"/>
        </w:rPr>
      </w:pPr>
    </w:p>
    <w:p w14:paraId="1E5C9EE4">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42CE055F">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5A188E81">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7784F85B">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31E7DC67">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bookmarkStart w:id="56" w:name="_Toc24238"/>
    </w:p>
    <w:p w14:paraId="4D79DCB6">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074CEFBE">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2DB4CE16">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55F092F2">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BAC300D">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5216C9D7">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5105809">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8049F3F">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5F67B9B">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0DD33A42">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129971F4">
      <w:pPr>
        <w:pStyle w:val="2"/>
        <w:rPr>
          <w:rFonts w:hint="eastAsia" w:ascii="宋体" w:hAnsi="宋体" w:eastAsia="宋体" w:cs="宋体"/>
          <w:b/>
          <w:bCs/>
          <w:color w:val="auto"/>
          <w:kern w:val="2"/>
          <w:sz w:val="32"/>
          <w:szCs w:val="32"/>
          <w:highlight w:val="none"/>
          <w:u w:color="auto"/>
          <w:lang w:val="en-US" w:eastAsia="zh-CN" w:bidi="ar"/>
        </w:rPr>
      </w:pPr>
    </w:p>
    <w:p w14:paraId="26EFE257">
      <w:pPr>
        <w:rPr>
          <w:rFonts w:hint="eastAsia" w:ascii="宋体" w:hAnsi="宋体" w:eastAsia="宋体" w:cs="宋体"/>
          <w:b/>
          <w:bCs/>
          <w:color w:val="auto"/>
          <w:kern w:val="2"/>
          <w:sz w:val="32"/>
          <w:szCs w:val="32"/>
          <w:highlight w:val="none"/>
          <w:u w:color="auto"/>
          <w:lang w:val="en-US" w:eastAsia="zh-CN" w:bidi="ar"/>
        </w:rPr>
      </w:pPr>
    </w:p>
    <w:p w14:paraId="2AED0BAE">
      <w:pPr>
        <w:pStyle w:val="2"/>
        <w:rPr>
          <w:rFonts w:hint="eastAsia"/>
          <w:lang w:val="en-US" w:eastAsia="zh-CN"/>
        </w:rPr>
      </w:pPr>
    </w:p>
    <w:p w14:paraId="0E76B6F4">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1A935557">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r>
        <w:rPr>
          <w:rFonts w:hint="eastAsia" w:ascii="宋体" w:hAnsi="宋体" w:eastAsia="宋体" w:cs="宋体"/>
          <w:b/>
          <w:bCs/>
          <w:color w:val="auto"/>
          <w:kern w:val="2"/>
          <w:sz w:val="32"/>
          <w:szCs w:val="32"/>
          <w:highlight w:val="none"/>
          <w:u w:color="auto"/>
          <w:lang w:val="en-US" w:eastAsia="zh-CN" w:bidi="ar"/>
        </w:rPr>
        <w:t>第六章 投标文件格式</w:t>
      </w:r>
      <w:bookmarkEnd w:id="56"/>
    </w:p>
    <w:p w14:paraId="2662CEBF">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43A14E9C">
      <w:pPr>
        <w:pStyle w:val="2"/>
        <w:rPr>
          <w:rFonts w:hint="eastAsia"/>
          <w:lang w:val="en-US"/>
        </w:rPr>
      </w:pPr>
    </w:p>
    <w:p w14:paraId="6CD6746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627ACE51">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57" w:name="_Toc21573"/>
      <w:bookmarkEnd w:id="57"/>
      <w:bookmarkStart w:id="58"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58"/>
    </w:p>
    <w:p w14:paraId="59A2FEC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59" w:name="_Toc19336_WPSOffice_Level2"/>
      <w:bookmarkEnd w:id="59"/>
      <w:r>
        <w:rPr>
          <w:rFonts w:hint="eastAsia" w:ascii="宋体" w:hAnsi="宋体" w:eastAsia="宋体" w:cs="宋体"/>
          <w:color w:val="000000"/>
          <w:kern w:val="0"/>
          <w:sz w:val="32"/>
          <w:szCs w:val="32"/>
          <w:highlight w:val="none"/>
          <w:u w:color="000000"/>
          <w:lang w:val="en-US" w:eastAsia="zh-CN" w:bidi="ar"/>
        </w:rPr>
        <w:t>（投标文件一）</w:t>
      </w:r>
    </w:p>
    <w:p w14:paraId="6B3058B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21D9AFFA">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0" w:name="_Toc7180_WPSOffice_Level3"/>
      <w:bookmarkEnd w:id="60"/>
      <w:r>
        <w:rPr>
          <w:rFonts w:hint="eastAsia" w:ascii="宋体" w:hAnsi="宋体" w:eastAsia="宋体" w:cs="宋体"/>
          <w:color w:val="000000"/>
          <w:kern w:val="0"/>
          <w:sz w:val="30"/>
          <w:szCs w:val="30"/>
          <w:highlight w:val="none"/>
          <w:u w:color="000000"/>
          <w:lang w:val="en-US" w:eastAsia="zh-CN" w:bidi="ar"/>
        </w:rPr>
        <w:t>项目名称：</w:t>
      </w:r>
    </w:p>
    <w:p w14:paraId="58323A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151F426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9BA1D7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7067373">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0A12A887">
      <w:pPr>
        <w:pStyle w:val="20"/>
        <w:widowControl/>
        <w:rPr>
          <w:highlight w:val="none"/>
          <w:lang w:val="en-US"/>
        </w:rPr>
      </w:pPr>
      <w:r>
        <w:rPr>
          <w:highlight w:val="none"/>
          <w:lang w:val="en-US"/>
        </w:rPr>
        <w:t xml:space="preserve"> </w:t>
      </w:r>
    </w:p>
    <w:p w14:paraId="3A707D0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14:paraId="622449B7">
      <w:pPr>
        <w:pStyle w:val="2"/>
        <w:rPr>
          <w:rFonts w:hint="eastAsia" w:ascii="宋体" w:hAnsi="宋体" w:eastAsia="宋体" w:cs="宋体"/>
          <w:color w:val="000000"/>
          <w:kern w:val="0"/>
          <w:sz w:val="28"/>
          <w:szCs w:val="28"/>
          <w:highlight w:val="none"/>
          <w:u w:color="000000"/>
          <w:lang w:val="en-US" w:eastAsia="zh-CN" w:bidi="ar"/>
        </w:rPr>
      </w:pPr>
    </w:p>
    <w:p w14:paraId="54E55260">
      <w:pPr>
        <w:rPr>
          <w:rFonts w:hint="eastAsia"/>
          <w:lang w:val="en-US"/>
        </w:rPr>
      </w:pPr>
    </w:p>
    <w:p w14:paraId="6F00DB88">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C0B6F94">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59D6E1F7">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1CB2346E">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1" w:name="_Toc14710_WPSOffice_Level1"/>
      <w:bookmarkEnd w:id="61"/>
      <w:r>
        <w:rPr>
          <w:rFonts w:hint="eastAsia" w:ascii="宋体" w:hAnsi="宋体" w:eastAsia="宋体" w:cs="宋体"/>
          <w:b/>
          <w:bCs w:val="0"/>
          <w:color w:val="000000"/>
          <w:kern w:val="0"/>
          <w:sz w:val="44"/>
          <w:szCs w:val="44"/>
          <w:highlight w:val="none"/>
          <w:u w:color="000000"/>
          <w:lang w:val="en-US" w:eastAsia="zh-CN" w:bidi="ar"/>
        </w:rPr>
        <w:t>目   录</w:t>
      </w:r>
    </w:p>
    <w:p w14:paraId="25D7990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13893331">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3744BC1">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6AD4BC80">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0CD22B79">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3E9E23A0">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lang w:eastAsia="zh-CN"/>
        </w:rPr>
        <w:t>）招标文件中要求的资信评审的支持资料；</w:t>
      </w:r>
    </w:p>
    <w:p w14:paraId="0851AC41">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hAnsi="Times New Roman" w:eastAsia="宋体" w:cs="Times New Roman"/>
          <w:color w:val="auto"/>
          <w:szCs w:val="21"/>
          <w:highlight w:val="none"/>
          <w:lang w:val="en-US" w:eastAsia="zh-CN"/>
        </w:rPr>
        <w:t>如有）</w:t>
      </w:r>
      <w:r>
        <w:rPr>
          <w:rFonts w:hint="eastAsia" w:ascii="宋体" w:hAnsi="Times New Roman" w:eastAsia="宋体" w:cs="Times New Roman"/>
          <w:color w:val="auto"/>
          <w:szCs w:val="21"/>
          <w:highlight w:val="none"/>
          <w:lang w:eastAsia="zh-CN"/>
        </w:rPr>
        <w:t>。</w:t>
      </w:r>
    </w:p>
    <w:p w14:paraId="55A2880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153D4711">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234364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4BDFE1EC">
      <w:pPr>
        <w:pStyle w:val="43"/>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1.法定代表人身份证明</w:t>
      </w:r>
    </w:p>
    <w:p w14:paraId="5C54CEF6">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7CC74230">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单位性质：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F787B7B">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63FDE4BF">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43A71523">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22DEF41">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姓</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（投标人名称）的法定代表人。</w:t>
      </w:r>
    </w:p>
    <w:p w14:paraId="16B27621">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4EB7E5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cs="宋体"/>
          <w:sz w:val="24"/>
          <w:szCs w:val="24"/>
          <w:highlight w:val="none"/>
          <w:lang w:eastAsia="zh-CN"/>
        </w:rPr>
        <w:t>附：</w:t>
      </w: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14:paraId="7EA29AE0">
      <w:pPr>
        <w:pStyle w:val="2"/>
        <w:ind w:left="0" w:leftChars="0" w:firstLine="0" w:firstLineChars="0"/>
        <w:rPr>
          <w:rFonts w:hint="eastAsia" w:eastAsia="宋体"/>
          <w:lang w:eastAsia="zh-CN"/>
        </w:rPr>
      </w:pPr>
    </w:p>
    <w:p w14:paraId="04EA36E7">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盖</w:t>
      </w:r>
      <w:r>
        <w:rPr>
          <w:rFonts w:hint="eastAsia" w:ascii="宋体" w:hAnsi="宋体" w:eastAsia="宋体" w:cs="宋体"/>
          <w:sz w:val="24"/>
          <w:szCs w:val="24"/>
          <w:highlight w:val="none"/>
        </w:rPr>
        <w:t>章）</w:t>
      </w:r>
    </w:p>
    <w:p w14:paraId="4135F79E">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p>
    <w:p w14:paraId="6CBDBA4D">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132" w:firstLineChars="13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2.授权委托书</w:t>
      </w:r>
    </w:p>
    <w:p w14:paraId="37F7B26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”(项目名称、编号）</w:t>
      </w:r>
      <w:r>
        <w:rPr>
          <w:rFonts w:hint="eastAsia" w:ascii="宋体" w:hAnsi="宋体" w:eastAsia="宋体" w:cs="宋体"/>
          <w:color w:val="auto"/>
          <w:sz w:val="24"/>
          <w:szCs w:val="24"/>
          <w:highlight w:val="none"/>
          <w:lang w:val="en-US" w:eastAsia="zh-CN"/>
        </w:rPr>
        <w:t>投</w:t>
      </w:r>
      <w:r>
        <w:rPr>
          <w:rFonts w:hint="eastAsia" w:ascii="宋体" w:hAnsi="宋体" w:eastAsia="宋体" w:cs="宋体"/>
          <w:color w:val="auto"/>
          <w:sz w:val="24"/>
          <w:szCs w:val="24"/>
          <w:highlight w:val="none"/>
        </w:rPr>
        <w:t>标文件，全权处理与该项目投标、评审答疑、签订合同以及与合同执行有关的一切事务，其法律后果由我方承担。</w:t>
      </w:r>
    </w:p>
    <w:p w14:paraId="0E77116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auto"/>
          <w:sz w:val="24"/>
          <w:szCs w:val="24"/>
          <w:highlight w:val="none"/>
        </w:rPr>
        <w:t xml:space="preserve">                                </w:t>
      </w:r>
    </w:p>
    <w:p w14:paraId="2EB4C534">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164434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附：委托</w:t>
      </w:r>
      <w:r>
        <w:rPr>
          <w:rFonts w:hint="eastAsia" w:ascii="宋体" w:hAnsi="宋体" w:eastAsia="宋体" w:cs="宋体"/>
          <w:color w:val="auto"/>
          <w:sz w:val="24"/>
          <w:szCs w:val="24"/>
          <w:highlight w:val="none"/>
          <w:lang w:val="en-US" w:eastAsia="zh-CN"/>
        </w:rPr>
        <w:t>代理</w:t>
      </w:r>
      <w:r>
        <w:rPr>
          <w:rFonts w:hint="eastAsia" w:ascii="宋体" w:hAnsi="宋体" w:eastAsia="宋体" w:cs="宋体"/>
          <w:color w:val="auto"/>
          <w:sz w:val="24"/>
          <w:szCs w:val="24"/>
          <w:highlight w:val="none"/>
        </w:rPr>
        <w:t>人有效身份证</w:t>
      </w:r>
      <w:r>
        <w:rPr>
          <w:rFonts w:hint="eastAsia" w:ascii="宋体" w:hAnsi="宋体" w:eastAsia="宋体" w:cs="宋体"/>
          <w:color w:val="auto"/>
          <w:sz w:val="24"/>
          <w:szCs w:val="24"/>
          <w:highlight w:val="none"/>
          <w:lang w:val="en-US" w:eastAsia="zh-CN"/>
        </w:rPr>
        <w:t>复印件</w:t>
      </w:r>
    </w:p>
    <w:p w14:paraId="3F413732">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14:paraId="057786CF">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41941EE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7BCB045E">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投标人（盖单位章）：</w:t>
      </w:r>
    </w:p>
    <w:p w14:paraId="0A45D2C0">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法定代表人（身份证号码）：           （签字或盖章）</w:t>
      </w:r>
    </w:p>
    <w:p w14:paraId="6216C00E">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委托代理人（身份证号码）：           （签字或盖章）</w:t>
      </w:r>
    </w:p>
    <w:p w14:paraId="0C3B1383">
      <w:pPr>
        <w:keepNext w:val="0"/>
        <w:keepLines w:val="0"/>
        <w:widowControl/>
        <w:suppressLineNumbers w:val="0"/>
        <w:spacing w:before="0" w:beforeAutospacing="0" w:after="0" w:afterAutospacing="0" w:line="480" w:lineRule="exact"/>
        <w:ind w:left="0" w:right="0" w:firstLine="2820" w:firstLineChars="1175"/>
        <w:jc w:val="both"/>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  年    月    日</w:t>
      </w:r>
      <w:bookmarkStart w:id="71" w:name="_GoBack"/>
      <w:bookmarkEnd w:id="71"/>
    </w:p>
    <w:p w14:paraId="1C05CA5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02F34918">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163E163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62" w:name="_Toc451384148"/>
      <w:bookmarkStart w:id="63" w:name="_Toc425084385"/>
      <w:r>
        <w:rPr>
          <w:rFonts w:hint="eastAsia" w:ascii="宋体" w:hAnsi="宋体"/>
          <w:color w:val="000000"/>
          <w:szCs w:val="21"/>
          <w:highlight w:val="none"/>
        </w:rPr>
        <w:t>一、将遵循公</w:t>
      </w:r>
      <w:bookmarkStart w:id="64" w:name="_Toc506107356"/>
      <w:bookmarkStart w:id="65" w:name="_Toc503196197"/>
      <w:bookmarkStart w:id="66" w:name="_Toc26598"/>
      <w:r>
        <w:rPr>
          <w:rFonts w:hint="eastAsia" w:ascii="宋体" w:hAnsi="宋体"/>
          <w:color w:val="000000"/>
          <w:szCs w:val="21"/>
          <w:highlight w:val="none"/>
        </w:rPr>
        <w:t>开、公正和诚实信用</w:t>
      </w:r>
      <w:bookmarkEnd w:id="64"/>
      <w:bookmarkEnd w:id="65"/>
      <w:r>
        <w:rPr>
          <w:rFonts w:hint="eastAsia" w:ascii="宋体" w:hAnsi="宋体"/>
          <w:color w:val="000000"/>
          <w:szCs w:val="21"/>
          <w:highlight w:val="none"/>
        </w:rPr>
        <w:t>的</w:t>
      </w:r>
      <w:bookmarkEnd w:id="6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3D93B2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2F1D0B8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7D8A51D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9BABA3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7A6345E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70145F1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7412A0D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523A15A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14:paraId="34DB655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20E6F88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609CA61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8CD230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00C7F59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152E7D7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6E94C9E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20133DCB">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0211EA14">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bookmarkEnd w:id="62"/>
    <w:bookmarkEnd w:id="63"/>
    <w:p w14:paraId="70B56765">
      <w:pPr>
        <w:jc w:val="center"/>
        <w:rPr>
          <w:rFonts w:hint="eastAsia" w:ascii="宋体"/>
          <w:b/>
          <w:color w:val="auto"/>
          <w:sz w:val="44"/>
          <w:szCs w:val="44"/>
          <w:highlight w:val="none"/>
        </w:rPr>
      </w:pPr>
    </w:p>
    <w:p w14:paraId="715AD225">
      <w:pPr>
        <w:jc w:val="center"/>
        <w:rPr>
          <w:rFonts w:hint="eastAsia" w:ascii="宋体"/>
          <w:b/>
          <w:color w:val="auto"/>
          <w:sz w:val="44"/>
          <w:szCs w:val="44"/>
          <w:highlight w:val="none"/>
        </w:rPr>
      </w:pPr>
      <w:r>
        <w:rPr>
          <w:rFonts w:hint="eastAsia" w:ascii="宋体"/>
          <w:b/>
          <w:color w:val="auto"/>
          <w:sz w:val="44"/>
          <w:szCs w:val="44"/>
          <w:highlight w:val="none"/>
        </w:rPr>
        <w:t>技术标</w:t>
      </w:r>
    </w:p>
    <w:p w14:paraId="1F0FED3C">
      <w:pPr>
        <w:jc w:val="center"/>
        <w:rPr>
          <w:rFonts w:hint="eastAsia" w:ascii="宋体" w:hAnsi="Times New Roman" w:eastAsia="宋体" w:cs="宋体"/>
          <w:color w:val="auto"/>
          <w:sz w:val="44"/>
          <w:szCs w:val="44"/>
          <w:highlight w:val="none"/>
          <w:lang w:val="en-US" w:eastAsia="zh-CN"/>
        </w:rPr>
      </w:pPr>
      <w:r>
        <w:rPr>
          <w:rFonts w:hint="eastAsia" w:ascii="宋体"/>
          <w:color w:val="auto"/>
          <w:sz w:val="32"/>
          <w:szCs w:val="32"/>
          <w:highlight w:val="none"/>
        </w:rPr>
        <w:t>（投标文件二）</w:t>
      </w:r>
    </w:p>
    <w:p w14:paraId="1A485040">
      <w:pPr>
        <w:jc w:val="center"/>
        <w:rPr>
          <w:rFonts w:hint="eastAsia" w:ascii="宋体"/>
          <w:color w:val="auto"/>
          <w:sz w:val="36"/>
          <w:szCs w:val="36"/>
          <w:highlight w:val="none"/>
        </w:rPr>
      </w:pPr>
    </w:p>
    <w:p w14:paraId="0515D31A">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14:paraId="4BFEE724">
      <w:pPr>
        <w:rPr>
          <w:rFonts w:hint="eastAsia" w:ascii="宋体"/>
          <w:color w:val="auto"/>
          <w:sz w:val="28"/>
          <w:szCs w:val="28"/>
          <w:highlight w:val="none"/>
        </w:rPr>
      </w:pPr>
    </w:p>
    <w:p w14:paraId="3720D406">
      <w:pPr>
        <w:rPr>
          <w:rFonts w:hint="eastAsia" w:ascii="宋体"/>
          <w:color w:val="auto"/>
          <w:sz w:val="28"/>
          <w:szCs w:val="28"/>
          <w:highlight w:val="none"/>
        </w:rPr>
      </w:pPr>
    </w:p>
    <w:p w14:paraId="59D46BE3">
      <w:pPr>
        <w:rPr>
          <w:rFonts w:hint="eastAsia" w:ascii="宋体"/>
          <w:color w:val="auto"/>
          <w:sz w:val="28"/>
          <w:szCs w:val="28"/>
          <w:highlight w:val="none"/>
        </w:rPr>
      </w:pPr>
    </w:p>
    <w:p w14:paraId="0A12A5CA">
      <w:pPr>
        <w:pStyle w:val="2"/>
        <w:rPr>
          <w:rFonts w:hint="eastAsia" w:ascii="宋体"/>
          <w:color w:val="auto"/>
          <w:sz w:val="28"/>
          <w:szCs w:val="28"/>
          <w:highlight w:val="none"/>
        </w:rPr>
      </w:pPr>
    </w:p>
    <w:p w14:paraId="20154A1D">
      <w:pPr>
        <w:pStyle w:val="20"/>
        <w:rPr>
          <w:rFonts w:hint="eastAsia" w:ascii="宋体"/>
          <w:color w:val="auto"/>
          <w:sz w:val="28"/>
          <w:szCs w:val="28"/>
          <w:highlight w:val="none"/>
        </w:rPr>
      </w:pPr>
    </w:p>
    <w:p w14:paraId="71EFFE10">
      <w:pPr>
        <w:rPr>
          <w:rFonts w:hint="eastAsia"/>
        </w:rPr>
      </w:pPr>
    </w:p>
    <w:p w14:paraId="29FB0928">
      <w:pPr>
        <w:rPr>
          <w:rFonts w:hint="eastAsia" w:ascii="宋体"/>
          <w:color w:val="auto"/>
          <w:sz w:val="28"/>
          <w:szCs w:val="28"/>
          <w:highlight w:val="none"/>
        </w:rPr>
      </w:pPr>
    </w:p>
    <w:p w14:paraId="3345A7FB">
      <w:pPr>
        <w:rPr>
          <w:rFonts w:hint="eastAsia" w:ascii="宋体"/>
          <w:color w:val="auto"/>
          <w:sz w:val="28"/>
          <w:szCs w:val="28"/>
          <w:highlight w:val="none"/>
        </w:rPr>
      </w:pPr>
    </w:p>
    <w:p w14:paraId="16393EAE">
      <w:pPr>
        <w:rPr>
          <w:rFonts w:hint="eastAsia" w:ascii="宋体"/>
          <w:color w:val="auto"/>
          <w:sz w:val="28"/>
          <w:szCs w:val="28"/>
          <w:highlight w:val="none"/>
        </w:rPr>
      </w:pPr>
    </w:p>
    <w:p w14:paraId="04EEC011">
      <w:pPr>
        <w:rPr>
          <w:rFonts w:hint="eastAsia" w:ascii="宋体"/>
          <w:color w:val="auto"/>
          <w:sz w:val="28"/>
          <w:szCs w:val="28"/>
          <w:highlight w:val="none"/>
        </w:rPr>
      </w:pPr>
    </w:p>
    <w:p w14:paraId="6840AE3D">
      <w:pPr>
        <w:pStyle w:val="2"/>
        <w:rPr>
          <w:rFonts w:hint="eastAsia"/>
        </w:rPr>
      </w:pPr>
    </w:p>
    <w:p w14:paraId="108C1C9F">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576AF88">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11091772">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42085C2F">
      <w:pPr>
        <w:rPr>
          <w:rFonts w:hint="eastAsia" w:ascii="宋体" w:hAnsi="宋体"/>
          <w:b/>
          <w:color w:val="auto"/>
          <w:sz w:val="30"/>
          <w:szCs w:val="30"/>
          <w:highlight w:val="none"/>
          <w:lang w:val="en-US" w:eastAsia="zh-CN"/>
        </w:rPr>
      </w:pPr>
    </w:p>
    <w:p w14:paraId="0E0FBE6A">
      <w:pPr>
        <w:pStyle w:val="2"/>
        <w:rPr>
          <w:rFonts w:hint="eastAsia" w:ascii="宋体" w:hAnsi="宋体"/>
          <w:b/>
          <w:color w:val="auto"/>
          <w:sz w:val="30"/>
          <w:szCs w:val="30"/>
          <w:highlight w:val="none"/>
          <w:lang w:val="en-US" w:eastAsia="zh-CN"/>
        </w:rPr>
      </w:pPr>
    </w:p>
    <w:p w14:paraId="20FC7FD3">
      <w:pPr>
        <w:spacing w:line="400" w:lineRule="exact"/>
        <w:jc w:val="center"/>
        <w:rPr>
          <w:rFonts w:hint="eastAsia"/>
          <w:b/>
          <w:color w:val="auto"/>
          <w:sz w:val="36"/>
          <w:szCs w:val="36"/>
          <w:highlight w:val="none"/>
        </w:rPr>
      </w:pPr>
    </w:p>
    <w:p w14:paraId="5DB3BBF8">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297E7BAC">
      <w:pPr>
        <w:spacing w:line="400" w:lineRule="exact"/>
        <w:ind w:firstLine="4130" w:firstLineChars="935"/>
        <w:rPr>
          <w:rFonts w:hint="eastAsia"/>
          <w:b/>
          <w:color w:val="auto"/>
          <w:sz w:val="44"/>
          <w:szCs w:val="44"/>
          <w:highlight w:val="none"/>
        </w:rPr>
      </w:pPr>
    </w:p>
    <w:p w14:paraId="44E724C0">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color w:val="auto"/>
          <w:szCs w:val="21"/>
          <w:highlight w:val="none"/>
        </w:rPr>
        <w:t>（1）服务承诺书（格式见附件）；</w:t>
      </w:r>
    </w:p>
    <w:p w14:paraId="207CDCC0">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（2）详细的货物名称、规格、技术参数等【附技术参数响应表、货物的详细配置清单，格式见附件】；</w:t>
      </w:r>
    </w:p>
    <w:p w14:paraId="380AED14">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（3）招标文件中要求的技术标评审及技术标评分的支持资料；</w:t>
      </w:r>
    </w:p>
    <w:p w14:paraId="353F6E04">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（4）投标人认为需要提供的其他技术证明材料（如有）。</w:t>
      </w:r>
    </w:p>
    <w:p w14:paraId="5E14929A">
      <w:pPr>
        <w:rPr>
          <w:rFonts w:hint="eastAsia" w:ascii="宋体" w:hAnsi="宋体"/>
          <w:b/>
          <w:color w:val="auto"/>
          <w:sz w:val="30"/>
          <w:szCs w:val="30"/>
          <w:highlight w:val="none"/>
          <w:lang w:val="en-US" w:eastAsia="zh-CN"/>
        </w:rPr>
      </w:pPr>
    </w:p>
    <w:p w14:paraId="6759C61F">
      <w:pPr>
        <w:pStyle w:val="2"/>
        <w:rPr>
          <w:rFonts w:hint="eastAsia"/>
          <w:lang w:val="en-US" w:eastAsia="zh-CN"/>
        </w:rPr>
      </w:pPr>
    </w:p>
    <w:p w14:paraId="7641CED0">
      <w:pPr>
        <w:rPr>
          <w:rFonts w:hint="eastAsia"/>
          <w:lang w:val="en-US" w:eastAsia="zh-CN"/>
        </w:rPr>
      </w:pPr>
    </w:p>
    <w:p w14:paraId="35318AB2">
      <w:pPr>
        <w:pStyle w:val="2"/>
        <w:rPr>
          <w:rFonts w:hint="eastAsia"/>
          <w:lang w:val="en-US" w:eastAsia="zh-CN"/>
        </w:rPr>
      </w:pPr>
    </w:p>
    <w:p w14:paraId="788382F2">
      <w:pPr>
        <w:rPr>
          <w:rFonts w:hint="eastAsia"/>
          <w:lang w:val="en-US" w:eastAsia="zh-CN"/>
        </w:rPr>
      </w:pPr>
    </w:p>
    <w:p w14:paraId="0948E7A6">
      <w:pPr>
        <w:pStyle w:val="2"/>
        <w:rPr>
          <w:rFonts w:hint="eastAsia"/>
          <w:lang w:val="en-US" w:eastAsia="zh-CN"/>
        </w:rPr>
      </w:pPr>
    </w:p>
    <w:p w14:paraId="0EF939A3">
      <w:pPr>
        <w:rPr>
          <w:rFonts w:hint="eastAsia"/>
          <w:lang w:val="en-US" w:eastAsia="zh-CN"/>
        </w:rPr>
      </w:pPr>
    </w:p>
    <w:p w14:paraId="6884F4EF">
      <w:pPr>
        <w:pStyle w:val="2"/>
        <w:rPr>
          <w:rFonts w:hint="eastAsia"/>
          <w:lang w:val="en-US" w:eastAsia="zh-CN"/>
        </w:rPr>
      </w:pPr>
    </w:p>
    <w:p w14:paraId="24CE507D">
      <w:pPr>
        <w:rPr>
          <w:rFonts w:hint="eastAsia"/>
          <w:lang w:val="en-US" w:eastAsia="zh-CN"/>
        </w:rPr>
      </w:pPr>
    </w:p>
    <w:p w14:paraId="1AA5E4BC">
      <w:pPr>
        <w:pStyle w:val="2"/>
        <w:rPr>
          <w:rFonts w:hint="eastAsia"/>
          <w:lang w:val="en-US" w:eastAsia="zh-CN"/>
        </w:rPr>
      </w:pPr>
    </w:p>
    <w:p w14:paraId="52545962">
      <w:pPr>
        <w:rPr>
          <w:rFonts w:hint="eastAsia"/>
          <w:lang w:val="en-US" w:eastAsia="zh-CN"/>
        </w:rPr>
      </w:pPr>
    </w:p>
    <w:p w14:paraId="146711B5">
      <w:pPr>
        <w:pStyle w:val="2"/>
        <w:rPr>
          <w:rFonts w:hint="eastAsia"/>
          <w:lang w:val="en-US" w:eastAsia="zh-CN"/>
        </w:rPr>
      </w:pPr>
    </w:p>
    <w:p w14:paraId="5300BADD">
      <w:pPr>
        <w:rPr>
          <w:rFonts w:hint="eastAsia"/>
          <w:lang w:val="en-US" w:eastAsia="zh-CN"/>
        </w:rPr>
      </w:pPr>
    </w:p>
    <w:p w14:paraId="01CBD9E1">
      <w:pPr>
        <w:pStyle w:val="2"/>
        <w:rPr>
          <w:rFonts w:hint="eastAsia"/>
          <w:lang w:val="en-US" w:eastAsia="zh-CN"/>
        </w:rPr>
      </w:pPr>
    </w:p>
    <w:p w14:paraId="76ECC677">
      <w:pPr>
        <w:rPr>
          <w:rFonts w:hint="eastAsia"/>
          <w:lang w:val="en-US" w:eastAsia="zh-CN"/>
        </w:rPr>
      </w:pPr>
    </w:p>
    <w:p w14:paraId="652C373D">
      <w:pPr>
        <w:pStyle w:val="2"/>
        <w:rPr>
          <w:rFonts w:hint="eastAsia"/>
          <w:lang w:val="en-US" w:eastAsia="zh-CN"/>
        </w:rPr>
      </w:pPr>
    </w:p>
    <w:p w14:paraId="5B113AA6">
      <w:pPr>
        <w:rPr>
          <w:rFonts w:hint="eastAsia"/>
          <w:lang w:val="en-US" w:eastAsia="zh-CN"/>
        </w:rPr>
      </w:pPr>
    </w:p>
    <w:p w14:paraId="22D1D2E3">
      <w:pPr>
        <w:pStyle w:val="2"/>
        <w:rPr>
          <w:rFonts w:hint="eastAsia"/>
          <w:lang w:val="en-US" w:eastAsia="zh-CN"/>
        </w:rPr>
      </w:pPr>
    </w:p>
    <w:p w14:paraId="437924CC">
      <w:pPr>
        <w:rPr>
          <w:rFonts w:hint="eastAsia"/>
          <w:lang w:val="en-US" w:eastAsia="zh-CN"/>
        </w:rPr>
      </w:pPr>
    </w:p>
    <w:p w14:paraId="16A3F1F4">
      <w:pPr>
        <w:pStyle w:val="2"/>
        <w:rPr>
          <w:rFonts w:hint="eastAsia"/>
          <w:lang w:val="en-US" w:eastAsia="zh-CN"/>
        </w:rPr>
      </w:pPr>
    </w:p>
    <w:p w14:paraId="6E70E16C">
      <w:pPr>
        <w:rPr>
          <w:rFonts w:hint="eastAsia"/>
          <w:lang w:val="en-US" w:eastAsia="zh-CN"/>
        </w:rPr>
      </w:pPr>
    </w:p>
    <w:p w14:paraId="26C98DFD">
      <w:pPr>
        <w:pStyle w:val="2"/>
        <w:rPr>
          <w:rFonts w:hint="eastAsia"/>
          <w:lang w:val="en-US" w:eastAsia="zh-CN"/>
        </w:rPr>
      </w:pPr>
    </w:p>
    <w:p w14:paraId="686A6BD7">
      <w:pPr>
        <w:rPr>
          <w:rFonts w:hint="eastAsia"/>
          <w:lang w:val="en-US" w:eastAsia="zh-CN"/>
        </w:rPr>
      </w:pPr>
    </w:p>
    <w:p w14:paraId="72A413C8">
      <w:pPr>
        <w:pStyle w:val="2"/>
        <w:rPr>
          <w:rFonts w:hint="eastAsia"/>
          <w:lang w:val="en-US" w:eastAsia="zh-CN"/>
        </w:rPr>
      </w:pPr>
    </w:p>
    <w:p w14:paraId="7FD59427">
      <w:pPr>
        <w:rPr>
          <w:rFonts w:hint="eastAsia"/>
          <w:lang w:val="en-US" w:eastAsia="zh-CN"/>
        </w:rPr>
      </w:pPr>
    </w:p>
    <w:p w14:paraId="49D17CE6">
      <w:pPr>
        <w:pStyle w:val="2"/>
        <w:rPr>
          <w:rFonts w:hint="eastAsia"/>
          <w:lang w:val="en-US" w:eastAsia="zh-CN"/>
        </w:rPr>
      </w:pPr>
    </w:p>
    <w:p w14:paraId="6F7CDB05">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附</w:t>
      </w:r>
      <w:r>
        <w:rPr>
          <w:rFonts w:hint="eastAsia" w:ascii="宋体" w:hAnsi="宋体" w:eastAsia="宋体" w:cs="宋体"/>
          <w:b/>
          <w:bCs w:val="0"/>
          <w:color w:val="000000"/>
          <w:kern w:val="0"/>
          <w:sz w:val="28"/>
          <w:szCs w:val="28"/>
          <w:highlight w:val="none"/>
          <w:u w:color="000000"/>
          <w:lang w:val="en-US" w:eastAsia="zh-CN" w:bidi="ar"/>
        </w:rPr>
        <w:t>件</w:t>
      </w:r>
      <w:r>
        <w:rPr>
          <w:rFonts w:hint="eastAsia" w:ascii="Calibri" w:hAnsi="Calibri" w:eastAsia="宋体" w:cs="Calibri"/>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14:paraId="0BBEB0DC">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14:paraId="7E03F70F">
      <w:pPr>
        <w:rPr>
          <w:rFonts w:hint="eastAsia" w:ascii="宋体" w:hAnsi="宋体"/>
          <w:color w:val="auto"/>
          <w:sz w:val="24"/>
          <w:highlight w:val="none"/>
        </w:rPr>
      </w:pPr>
    </w:p>
    <w:tbl>
      <w:tblPr>
        <w:tblStyle w:val="26"/>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3523"/>
      </w:tblGrid>
      <w:tr w14:paraId="00B3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14:paraId="26E4C0BC">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14:paraId="19E14317">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14:paraId="6C37DB93">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3523" w:type="dxa"/>
            <w:vMerge w:val="restart"/>
            <w:noWrap w:val="0"/>
            <w:vAlign w:val="center"/>
          </w:tcPr>
          <w:p w14:paraId="7158BB7F">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p w14:paraId="4DE26C1F">
            <w:pPr>
              <w:keepNext w:val="0"/>
              <w:keepLines w:val="0"/>
              <w:suppressLineNumbers w:val="0"/>
              <w:spacing w:before="0" w:beforeAutospacing="0" w:after="0" w:afterAutospacing="0" w:line="240" w:lineRule="atLeas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w:t>
            </w:r>
          </w:p>
        </w:tc>
      </w:tr>
      <w:tr w14:paraId="77D1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14:paraId="214BD00D">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14:paraId="682DD4D4">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14:paraId="33B0991B">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14:paraId="126A8760">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3523" w:type="dxa"/>
            <w:vMerge w:val="continue"/>
            <w:noWrap w:val="0"/>
            <w:vAlign w:val="top"/>
          </w:tcPr>
          <w:p w14:paraId="7EEB98AC">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14:paraId="0E1C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4C98BDA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14:paraId="152EB8F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1532" w:type="dxa"/>
            <w:noWrap w:val="0"/>
            <w:vAlign w:val="center"/>
          </w:tcPr>
          <w:p w14:paraId="0185779A">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05500EFF">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3352159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14:paraId="7D4C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2001C07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14:paraId="31EB7E0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14:paraId="1D412601">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720B4840">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2A6B221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14:paraId="18FA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7E3F98A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14:paraId="19D48D3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14:paraId="485CA247">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11809413">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5885BB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14:paraId="76A8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3ADDBF5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14:paraId="562514B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14:paraId="4B1CB225">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5479C376">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28DDE7B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s="宋体"/>
                <w:color w:val="auto"/>
                <w:szCs w:val="21"/>
                <w:highlight w:val="none"/>
              </w:rPr>
              <w:t>…</w:t>
            </w:r>
          </w:p>
        </w:tc>
      </w:tr>
    </w:tbl>
    <w:p w14:paraId="71E4C4AD">
      <w:pPr>
        <w:autoSpaceDE w:val="0"/>
        <w:autoSpaceDN w:val="0"/>
        <w:adjustRightInd w:val="0"/>
        <w:spacing w:line="240" w:lineRule="auto"/>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r>
        <w:rPr>
          <w:rFonts w:ascii="宋体" w:hAnsi="宋体"/>
          <w:b/>
          <w:color w:val="auto"/>
          <w:szCs w:val="21"/>
          <w:highlight w:val="none"/>
          <w:lang w:val="zh-CN"/>
        </w:rPr>
        <w:t>1</w:t>
      </w:r>
      <w:r>
        <w:rPr>
          <w:rFonts w:hint="eastAsia" w:ascii="宋体" w:hAnsi="宋体"/>
          <w:b/>
          <w:color w:val="auto"/>
          <w:szCs w:val="21"/>
          <w:highlight w:val="none"/>
          <w:lang w:val="zh-CN"/>
        </w:rPr>
        <w:t>.</w:t>
      </w:r>
      <w:r>
        <w:rPr>
          <w:rFonts w:hint="eastAsia" w:ascii="宋体" w:hAnsi="宋体" w:eastAsia="宋体" w:cs="Times New Roman"/>
          <w:b/>
          <w:color w:val="000000"/>
          <w:szCs w:val="21"/>
          <w:highlight w:val="none"/>
          <w:lang w:val="en-US" w:eastAsia="zh-CN"/>
        </w:rPr>
        <w:t>表格顺序请按照采购清单顺序；</w:t>
      </w:r>
    </w:p>
    <w:p w14:paraId="57FF2DB6">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zh-CN" w:eastAsia="zh-CN"/>
        </w:rPr>
      </w:pPr>
      <w:r>
        <w:rPr>
          <w:rFonts w:hint="eastAsia" w:ascii="宋体" w:hAnsi="宋体" w:eastAsia="宋体" w:cs="Times New Roman"/>
          <w:b/>
          <w:color w:val="000000"/>
          <w:szCs w:val="21"/>
          <w:highlight w:val="none"/>
          <w:lang w:val="en-US" w:eastAsia="zh-CN"/>
        </w:rPr>
        <w:t>2.投标人</w:t>
      </w:r>
      <w:r>
        <w:rPr>
          <w:rFonts w:hint="eastAsia" w:ascii="宋体" w:hAnsi="宋体" w:eastAsia="宋体" w:cs="Times New Roman"/>
          <w:b/>
          <w:color w:val="000000"/>
          <w:szCs w:val="21"/>
          <w:highlight w:val="none"/>
          <w:lang w:val="zh-CN" w:eastAsia="zh-CN"/>
        </w:rPr>
        <w:t>应逐一说明投标产品和服务响应；</w:t>
      </w:r>
    </w:p>
    <w:p w14:paraId="69B33BC7">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en-US" w:eastAsia="zh-CN"/>
        </w:rPr>
      </w:pPr>
      <w:r>
        <w:rPr>
          <w:rFonts w:hint="eastAsia" w:ascii="宋体" w:hAnsi="宋体" w:eastAsia="宋体" w:cs="Times New Roman"/>
          <w:b/>
          <w:color w:val="000000"/>
          <w:szCs w:val="21"/>
          <w:highlight w:val="none"/>
          <w:lang w:val="en-US" w:eastAsia="zh-CN"/>
        </w:rPr>
        <w:t>3.</w:t>
      </w:r>
      <w:r>
        <w:rPr>
          <w:rFonts w:hint="eastAsia" w:ascii="宋体" w:hAnsi="宋体" w:eastAsia="宋体" w:cs="Times New Roman"/>
          <w:b/>
          <w:color w:val="000000"/>
          <w:szCs w:val="21"/>
          <w:highlight w:val="none"/>
          <w:lang w:val="zh-CN" w:eastAsia="zh-CN"/>
        </w:rPr>
        <w:t>如果行数不够，请自行增加。</w:t>
      </w:r>
    </w:p>
    <w:p w14:paraId="7C4A2D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14CBED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14:paraId="2D147E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80378DB">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6"/>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14:paraId="32DA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14:paraId="6A069EB6">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14" w:type="dxa"/>
            <w:noWrap w:val="0"/>
            <w:vAlign w:val="center"/>
          </w:tcPr>
          <w:p w14:paraId="3A4BD9F3">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21" w:type="dxa"/>
            <w:noWrap w:val="0"/>
            <w:vAlign w:val="center"/>
          </w:tcPr>
          <w:p w14:paraId="5BA966E5">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53" w:type="dxa"/>
            <w:noWrap w:val="0"/>
            <w:vAlign w:val="center"/>
          </w:tcPr>
          <w:p w14:paraId="55ECB0A9">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47" w:type="dxa"/>
            <w:noWrap w:val="0"/>
            <w:vAlign w:val="center"/>
          </w:tcPr>
          <w:p w14:paraId="3E5BDCF3">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08" w:type="dxa"/>
            <w:noWrap w:val="0"/>
            <w:vAlign w:val="center"/>
          </w:tcPr>
          <w:p w14:paraId="713BD7C3">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14:paraId="4BCD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14:paraId="5EFB0DF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14:paraId="4F3B9064">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1F4701EC">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7229D5DF">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6852537C">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1F5445AB">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512D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14:paraId="3D592C8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14:paraId="1B0896D2">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1CF7F369">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4A825B36">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64499002">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246BEB10">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3346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14:paraId="35CF5CE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14:paraId="57200266">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381FC31D">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2838DB05">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3CF58F64">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46C2C8CA">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5D9C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14:paraId="5CF8C5D5">
            <w:pPr>
              <w:keepNext w:val="0"/>
              <w:keepLines w:val="0"/>
              <w:numPr>
                <w:ilvl w:val="0"/>
                <w:numId w:val="0"/>
              </w:numPr>
              <w:suppressLineNumbers w:val="0"/>
              <w:spacing w:before="0" w:beforeAutospacing="0" w:after="0" w:afterAutospacing="0" w:line="360" w:lineRule="auto"/>
              <w:ind w:left="0" w:leftChars="0" w:right="0"/>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14:paraId="6126158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1ED333F9">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368AE407">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5AAC0EAB">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1238709B">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14:paraId="0A57651D">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eastAsia="宋体" w:cs="Times New Roman"/>
          <w:b/>
          <w:color w:val="000000"/>
          <w:szCs w:val="21"/>
          <w:highlight w:val="none"/>
          <w:lang w:val="en-US" w:eastAsia="zh-CN"/>
        </w:rPr>
        <w:t>表格顺序请按照采购清单顺序，</w:t>
      </w:r>
      <w:r>
        <w:rPr>
          <w:rFonts w:hint="eastAsia" w:ascii="宋体" w:hAnsi="宋体" w:cs="宋体"/>
          <w:color w:val="000000"/>
          <w:szCs w:val="21"/>
          <w:highlight w:val="none"/>
          <w:lang w:val="zh-CN"/>
        </w:rPr>
        <w:t>如果行数不够，请自行增加</w:t>
      </w:r>
    </w:p>
    <w:p w14:paraId="789D1F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DC733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14:paraId="283849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D036B4">
      <w:pPr>
        <w:pStyle w:val="2"/>
        <w:rPr>
          <w:rFonts w:hint="eastAsia"/>
          <w:highlight w:val="none"/>
          <w:lang w:val="en-US" w:eastAsia="zh-CN"/>
        </w:rPr>
      </w:pPr>
    </w:p>
    <w:p w14:paraId="3FCD18EA">
      <w:pPr>
        <w:spacing w:line="560" w:lineRule="atLeast"/>
        <w:jc w:val="left"/>
        <w:rPr>
          <w:rFonts w:hint="eastAsia" w:ascii="宋体" w:hAnsi="宋体" w:eastAsia="宋体" w:cs="宋体"/>
          <w:b/>
          <w:bCs/>
          <w:color w:val="auto"/>
          <w:szCs w:val="21"/>
          <w:highlight w:val="none"/>
          <w:lang w:eastAsia="zh-CN"/>
        </w:rPr>
      </w:pPr>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2</w:t>
      </w:r>
    </w:p>
    <w:p w14:paraId="354ADB40">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服务承诺书</w:t>
      </w:r>
    </w:p>
    <w:p w14:paraId="15FD9C95">
      <w:pPr>
        <w:spacing w:line="600" w:lineRule="auto"/>
        <w:rPr>
          <w:rFonts w:hint="eastAsia" w:ascii="宋体" w:hAnsi="宋体" w:cs="宋体"/>
          <w:bCs/>
          <w:color w:val="auto"/>
          <w:sz w:val="24"/>
          <w:highlight w:val="none"/>
          <w:u w:val="single"/>
        </w:rPr>
      </w:pPr>
      <w:r>
        <w:rPr>
          <w:rFonts w:hint="eastAsia" w:ascii="宋体" w:hAnsi="宋体" w:cs="宋体"/>
          <w:bCs/>
          <w:color w:val="auto"/>
          <w:sz w:val="24"/>
          <w:highlight w:val="none"/>
        </w:rPr>
        <w:t>致：</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招标</w:t>
      </w:r>
      <w:r>
        <w:rPr>
          <w:rFonts w:hint="eastAsia" w:ascii="宋体" w:hAnsi="宋体" w:cs="宋体"/>
          <w:bCs/>
          <w:color w:val="auto"/>
          <w:sz w:val="24"/>
          <w:highlight w:val="none"/>
          <w:u w:val="single"/>
        </w:rPr>
        <w:t>人）     ：</w:t>
      </w:r>
    </w:p>
    <w:p w14:paraId="497BB51F">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本承诺声明：</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（投标人）对本招标文件的相关要求完全响应。若有幸成交将严格按照以上承诺进行服务。</w:t>
      </w:r>
    </w:p>
    <w:p w14:paraId="74DBA520">
      <w:pPr>
        <w:pStyle w:val="63"/>
        <w:spacing w:line="600" w:lineRule="auto"/>
        <w:rPr>
          <w:rFonts w:hint="eastAsia" w:ascii="宋体" w:hAnsi="宋体" w:cs="宋体"/>
          <w:bCs/>
          <w:color w:val="auto"/>
          <w:highlight w:val="none"/>
        </w:rPr>
      </w:pPr>
      <w:r>
        <w:rPr>
          <w:rFonts w:hint="eastAsia" w:ascii="宋体" w:hAnsi="宋体" w:cs="宋体"/>
          <w:bCs/>
          <w:color w:val="auto"/>
          <w:sz w:val="24"/>
          <w:szCs w:val="24"/>
          <w:highlight w:val="none"/>
        </w:rPr>
        <w:t xml:space="preserve"> </w:t>
      </w:r>
    </w:p>
    <w:p w14:paraId="0BDC8F62">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特此声明</w:t>
      </w:r>
    </w:p>
    <w:p w14:paraId="7DC933C3">
      <w:pPr>
        <w:pStyle w:val="2"/>
        <w:rPr>
          <w:rFonts w:hint="eastAsia"/>
        </w:rPr>
      </w:pPr>
    </w:p>
    <w:p w14:paraId="6E07D2B1">
      <w:pPr>
        <w:spacing w:line="600" w:lineRule="auto"/>
        <w:jc w:val="right"/>
        <w:rPr>
          <w:rFonts w:hint="eastAsia" w:ascii="宋体" w:hAnsi="宋体" w:cs="宋体"/>
          <w:bCs/>
          <w:color w:val="auto"/>
          <w:sz w:val="24"/>
          <w:highlight w:val="none"/>
        </w:rPr>
      </w:pPr>
      <w:r>
        <w:rPr>
          <w:rFonts w:hint="eastAsia" w:ascii="宋体" w:hAnsi="宋体" w:cs="宋体"/>
          <w:bCs/>
          <w:color w:val="auto"/>
          <w:sz w:val="24"/>
          <w:highlight w:val="none"/>
        </w:rPr>
        <w:t> 投标人名称：</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val="en-US" w:eastAsia="zh-CN"/>
        </w:rPr>
        <w:t xml:space="preserve"> </w:t>
      </w:r>
      <w:r>
        <w:rPr>
          <w:rFonts w:hint="eastAsia" w:ascii="宋体" w:hAnsi="宋体" w:cs="宋体"/>
          <w:bCs/>
          <w:color w:val="auto"/>
          <w:sz w:val="24"/>
          <w:highlight w:val="none"/>
          <w:u w:val="none"/>
        </w:rPr>
        <w:t>（</w:t>
      </w:r>
      <w:r>
        <w:rPr>
          <w:rFonts w:hint="eastAsia" w:ascii="宋体" w:hAnsi="宋体"/>
          <w:color w:val="auto"/>
          <w:sz w:val="24"/>
          <w:szCs w:val="21"/>
          <w:highlight w:val="none"/>
          <w:u w:val="none"/>
        </w:rPr>
        <w:t>盖单位章</w:t>
      </w:r>
      <w:r>
        <w:rPr>
          <w:rFonts w:hint="eastAsia" w:ascii="宋体" w:hAnsi="宋体" w:cs="宋体"/>
          <w:bCs/>
          <w:color w:val="auto"/>
          <w:sz w:val="24"/>
          <w:highlight w:val="none"/>
          <w:u w:val="none"/>
        </w:rPr>
        <w:t xml:space="preserve">） </w:t>
      </w:r>
    </w:p>
    <w:p w14:paraId="5C21EBFC">
      <w:pPr>
        <w:spacing w:line="600" w:lineRule="auto"/>
        <w:jc w:val="right"/>
        <w:rPr>
          <w:rFonts w:hint="eastAsia" w:ascii="宋体" w:hAnsi="宋体" w:cs="宋体"/>
          <w:bCs/>
          <w:color w:val="auto"/>
          <w:sz w:val="24"/>
          <w:highlight w:val="none"/>
          <w:u w:val="single"/>
        </w:rPr>
      </w:pPr>
      <w:r>
        <w:rPr>
          <w:rFonts w:hint="eastAsia" w:ascii="宋体" w:hAnsi="宋体" w:cs="宋体"/>
          <w:bCs/>
          <w:color w:val="auto"/>
          <w:sz w:val="24"/>
          <w:highlight w:val="none"/>
        </w:rPr>
        <w:t xml:space="preserve">法定代表人：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(签章)</w:t>
      </w:r>
    </w:p>
    <w:p w14:paraId="091AD937">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775C1845">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000000"/>
          <w:kern w:val="0"/>
          <w:sz w:val="44"/>
          <w:szCs w:val="44"/>
          <w:highlight w:val="none"/>
          <w:u w:color="000000"/>
          <w:lang w:val="en-US" w:eastAsia="zh-CN" w:bidi="ar"/>
        </w:rPr>
      </w:pPr>
    </w:p>
    <w:p w14:paraId="3D86A39A">
      <w:pPr>
        <w:pStyle w:val="2"/>
        <w:rPr>
          <w:rFonts w:hint="eastAsia" w:ascii="宋体" w:hAnsi="宋体" w:eastAsia="宋体" w:cs="宋体"/>
          <w:b/>
          <w:bCs w:val="0"/>
          <w:color w:val="000000"/>
          <w:kern w:val="0"/>
          <w:sz w:val="44"/>
          <w:szCs w:val="44"/>
          <w:highlight w:val="none"/>
          <w:u w:color="000000"/>
          <w:lang w:val="en-US" w:eastAsia="zh-CN" w:bidi="ar"/>
        </w:rPr>
      </w:pPr>
    </w:p>
    <w:p w14:paraId="74FA4EBF">
      <w:pPr>
        <w:rPr>
          <w:rFonts w:hint="eastAsia" w:ascii="宋体" w:hAnsi="宋体" w:eastAsia="宋体" w:cs="宋体"/>
          <w:b/>
          <w:bCs w:val="0"/>
          <w:color w:val="000000"/>
          <w:kern w:val="0"/>
          <w:sz w:val="44"/>
          <w:szCs w:val="44"/>
          <w:highlight w:val="none"/>
          <w:u w:color="000000"/>
          <w:lang w:val="en-US" w:eastAsia="zh-CN" w:bidi="ar"/>
        </w:rPr>
      </w:pPr>
    </w:p>
    <w:p w14:paraId="5FA0DC9D">
      <w:pPr>
        <w:pStyle w:val="2"/>
        <w:rPr>
          <w:rFonts w:hint="eastAsia" w:ascii="宋体" w:hAnsi="宋体" w:eastAsia="宋体" w:cs="宋体"/>
          <w:b/>
          <w:bCs w:val="0"/>
          <w:color w:val="000000"/>
          <w:kern w:val="0"/>
          <w:sz w:val="44"/>
          <w:szCs w:val="44"/>
          <w:highlight w:val="none"/>
          <w:u w:color="000000"/>
          <w:lang w:val="en-US" w:eastAsia="zh-CN" w:bidi="ar"/>
        </w:rPr>
      </w:pPr>
    </w:p>
    <w:p w14:paraId="413190AD">
      <w:pPr>
        <w:rPr>
          <w:rFonts w:hint="eastAsia" w:ascii="宋体" w:hAnsi="宋体" w:eastAsia="宋体" w:cs="宋体"/>
          <w:b/>
          <w:bCs w:val="0"/>
          <w:color w:val="000000"/>
          <w:kern w:val="0"/>
          <w:sz w:val="44"/>
          <w:szCs w:val="44"/>
          <w:highlight w:val="none"/>
          <w:u w:color="000000"/>
          <w:lang w:val="en-US" w:eastAsia="zh-CN" w:bidi="ar"/>
        </w:rPr>
      </w:pPr>
    </w:p>
    <w:p w14:paraId="6C4229E0">
      <w:pPr>
        <w:pStyle w:val="2"/>
        <w:rPr>
          <w:rFonts w:hint="eastAsia" w:ascii="宋体" w:hAnsi="宋体" w:eastAsia="宋体" w:cs="宋体"/>
          <w:b/>
          <w:bCs w:val="0"/>
          <w:color w:val="000000"/>
          <w:kern w:val="0"/>
          <w:sz w:val="44"/>
          <w:szCs w:val="44"/>
          <w:highlight w:val="none"/>
          <w:u w:color="000000"/>
          <w:lang w:val="en-US" w:eastAsia="zh-CN" w:bidi="ar"/>
        </w:rPr>
      </w:pPr>
    </w:p>
    <w:p w14:paraId="072B8B9E">
      <w:pPr>
        <w:rPr>
          <w:rFonts w:hint="eastAsia" w:ascii="宋体" w:hAnsi="宋体" w:eastAsia="宋体" w:cs="宋体"/>
          <w:b/>
          <w:bCs w:val="0"/>
          <w:color w:val="000000"/>
          <w:kern w:val="0"/>
          <w:sz w:val="44"/>
          <w:szCs w:val="44"/>
          <w:highlight w:val="none"/>
          <w:u w:color="000000"/>
          <w:lang w:val="en-US" w:eastAsia="zh-CN" w:bidi="ar"/>
        </w:rPr>
      </w:pPr>
    </w:p>
    <w:p w14:paraId="1FA039EC">
      <w:pPr>
        <w:pStyle w:val="2"/>
        <w:rPr>
          <w:rFonts w:hint="eastAsia"/>
          <w:lang w:val="en-US" w:eastAsia="zh-CN"/>
        </w:rPr>
      </w:pPr>
    </w:p>
    <w:p w14:paraId="3CBEDB95">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14:paraId="0F74AEB5">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14:paraId="5BE637E3">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14:paraId="7037E071">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14:paraId="09F42FBF">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14:paraId="676CDC80">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14:paraId="351D6F3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7" w:name="_Toc27638_WPSOffice_Level2"/>
      <w:bookmarkEnd w:id="67"/>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14:paraId="2DA93A5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14:paraId="38821EE9">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14D2F8CF">
      <w:pPr>
        <w:pStyle w:val="20"/>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14:paraId="648BB78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396FF4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4A1B38A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E1143A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16A76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4FEB47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7B67FB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14:paraId="5911DE33">
      <w:pPr>
        <w:pStyle w:val="2"/>
        <w:rPr>
          <w:rFonts w:hint="eastAsia" w:ascii="宋体" w:hAnsi="宋体" w:eastAsia="宋体" w:cs="宋体"/>
          <w:color w:val="000000"/>
          <w:kern w:val="0"/>
          <w:sz w:val="28"/>
          <w:szCs w:val="28"/>
          <w:highlight w:val="none"/>
          <w:u w:color="000000"/>
          <w:lang w:val="en-US" w:eastAsia="zh-CN" w:bidi="ar"/>
        </w:rPr>
      </w:pPr>
    </w:p>
    <w:p w14:paraId="7A947A3D">
      <w:pPr>
        <w:rPr>
          <w:rFonts w:hint="eastAsia" w:ascii="宋体" w:hAnsi="宋体" w:eastAsia="宋体" w:cs="宋体"/>
          <w:color w:val="000000"/>
          <w:kern w:val="0"/>
          <w:sz w:val="28"/>
          <w:szCs w:val="28"/>
          <w:highlight w:val="none"/>
          <w:u w:color="000000"/>
          <w:lang w:val="en-US" w:eastAsia="zh-CN" w:bidi="ar"/>
        </w:rPr>
      </w:pPr>
    </w:p>
    <w:p w14:paraId="1BF7A8E4">
      <w:pPr>
        <w:pStyle w:val="2"/>
        <w:rPr>
          <w:rFonts w:hint="eastAsia"/>
          <w:lang w:val="en-US"/>
        </w:rPr>
      </w:pPr>
    </w:p>
    <w:p w14:paraId="37769EEE">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2D5D8C4F">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391D7D4D">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7DD4FC3">
      <w:pPr>
        <w:rPr>
          <w:highlight w:val="none"/>
          <w:lang w:val="en-US"/>
        </w:rPr>
      </w:pPr>
      <w:r>
        <w:rPr>
          <w:highlight w:val="none"/>
          <w:lang w:val="en-US"/>
        </w:rPr>
        <w:br w:type="page"/>
      </w:r>
    </w:p>
    <w:p w14:paraId="3D1F07CF">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14:paraId="342DB629">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14:paraId="3CEDEE55">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14:paraId="595C5D8F">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14:paraId="60BBF25F">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14:paraId="525DF15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14:paraId="51946EBD">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1922E7F2">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14:paraId="713E09BA">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附件1</w:t>
      </w:r>
    </w:p>
    <w:p w14:paraId="10A02D31">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4598CFFF">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445DE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3ADF6827">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B53B35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1B786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016A95E">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6858BF1B">
            <w:pPr>
              <w:pStyle w:val="16"/>
              <w:widowControl/>
              <w:spacing w:line="460" w:lineRule="exact"/>
              <w:ind w:left="86" w:leftChars="41"/>
              <w:rPr>
                <w:rFonts w:hint="eastAsia" w:ascii="宋体" w:hAnsi="Arial" w:eastAsia="宋体" w:cs="宋体"/>
                <w:sz w:val="24"/>
                <w:szCs w:val="24"/>
                <w:highlight w:val="none"/>
                <w:lang w:val="en-US"/>
              </w:rPr>
            </w:pPr>
          </w:p>
        </w:tc>
      </w:tr>
      <w:tr w14:paraId="48D7C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1CB178F1">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w:t>
            </w:r>
            <w:r>
              <w:rPr>
                <w:rFonts w:hint="eastAsia" w:ascii="宋体" w:hAnsi="宋体" w:eastAsia="宋体" w:cs="宋体"/>
                <w:color w:val="000000"/>
                <w:kern w:val="0"/>
                <w:sz w:val="24"/>
                <w:szCs w:val="24"/>
                <w:highlight w:val="none"/>
                <w:u w:color="000000"/>
                <w:lang w:val="en-US" w:eastAsia="zh-CN" w:bidi="ar"/>
              </w:rPr>
              <w:t>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359AB31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2D250ACC">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6810C572">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06EC7109">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4E17E117">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40A3D7F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12068F63">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CC1C948">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12C425E2">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14:paraId="3EC8D4A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391CCA8">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5DDD5A8">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1FD3332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4951FD3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0AE4F879">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90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440BBB82">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57CA1C8C">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9497C25">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0E601F9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53B8FA2A">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4339E1A2">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57C010F6">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6BC48006">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E71C73D">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0828B0A7">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7FF11513">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F3275DF">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084866A9">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3B527FB3">
      <w:pPr>
        <w:keepNext w:val="0"/>
        <w:keepLines w:val="0"/>
        <w:pageBreakBefore/>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
          <w:color w:val="auto"/>
          <w:sz w:val="28"/>
          <w:szCs w:val="28"/>
          <w:highlight w:val="none"/>
          <w:lang w:eastAsia="zh-CN"/>
        </w:rPr>
      </w:pPr>
      <w:bookmarkStart w:id="68" w:name="_Toc7457"/>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3</w:t>
      </w:r>
    </w:p>
    <w:p w14:paraId="39EA7B32">
      <w:pPr>
        <w:spacing w:line="360" w:lineRule="auto"/>
        <w:ind w:left="720"/>
        <w:jc w:val="center"/>
        <w:rPr>
          <w:rFonts w:hint="eastAsia" w:ascii="宋体" w:hAnsi="宋体"/>
          <w:b/>
          <w:color w:val="auto"/>
          <w:sz w:val="36"/>
          <w:szCs w:val="36"/>
          <w:highlight w:val="none"/>
        </w:rPr>
      </w:pPr>
      <w:r>
        <w:rPr>
          <w:rFonts w:hint="eastAsia"/>
          <w:b/>
          <w:color w:val="auto"/>
          <w:sz w:val="28"/>
          <w:szCs w:val="28"/>
          <w:highlight w:val="none"/>
        </w:rPr>
        <w:t>分项报价清单</w:t>
      </w:r>
    </w:p>
    <w:tbl>
      <w:tblPr>
        <w:tblStyle w:val="26"/>
        <w:tblW w:w="0" w:type="auto"/>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972"/>
        <w:gridCol w:w="1494"/>
      </w:tblGrid>
      <w:tr w14:paraId="2DD52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14:paraId="22F9D1A6">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noWrap w:val="0"/>
            <w:vAlign w:val="center"/>
          </w:tcPr>
          <w:p w14:paraId="33DC6317">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产品名称</w:t>
            </w:r>
          </w:p>
        </w:tc>
        <w:tc>
          <w:tcPr>
            <w:tcW w:w="1242" w:type="dxa"/>
            <w:tcBorders>
              <w:left w:val="single" w:color="auto" w:sz="4" w:space="0"/>
            </w:tcBorders>
            <w:noWrap w:val="0"/>
            <w:vAlign w:val="center"/>
          </w:tcPr>
          <w:p w14:paraId="0D7514FB">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规格型号</w:t>
            </w:r>
          </w:p>
          <w:p w14:paraId="7D05C72C">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品牌</w:t>
            </w:r>
          </w:p>
        </w:tc>
        <w:tc>
          <w:tcPr>
            <w:tcW w:w="784" w:type="dxa"/>
            <w:noWrap w:val="0"/>
            <w:vAlign w:val="center"/>
          </w:tcPr>
          <w:p w14:paraId="19441922">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单位</w:t>
            </w:r>
          </w:p>
        </w:tc>
        <w:tc>
          <w:tcPr>
            <w:tcW w:w="782" w:type="dxa"/>
            <w:noWrap w:val="0"/>
            <w:vAlign w:val="center"/>
          </w:tcPr>
          <w:p w14:paraId="6A5675A3">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数量</w:t>
            </w:r>
          </w:p>
        </w:tc>
        <w:tc>
          <w:tcPr>
            <w:tcW w:w="898" w:type="dxa"/>
            <w:tcBorders>
              <w:left w:val="single" w:color="auto" w:sz="4" w:space="0"/>
            </w:tcBorders>
            <w:noWrap w:val="0"/>
            <w:vAlign w:val="center"/>
          </w:tcPr>
          <w:p w14:paraId="0920AB9D">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 价（元）</w:t>
            </w:r>
          </w:p>
        </w:tc>
        <w:tc>
          <w:tcPr>
            <w:tcW w:w="972" w:type="dxa"/>
            <w:noWrap w:val="0"/>
            <w:vAlign w:val="center"/>
          </w:tcPr>
          <w:p w14:paraId="394871EA">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合 价（元）</w:t>
            </w:r>
          </w:p>
        </w:tc>
        <w:tc>
          <w:tcPr>
            <w:tcW w:w="1494" w:type="dxa"/>
            <w:noWrap w:val="0"/>
            <w:vAlign w:val="center"/>
          </w:tcPr>
          <w:p w14:paraId="2B6C7CD3">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备注</w:t>
            </w:r>
          </w:p>
        </w:tc>
      </w:tr>
      <w:tr w14:paraId="4A695D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6F85FCC2">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2038" w:type="dxa"/>
            <w:tcBorders>
              <w:right w:val="single" w:color="auto" w:sz="4" w:space="0"/>
            </w:tcBorders>
            <w:noWrap w:val="0"/>
            <w:vAlign w:val="center"/>
          </w:tcPr>
          <w:p w14:paraId="44EC638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1B4898E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4BCC86A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3136069F">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1F427BF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5B47A0BF">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281708B7">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7F3F96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6FCB37F9">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2</w:t>
            </w:r>
          </w:p>
        </w:tc>
        <w:tc>
          <w:tcPr>
            <w:tcW w:w="2038" w:type="dxa"/>
            <w:tcBorders>
              <w:right w:val="single" w:color="auto" w:sz="4" w:space="0"/>
            </w:tcBorders>
            <w:noWrap w:val="0"/>
            <w:vAlign w:val="center"/>
          </w:tcPr>
          <w:p w14:paraId="651B4561">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15A9E88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1BECD86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7C68380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70C452D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4222D860">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526E6B2C">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470DFC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01B31052">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3</w:t>
            </w:r>
          </w:p>
        </w:tc>
        <w:tc>
          <w:tcPr>
            <w:tcW w:w="2038" w:type="dxa"/>
            <w:tcBorders>
              <w:right w:val="single" w:color="auto" w:sz="4" w:space="0"/>
            </w:tcBorders>
            <w:noWrap w:val="0"/>
            <w:vAlign w:val="center"/>
          </w:tcPr>
          <w:p w14:paraId="5F6D0FB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3E672C4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7976DC4D">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53A5632D">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4A7B29D8">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748FF803">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5CB2F5A8">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20B8AD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46E24905">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w:t>
            </w:r>
          </w:p>
        </w:tc>
        <w:tc>
          <w:tcPr>
            <w:tcW w:w="2038" w:type="dxa"/>
            <w:tcBorders>
              <w:right w:val="single" w:color="auto" w:sz="4" w:space="0"/>
            </w:tcBorders>
            <w:noWrap w:val="0"/>
            <w:vAlign w:val="center"/>
          </w:tcPr>
          <w:p w14:paraId="4512814C">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3E15A69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000CBDF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31959C6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0575E6C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6BD3C2B0">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44CD6B28">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742A65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14:paraId="7F12CD93">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r>
              <w:rPr>
                <w:rFonts w:hint="eastAsia" w:ascii="宋体" w:hAnsi="宋体"/>
                <w:b/>
                <w:color w:val="auto"/>
                <w:sz w:val="24"/>
                <w:highlight w:val="none"/>
              </w:rPr>
              <w:t>投标报价：</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元；（填入投标函和开标一览表）</w:t>
            </w:r>
          </w:p>
        </w:tc>
      </w:tr>
    </w:tbl>
    <w:p w14:paraId="2701E78E">
      <w:pPr>
        <w:keepNext w:val="0"/>
        <w:keepLines w:val="0"/>
        <w:pageBreakBefore w:val="0"/>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zh-CN"/>
        </w:rPr>
        <w:t>注：</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所有投标只能选择一种方案，单价和合价的报价只能是唯一，且须列出详细的分项报价。</w:t>
      </w:r>
      <w:r>
        <w:rPr>
          <w:rFonts w:hint="eastAsia" w:ascii="宋体" w:hAnsi="宋体" w:eastAsia="宋体" w:cs="宋体"/>
          <w:b/>
          <w:color w:val="auto"/>
          <w:szCs w:val="21"/>
          <w:highlight w:val="none"/>
        </w:rPr>
        <w:t>（与采购清单项相一致，不得缺项，否则视同包含在其他项目。）</w:t>
      </w:r>
    </w:p>
    <w:p w14:paraId="43B9EFC7">
      <w:pPr>
        <w:keepNext w:val="0"/>
        <w:keepLines w:val="0"/>
        <w:pageBreakBefore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rPr>
        <w:t>投标报价采用综合单价法，</w:t>
      </w:r>
      <w:r>
        <w:rPr>
          <w:rFonts w:hint="eastAsia" w:ascii="宋体" w:hAnsi="宋体" w:eastAsia="宋体" w:cs="宋体"/>
          <w:b/>
          <w:bCs/>
          <w:color w:val="auto"/>
          <w:sz w:val="21"/>
          <w:szCs w:val="21"/>
          <w:highlight w:val="none"/>
        </w:rPr>
        <w:t>综合单价包括：</w:t>
      </w:r>
      <w:r>
        <w:rPr>
          <w:rFonts w:hint="eastAsia" w:ascii="宋体" w:hAnsi="宋体" w:eastAsia="宋体" w:cs="宋体"/>
          <w:b/>
          <w:bCs/>
          <w:color w:val="auto"/>
          <w:sz w:val="21"/>
          <w:szCs w:val="21"/>
          <w:highlight w:val="none"/>
          <w:lang w:val="en-US" w:eastAsia="zh-CN"/>
        </w:rPr>
        <w:t>设备费、</w:t>
      </w:r>
      <w:r>
        <w:rPr>
          <w:rFonts w:hint="eastAsia" w:ascii="宋体" w:hAnsi="宋体" w:eastAsia="宋体" w:cs="宋体"/>
          <w:b/>
          <w:bCs/>
          <w:color w:val="auto"/>
          <w:sz w:val="21"/>
          <w:szCs w:val="21"/>
          <w:highlight w:val="none"/>
        </w:rPr>
        <w:t>材料费</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主材和辅材）</w:t>
      </w:r>
      <w:r>
        <w:rPr>
          <w:rFonts w:hint="eastAsia" w:ascii="宋体" w:hAnsi="宋体" w:eastAsia="宋体" w:cs="宋体"/>
          <w:b/>
          <w:bCs/>
          <w:color w:val="auto"/>
          <w:sz w:val="21"/>
          <w:szCs w:val="21"/>
          <w:highlight w:val="none"/>
        </w:rPr>
        <w:t>、装卸费、运输费、</w:t>
      </w:r>
      <w:r>
        <w:rPr>
          <w:rFonts w:hint="eastAsia" w:ascii="宋体" w:hAnsi="宋体" w:eastAsia="宋体" w:cs="宋体"/>
          <w:b/>
          <w:bCs/>
          <w:color w:val="auto"/>
          <w:sz w:val="21"/>
          <w:szCs w:val="21"/>
          <w:highlight w:val="none"/>
          <w:lang w:val="en-US" w:eastAsia="zh-CN"/>
        </w:rPr>
        <w:t>安装费、</w:t>
      </w:r>
      <w:r>
        <w:rPr>
          <w:rFonts w:hint="eastAsia" w:ascii="宋体" w:hAnsi="宋体" w:cs="宋体"/>
          <w:b/>
          <w:bCs/>
          <w:color w:val="auto"/>
          <w:szCs w:val="21"/>
          <w:highlight w:val="none"/>
          <w:lang w:val="en-US" w:eastAsia="zh-CN"/>
        </w:rPr>
        <w:t>实施过程中所需第三方检测等费用、</w:t>
      </w:r>
      <w:r>
        <w:rPr>
          <w:rFonts w:hint="eastAsia" w:ascii="宋体" w:hAnsi="宋体" w:eastAsia="宋体" w:cs="宋体"/>
          <w:b/>
          <w:bCs/>
          <w:color w:val="auto"/>
          <w:sz w:val="21"/>
          <w:szCs w:val="21"/>
          <w:highlight w:val="none"/>
        </w:rPr>
        <w:t>管理费、利润、风险费用、招标代理费、</w:t>
      </w:r>
      <w:r>
        <w:rPr>
          <w:rFonts w:hint="eastAsia" w:ascii="宋体" w:hAnsi="宋体" w:eastAsia="宋体" w:cs="宋体"/>
          <w:b/>
          <w:bCs/>
          <w:color w:val="auto"/>
          <w:sz w:val="21"/>
          <w:szCs w:val="21"/>
          <w:highlight w:val="none"/>
          <w:lang w:eastAsia="zh-CN"/>
        </w:rPr>
        <w:t>检测费、</w:t>
      </w:r>
      <w:r>
        <w:rPr>
          <w:rFonts w:hint="eastAsia" w:ascii="宋体" w:hAnsi="宋体" w:eastAsia="宋体" w:cs="宋体"/>
          <w:b/>
          <w:bCs/>
          <w:color w:val="auto"/>
          <w:sz w:val="21"/>
          <w:szCs w:val="21"/>
          <w:highlight w:val="none"/>
        </w:rPr>
        <w:t>调试、验收、</w:t>
      </w:r>
      <w:r>
        <w:rPr>
          <w:rFonts w:hint="eastAsia" w:ascii="宋体" w:hAnsi="宋体" w:eastAsia="宋体" w:cs="宋体"/>
          <w:b/>
          <w:bCs/>
          <w:color w:val="auto"/>
          <w:sz w:val="21"/>
          <w:szCs w:val="21"/>
          <w:highlight w:val="none"/>
          <w:lang w:val="en-US" w:eastAsia="zh-CN"/>
        </w:rPr>
        <w:t>评审、</w:t>
      </w:r>
      <w:r>
        <w:rPr>
          <w:rFonts w:hint="eastAsia" w:ascii="宋体" w:hAnsi="宋体" w:eastAsia="宋体" w:cs="宋体"/>
          <w:b/>
          <w:bCs/>
          <w:color w:val="auto"/>
          <w:sz w:val="21"/>
          <w:szCs w:val="21"/>
          <w:highlight w:val="none"/>
        </w:rPr>
        <w:t>培训及后期服务及国家对中标单位征收的各种税费等所有一切费用，综合单价今后将不作任何调整。</w:t>
      </w:r>
    </w:p>
    <w:p w14:paraId="029A0F78">
      <w:pPr>
        <w:spacing w:line="360" w:lineRule="auto"/>
        <w:rPr>
          <w:rFonts w:hint="eastAsia" w:ascii="宋体"/>
          <w:color w:val="auto"/>
          <w:sz w:val="24"/>
          <w:highlight w:val="none"/>
        </w:rPr>
      </w:pPr>
    </w:p>
    <w:p w14:paraId="4B7FEDB1">
      <w:pPr>
        <w:spacing w:line="360" w:lineRule="auto"/>
        <w:rPr>
          <w:rFonts w:hint="eastAsia" w:ascii="宋体"/>
          <w:color w:val="auto"/>
          <w:sz w:val="24"/>
          <w:highlight w:val="none"/>
        </w:rPr>
      </w:pPr>
    </w:p>
    <w:p w14:paraId="1592577F">
      <w:pPr>
        <w:spacing w:line="360" w:lineRule="auto"/>
        <w:rPr>
          <w:rFonts w:hint="eastAsia" w:ascii="宋体"/>
          <w:color w:val="auto"/>
          <w:sz w:val="24"/>
          <w:highlight w:val="none"/>
        </w:rPr>
      </w:pPr>
    </w:p>
    <w:p w14:paraId="741A7B05">
      <w:pPr>
        <w:spacing w:line="360" w:lineRule="auto"/>
        <w:rPr>
          <w:rFonts w:hint="eastAsia" w:ascii="宋体"/>
          <w:color w:val="auto"/>
          <w:sz w:val="24"/>
          <w:highlight w:val="none"/>
        </w:rPr>
      </w:pPr>
      <w:r>
        <w:rPr>
          <w:rFonts w:hint="eastAsia" w:ascii="宋体"/>
          <w:color w:val="auto"/>
          <w:sz w:val="24"/>
          <w:highlight w:val="none"/>
        </w:rPr>
        <w:t>投标人名称（盖单位章）：</w:t>
      </w:r>
      <w:r>
        <w:rPr>
          <w:rFonts w:hint="eastAsia" w:ascii="宋体"/>
          <w:color w:val="auto"/>
          <w:sz w:val="24"/>
          <w:highlight w:val="none"/>
          <w:u w:val="single"/>
        </w:rPr>
        <w:t xml:space="preserve">                                </w:t>
      </w:r>
    </w:p>
    <w:p w14:paraId="76A2C30F">
      <w:pPr>
        <w:spacing w:line="360" w:lineRule="auto"/>
        <w:rPr>
          <w:rFonts w:hint="default" w:ascii="宋体" w:eastAsia="宋体"/>
          <w:color w:val="auto"/>
          <w:sz w:val="24"/>
          <w:highlight w:val="none"/>
          <w:u w:val="single"/>
          <w:lang w:val="en-US" w:eastAsia="zh-CN"/>
        </w:rPr>
      </w:pPr>
      <w:r>
        <w:rPr>
          <w:rFonts w:hint="eastAsia" w:ascii="宋体"/>
          <w:color w:val="auto"/>
          <w:sz w:val="24"/>
          <w:highlight w:val="none"/>
        </w:rPr>
        <w:t>法定代表人 (签章)：</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p>
    <w:p w14:paraId="208D5E35">
      <w:pPr>
        <w:spacing w:line="400" w:lineRule="exact"/>
        <w:rPr>
          <w:rFonts w:hint="eastAsia" w:ascii="宋体"/>
          <w:b/>
          <w:color w:val="auto"/>
          <w:szCs w:val="21"/>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26399771">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1D6F7451">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27320C8F">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72E24395">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7917696C">
      <w:pPr>
        <w:pStyle w:val="23"/>
        <w:widowControl/>
        <w:spacing w:before="0" w:beforeAutospacing="0" w:after="0" w:afterAutospacing="0" w:line="375" w:lineRule="atLeast"/>
        <w:ind w:left="0" w:right="0"/>
        <w:jc w:val="both"/>
        <w:outlineLvl w:val="0"/>
        <w:rPr>
          <w:b/>
          <w:bCs w:val="0"/>
          <w:sz w:val="32"/>
          <w:szCs w:val="32"/>
          <w:highlight w:val="none"/>
          <w:lang w:eastAsia="zh-CN"/>
        </w:rPr>
      </w:pPr>
    </w:p>
    <w:bookmarkEnd w:id="68"/>
    <w:p w14:paraId="795DF502">
      <w:pPr>
        <w:pStyle w:val="5"/>
        <w:spacing w:before="200" w:after="200" w:line="600" w:lineRule="exact"/>
        <w:jc w:val="center"/>
        <w:rPr>
          <w:rFonts w:hint="eastAsia" w:ascii="黑体" w:hAnsi="黑体" w:eastAsia="黑体"/>
          <w:color w:val="000000"/>
          <w:sz w:val="28"/>
          <w:szCs w:val="28"/>
        </w:rPr>
      </w:pPr>
      <w:bookmarkStart w:id="69" w:name="_Toc95223548"/>
      <w:r>
        <w:rPr>
          <w:rFonts w:hint="eastAsia" w:ascii="黑体" w:hAnsi="黑体" w:eastAsia="黑体"/>
          <w:color w:val="000000"/>
          <w:sz w:val="36"/>
          <w:szCs w:val="28"/>
        </w:rPr>
        <w:t>附件1 关于联合惩戒失信行为加强信用查询管理的通知</w:t>
      </w:r>
      <w:bookmarkEnd w:id="69"/>
    </w:p>
    <w:p w14:paraId="48FC77DC">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一、失信行为联合惩戒的范围和查询渠道</w:t>
      </w:r>
    </w:p>
    <w:p w14:paraId="3BF37B3E">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在我市公共资源交易活动中对存在下列失信行为的投标人、法定代表人及其项目经理（建造师）实施联合惩戒，禁止参与我市公共资源交易活动。</w:t>
      </w:r>
    </w:p>
    <w:p w14:paraId="6135E543">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（一）工程建设项目</w:t>
      </w:r>
    </w:p>
    <w:p w14:paraId="10179428">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1、“信用中国”网站（www.creditchina.gov.cn）查询以下失信行为：</w:t>
      </w:r>
    </w:p>
    <w:p w14:paraId="7CBE41BE">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①投标人被人民法院列入失信被执行人的；</w:t>
      </w:r>
    </w:p>
    <w:p w14:paraId="23AF1882">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②投标人被税务部门列入重大税收违法案件当事人的；</w:t>
      </w:r>
    </w:p>
    <w:p w14:paraId="7B7ED54D">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③投标人被人力资源社会保障主管部门列入拖欠农民工工资“黑名单”的；</w:t>
      </w:r>
    </w:p>
    <w:p w14:paraId="032EFE8B">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④在“信用中国”网站上披露的仍在公示期的严重失信行为的。</w:t>
      </w:r>
    </w:p>
    <w:p w14:paraId="14E7FE35">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2、国家企业信用信息公示系统网站（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HYPERLINK "http://www.gsxt.gov.cn）查询"</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www.gsxt.gov.cn）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14:paraId="08501668">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①被市场监督管理部门列入经营异常名录或者严重违法企业名单的。</w:t>
      </w:r>
    </w:p>
    <w:p w14:paraId="5D737FF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3、滁州市公共资源交易中心网站（http://ggzy.chuzhou.gov.cn/）查询以下失信行为：</w:t>
      </w:r>
    </w:p>
    <w:p w14:paraId="2FFDCDD2">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①被滁州市县两级公管部门取消在一定期限内的投标资格且在取消期限内的；</w:t>
      </w:r>
    </w:p>
    <w:p w14:paraId="5DEF325D">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②被滁州市县两级公管部门记入不良行为记录或者信用信息记录，且在披露期内的。</w:t>
      </w:r>
    </w:p>
    <w:p w14:paraId="76C82389">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4、由竞争主体进行承诺，不进行现场网上信用查询的失信行为：</w:t>
      </w:r>
    </w:p>
    <w:p w14:paraId="36EFC775">
      <w:pPr>
        <w:adjustRightInd w:val="0"/>
        <w:snapToGrid w:val="0"/>
        <w:spacing w:line="560" w:lineRule="exact"/>
        <w:ind w:firstLine="560" w:firstLineChars="200"/>
        <w:rPr>
          <w:rFonts w:hint="eastAsia" w:ascii="仿宋_GB2312" w:hAnsi="宋体" w:eastAsia="仿宋_GB2312" w:cs="楷体"/>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前三年有行贿犯罪行为的单位和个人；</w:t>
      </w:r>
    </w:p>
    <w:p w14:paraId="3EDE92D7">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②被滁州市县两级各行业主管部门取消在一定期限内的投标资格且在取消期限内的；</w:t>
      </w:r>
    </w:p>
    <w:p w14:paraId="36106108">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③因拖欠农民工工资被县级及以上有关行政主管部门限制投标资格且在限制期限内的。</w:t>
      </w:r>
    </w:p>
    <w:p w14:paraId="24B5D20A">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④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1824BC7A">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（二）政府采购项目</w:t>
      </w:r>
    </w:p>
    <w:p w14:paraId="6E2B008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1、“信用中国”网站（www.creditchina.gov.cn）查询以下失信行为：</w:t>
      </w:r>
    </w:p>
    <w:p w14:paraId="2C7ED786">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①投标人被人民法院列入失信被执行人的；</w:t>
      </w:r>
    </w:p>
    <w:p w14:paraId="1C2289B9">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②投标人被税务部门列入重大税收违法案件当事人的；</w:t>
      </w:r>
    </w:p>
    <w:p w14:paraId="27AA653F">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③在“信用中国”网站上披露的仍在公示期的严重失信行为的。</w:t>
      </w:r>
    </w:p>
    <w:p w14:paraId="5057184E">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2、国家企业信用信息公示系统网站（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HYPERLINK "http://www.gsxt.gov.cn）查询"</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www.gsxt.gov.cn）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14:paraId="7F02D3B6">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①被市场监督管理部门列入经营异常名录或者严重违法企业名单的。</w:t>
      </w:r>
    </w:p>
    <w:p w14:paraId="7BF22FB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3、中国政府采购网站（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"http://www.ccgp.gov.cn" </w:instrText>
      </w:r>
      <w:r>
        <w:rPr>
          <w:rFonts w:hint="eastAsia" w:ascii="仿宋_GB2312" w:hAnsi="宋体" w:eastAsia="仿宋_GB2312"/>
          <w:color w:val="000000"/>
          <w:sz w:val="28"/>
          <w:szCs w:val="28"/>
        </w:rPr>
        <w:fldChar w:fldCharType="separate"/>
      </w:r>
      <w:r>
        <w:rPr>
          <w:rStyle w:val="32"/>
          <w:rFonts w:hint="eastAsia" w:ascii="仿宋_GB2312" w:hAnsi="宋体" w:eastAsia="仿宋_GB2312"/>
          <w:color w:val="000000"/>
          <w:sz w:val="28"/>
          <w:szCs w:val="28"/>
        </w:rPr>
        <w:t>www.ccgp.gov.cn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14:paraId="7D5593F7">
      <w:pPr>
        <w:adjustRightInd w:val="0"/>
        <w:snapToGrid w:val="0"/>
        <w:spacing w:line="560" w:lineRule="exact"/>
        <w:ind w:firstLine="560" w:firstLineChars="200"/>
        <w:rPr>
          <w:rFonts w:hint="eastAsia" w:ascii="仿宋_GB2312" w:hAnsi="宋体" w:eastAsia="仿宋_GB2312" w:cs="楷体"/>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政府采购严重违法失信行为</w:t>
      </w:r>
    </w:p>
    <w:p w14:paraId="6EA494A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4、由竞争主体进行承诺，不进行现场网上信用查询的失信行为：</w:t>
      </w:r>
    </w:p>
    <w:p w14:paraId="4114C8C7">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前三年有行贿犯罪行为的单位和个人</w:t>
      </w:r>
      <w:r>
        <w:rPr>
          <w:rFonts w:hint="eastAsia" w:ascii="仿宋_GB2312" w:hAnsi="宋体" w:eastAsia="仿宋_GB2312"/>
          <w:color w:val="000000"/>
          <w:sz w:val="28"/>
          <w:szCs w:val="28"/>
        </w:rPr>
        <w:t>。</w:t>
      </w:r>
    </w:p>
    <w:p w14:paraId="3E3986C7">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二、在开评标活动中的查询程序</w:t>
      </w:r>
    </w:p>
    <w:p w14:paraId="5326D2D5">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值。</w:t>
      </w:r>
    </w:p>
    <w:p w14:paraId="7FAEAAF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值。</w:t>
      </w:r>
    </w:p>
    <w:p w14:paraId="2F26E75A">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3、项目单位及其委托的代理机构应当做好信用查询结果截图和记录留存。</w:t>
      </w:r>
    </w:p>
    <w:p w14:paraId="2B3992FF">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三、相关要求</w:t>
      </w:r>
    </w:p>
    <w:p w14:paraId="5F12E45F">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1、参与公共资源交易活动的竞争主体根据上述范围查询的内容进行自查并承诺，出具《诚信投标承诺书》（诚信投标承诺书包括但不限于上述自查并承诺内容）并注明承诺日期（投标截止时间前5日内）。</w:t>
      </w:r>
    </w:p>
    <w:p w14:paraId="1E2E082D">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51D2C654">
      <w:pPr>
        <w:wordWrap w:val="0"/>
        <w:adjustRightInd w:val="0"/>
        <w:snapToGrid w:val="0"/>
        <w:spacing w:line="560" w:lineRule="exact"/>
        <w:ind w:firstLine="560" w:firstLineChars="200"/>
        <w:rPr>
          <w:rFonts w:hint="eastAsia"/>
          <w:color w:val="000000"/>
        </w:rPr>
      </w:pPr>
      <w:r>
        <w:rPr>
          <w:rFonts w:hint="eastAsia" w:ascii="仿宋_GB2312" w:hAnsi="宋体" w:eastAsia="仿宋_GB2312"/>
          <w:color w:val="000000"/>
          <w:sz w:val="28"/>
          <w:szCs w:val="28"/>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rFonts w:ascii="仿宋_GB2312" w:hAnsi="宋体" w:eastAsia="仿宋_GB2312"/>
          <w:color w:val="000000"/>
          <w:sz w:val="28"/>
          <w:szCs w:val="28"/>
        </w:rPr>
        <w:fldChar w:fldCharType="begin"/>
      </w:r>
      <w:r>
        <w:rPr>
          <w:rFonts w:ascii="仿宋_GB2312" w:hAnsi="宋体" w:eastAsia="仿宋_GB2312"/>
          <w:color w:val="000000"/>
          <w:sz w:val="28"/>
          <w:szCs w:val="28"/>
        </w:rPr>
        <w:instrText xml:space="preserve"> HYPERLINK "</w:instrText>
      </w:r>
      <w:r>
        <w:rPr>
          <w:rFonts w:hint="eastAsia" w:ascii="仿宋_GB2312" w:hAnsi="宋体" w:eastAsia="仿宋_GB2312"/>
          <w:color w:val="000000"/>
          <w:sz w:val="28"/>
          <w:szCs w:val="28"/>
        </w:rPr>
        <w:instrText xml:space="preserve">https://credit.ah.gov.cn/xinyong-fuwu/xvbahv/index.html</w:instrText>
      </w:r>
      <w:r>
        <w:rPr>
          <w:rFonts w:ascii="仿宋_GB2312" w:hAnsi="宋体" w:eastAsia="仿宋_GB2312"/>
          <w:color w:val="000000"/>
          <w:sz w:val="28"/>
          <w:szCs w:val="28"/>
        </w:rPr>
        <w:instrText xml:space="preserve">" </w:instrText>
      </w:r>
      <w:r>
        <w:rPr>
          <w:rFonts w:ascii="仿宋_GB2312" w:hAnsi="宋体" w:eastAsia="仿宋_GB2312"/>
          <w:color w:val="000000"/>
          <w:sz w:val="28"/>
          <w:szCs w:val="28"/>
        </w:rPr>
        <w:fldChar w:fldCharType="separate"/>
      </w:r>
      <w:r>
        <w:rPr>
          <w:rStyle w:val="32"/>
          <w:rFonts w:hint="eastAsia" w:ascii="仿宋_GB2312" w:hAnsi="宋体" w:eastAsia="仿宋_GB2312"/>
          <w:color w:val="000000"/>
          <w:sz w:val="28"/>
          <w:szCs w:val="28"/>
        </w:rPr>
        <w:t>https://credit.ah.gov.cn/xinyong-fuwu/xvbahv/index.html</w:t>
      </w:r>
      <w:r>
        <w:rPr>
          <w:rFonts w:ascii="仿宋_GB2312" w:hAnsi="宋体" w:eastAsia="仿宋_GB2312"/>
          <w:color w:val="000000"/>
          <w:sz w:val="28"/>
          <w:szCs w:val="28"/>
        </w:rPr>
        <w:fldChar w:fldCharType="end"/>
      </w:r>
      <w:r>
        <w:rPr>
          <w:rFonts w:hint="eastAsia" w:ascii="仿宋_GB2312" w:hAnsi="宋体" w:eastAsia="仿宋_GB2312"/>
          <w:color w:val="000000"/>
          <w:sz w:val="28"/>
          <w:szCs w:val="28"/>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23BC3358">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2、“信用中国”查询的严重失信行为判定依据为各行业主管部门下发的联合惩戒文件中规定的行为（按附件2执行）。</w:t>
      </w:r>
    </w:p>
    <w:p w14:paraId="22C68EAB">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3、资格预审的项目以递交资格预审申请文件截止时间查询为准；资格后审的项目以递交投标文件截止时间查询为准。</w:t>
      </w:r>
    </w:p>
    <w:p w14:paraId="12BA25BD">
      <w:pPr>
        <w:pStyle w:val="5"/>
        <w:spacing w:before="200" w:after="200" w:line="600" w:lineRule="exact"/>
        <w:rPr>
          <w:rFonts w:hint="eastAsia" w:ascii="黑体" w:hAnsi="黑体" w:eastAsia="黑体"/>
          <w:color w:val="000000"/>
          <w:sz w:val="36"/>
          <w:szCs w:val="28"/>
        </w:rPr>
      </w:pPr>
      <w:bookmarkStart w:id="70" w:name="_Toc95223549"/>
    </w:p>
    <w:p w14:paraId="58DF0C6E">
      <w:pPr>
        <w:pStyle w:val="5"/>
        <w:spacing w:before="200" w:after="200" w:line="600" w:lineRule="exact"/>
        <w:jc w:val="center"/>
        <w:rPr>
          <w:rFonts w:hint="eastAsia" w:ascii="黑体" w:hAnsi="黑体" w:eastAsia="黑体"/>
          <w:color w:val="000000"/>
          <w:sz w:val="36"/>
          <w:szCs w:val="28"/>
        </w:rPr>
      </w:pPr>
      <w:r>
        <w:rPr>
          <w:rFonts w:hint="eastAsia" w:ascii="黑体" w:hAnsi="黑体" w:eastAsia="黑体"/>
          <w:color w:val="000000"/>
          <w:sz w:val="36"/>
          <w:szCs w:val="28"/>
        </w:rPr>
        <w:br w:type="page"/>
      </w:r>
      <w:r>
        <w:rPr>
          <w:rFonts w:hint="eastAsia" w:ascii="黑体" w:hAnsi="黑体" w:eastAsia="黑体"/>
          <w:color w:val="000000"/>
          <w:sz w:val="36"/>
          <w:szCs w:val="28"/>
        </w:rPr>
        <w:t>附件2 “信用中国”查询的严重失信行为类别及判定依据</w:t>
      </w:r>
      <w:bookmarkEnd w:id="70"/>
    </w:p>
    <w:p w14:paraId="030B00C4">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32"/>
          <w:szCs w:val="32"/>
        </w:rPr>
        <w:t>“</w:t>
      </w:r>
      <w:r>
        <w:rPr>
          <w:rFonts w:hint="eastAsia" w:ascii="仿宋_GB2312" w:hAnsi="宋体" w:eastAsia="仿宋_GB2312"/>
          <w:color w:val="000000"/>
          <w:sz w:val="28"/>
          <w:szCs w:val="28"/>
        </w:rPr>
        <w:t>信用中国”查询的严重失信行为判定依据为各行业主管部门下发的联合惩戒文件中规定的行为。下面将部分类别的严重失信行为列举如下：</w:t>
      </w:r>
    </w:p>
    <w:p w14:paraId="2E532085">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一、安全生产领域严重失信行为：</w:t>
      </w:r>
    </w:p>
    <w:p w14:paraId="73080670">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（一）发生较大及以上生产安全责任事故，或1年内累计发生3起及以上造成人员死亡的一般生产安全责任事故的；</w:t>
      </w:r>
    </w:p>
    <w:p w14:paraId="5FF292AA">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（二）未按规定取得安全生产许可，擅自开展生产经营建设活动的；</w:t>
      </w:r>
    </w:p>
    <w:p w14:paraId="14894825">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（三）发现重大生产安全事故隐患，或职业病危害严重超标，不及时整改，仍组织从业人员冒险作业的；</w:t>
      </w:r>
    </w:p>
    <w:p w14:paraId="74094195">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（四）采取隐蔽、欺骗或阻碍等方式逃避、对抗安全监管监察的;</w:t>
      </w:r>
    </w:p>
    <w:p w14:paraId="5B76BFFF">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（五）被责令停产停业整顿，仍然从事生产经营建设活动的；</w:t>
      </w:r>
    </w:p>
    <w:p w14:paraId="5013BB0C">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（六）瞒报、谎报、迟报生产安全事故的；</w:t>
      </w:r>
    </w:p>
    <w:p w14:paraId="5D4BC831">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（七）矿山、危险化学品、金属冶炼等高危行业建设项目安全设施未经验收合格即投入生产和使用的；</w:t>
      </w:r>
    </w:p>
    <w:p w14:paraId="7D916A1D">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（八）矿山生产经营单位存在超层越界开采、以探代采行为的；</w:t>
      </w:r>
    </w:p>
    <w:p w14:paraId="44F8B9BB">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（九）发生事故后，故意破坏事故现场，伪造有关证据资料，妨碍、对抗事故调查，或主要负责人逃逸的；</w:t>
      </w:r>
    </w:p>
    <w:p w14:paraId="658E0AB8">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（十）安全生产和职业健康技术服务机构出具虚假报告或证明，违规转让或出借资质的。</w:t>
      </w:r>
    </w:p>
    <w:p w14:paraId="180C4EAF">
      <w:pPr>
        <w:adjustRightInd w:val="0"/>
        <w:snapToGrid w:val="0"/>
        <w:spacing w:line="560" w:lineRule="exact"/>
        <w:ind w:firstLine="645"/>
        <w:jc w:val="left"/>
        <w:rPr>
          <w:rFonts w:hint="eastAsia" w:ascii="仿宋_GB2312" w:eastAsia="仿宋_GB2312"/>
          <w:b/>
          <w:color w:val="000000"/>
          <w:sz w:val="28"/>
          <w:szCs w:val="28"/>
        </w:rPr>
      </w:pPr>
      <w:r>
        <w:rPr>
          <w:rFonts w:hint="eastAsia" w:ascii="仿宋_GB2312" w:hAnsi="宋体" w:eastAsia="仿宋_GB2312"/>
          <w:b/>
          <w:color w:val="000000"/>
          <w:sz w:val="28"/>
          <w:szCs w:val="28"/>
        </w:rPr>
        <w:t>依据：《对安全生产领域失信行为开展联合惩戒的实施办法》</w:t>
      </w:r>
      <w:r>
        <w:rPr>
          <w:rFonts w:hint="eastAsia" w:ascii="仿宋_GB2312" w:eastAsia="仿宋_GB2312"/>
          <w:b/>
          <w:color w:val="000000"/>
          <w:sz w:val="28"/>
          <w:szCs w:val="28"/>
        </w:rPr>
        <w:t>（安监总办〔2017〕49号）第二条</w:t>
      </w:r>
    </w:p>
    <w:p w14:paraId="37D1B9A8">
      <w:pPr>
        <w:adjustRightInd w:val="0"/>
        <w:snapToGrid w:val="0"/>
        <w:spacing w:line="560" w:lineRule="exact"/>
        <w:ind w:firstLine="645"/>
        <w:jc w:val="left"/>
        <w:rPr>
          <w:rFonts w:hint="eastAsia" w:ascii="仿宋_GB2312" w:hAnsi="宋体" w:eastAsia="仿宋_GB2312"/>
          <w:b/>
          <w:color w:val="000000"/>
          <w:sz w:val="28"/>
          <w:szCs w:val="28"/>
        </w:rPr>
      </w:pPr>
    </w:p>
    <w:p w14:paraId="4CF69D91">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二、环境保护领域严重失信行为：</w:t>
      </w:r>
    </w:p>
    <w:p w14:paraId="499C396C">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（一）因为环境违法构成</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"https://baike.sogou.com/m/fullLemma?lid=10403954&amp;g_ut=3"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环境犯罪</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的；</w:t>
      </w:r>
    </w:p>
    <w:p w14:paraId="50986C27">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"https://baike.sogou.com/m/fullLemma?lid=76033123&amp;g_ut=3"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建设项目环境影响评价</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文件未按规定通过审批，擅自开工建设的；</w:t>
      </w:r>
    </w:p>
    <w:p w14:paraId="291E2422">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（三）建设项目环保设施未建成、环保措施未落实、未通过</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"https://baike.sogou.com/m/fullLemma?lid=6470550&amp;g_ut=3"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竣工环保验收</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或者验收不合格，主体工程正式投入生产或者使用的；</w:t>
      </w:r>
    </w:p>
    <w:p w14:paraId="12C7FD8B">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（四）建设项目性质、规模、地点、采用的生产工艺或者防治污染、防止生态破坏的措施发生重大变动，未重新报批环境影响评价文件，擅自投入生产或者使用的；</w:t>
      </w:r>
    </w:p>
    <w:p w14:paraId="515B047B">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（五）主要污染物排放总量超过控制指标的；</w:t>
      </w:r>
    </w:p>
    <w:p w14:paraId="6EF26231">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（六）私设暗管或者利用</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"https://baike.sogou.com/m/fullLemma?lid=41657319&amp;g_ut=3"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渗井</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、渗坑、裂隙、溶洞等排放、倾倒、处置水污染物，或者通过私设旁路排放</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"https://baike.sogou.com/m/fullLemma?lid=7758328&amp;g_ut=3"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大气污染物</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的；</w:t>
      </w:r>
    </w:p>
    <w:p w14:paraId="3FFFD8CF">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（七）非法排放、倾倒、处置危险废物，或者向无</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"https://baike.sogou.com/m/fullLemma?lid=5923292&amp;g_ut=3"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经营许可证</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或者超出经营许可范围的单位或个人提供或者委托其收集、贮存、利用、处置危险废物的；</w:t>
      </w:r>
    </w:p>
    <w:p w14:paraId="77FB8C70">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（八）</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"https://baike.sogou.com/m/fullLemma?lid=167759803&amp;g_ut=3"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环境违法行为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造成集中式生活饮用水水源取水中断的；</w:t>
      </w:r>
    </w:p>
    <w:p w14:paraId="0E560A5C">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（九）环境违法行为对生活饮用水水源保护区、自然保护区、</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"https://baike.sogou.com/m/fullLemma?lid=155199213&amp;g_ut=3"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国家重点生态功能区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、风景名胜区、居住功能区、</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"https://baike.sogou.com/m/fullLemma?lid=7757164&amp;g_ut=3"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基本农田保护区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等环境敏感区造成重大不利影响的；</w:t>
      </w:r>
    </w:p>
    <w:p w14:paraId="2915F429">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（十）违法从事自然资源开发、交通基础设施建设，以及其他开发建设活动，造成严重生态破坏的；</w:t>
      </w:r>
    </w:p>
    <w:p w14:paraId="1EFA88E7">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（十一）发生较大及以上突发环境事件的；</w:t>
      </w:r>
    </w:p>
    <w:p w14:paraId="4AA399A6">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（十二）被环保部门挂牌督办，整改逾期未完成的；</w:t>
      </w:r>
    </w:p>
    <w:p w14:paraId="6D9B9F14">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（十三）以暴力、威胁等方式拒绝、阻挠环保部门工作人员现场检查的；</w:t>
      </w:r>
    </w:p>
    <w:p w14:paraId="4CA9E401">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（十四）违反重污染天气应急预案有关规定，对重污染天气响应不力的。</w:t>
      </w:r>
    </w:p>
    <w:p w14:paraId="21D95D1E">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依据：《关于对环境保护领域失信生产经营单位及其有关人员开展联合惩戒的合作备忘录》、《企业环境信用评价办法（试行）》（环发〔2013〕150号）</w:t>
      </w:r>
    </w:p>
    <w:p w14:paraId="2E5DFC19">
      <w:pPr>
        <w:adjustRightInd w:val="0"/>
        <w:snapToGrid w:val="0"/>
        <w:spacing w:line="560" w:lineRule="exact"/>
        <w:ind w:firstLine="645"/>
        <w:jc w:val="left"/>
        <w:rPr>
          <w:rFonts w:hint="eastAsia" w:ascii="仿宋_GB2312" w:hAnsi="宋体" w:eastAsia="仿宋_GB2312"/>
          <w:b/>
          <w:color w:val="000000"/>
          <w:sz w:val="28"/>
          <w:szCs w:val="28"/>
        </w:rPr>
      </w:pPr>
    </w:p>
    <w:p w14:paraId="2CAEE5A8">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三、</w:t>
      </w:r>
      <w:r>
        <w:rPr>
          <w:rFonts w:hint="eastAsia" w:ascii="仿宋_GB2312" w:hAnsi="宋体" w:eastAsia="仿宋_GB2312"/>
          <w:b/>
          <w:bCs/>
          <w:color w:val="000000"/>
          <w:sz w:val="28"/>
          <w:szCs w:val="28"/>
        </w:rPr>
        <w:t>公共资源交易领域严重失信行为</w:t>
      </w:r>
    </w:p>
    <w:p w14:paraId="624C74BA">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（一）违反法律规定，必须进行招标的项目而不招标的，将必须进行招标的项目化整为零或者以其他任何方式规避招标的； </w:t>
      </w:r>
    </w:p>
    <w:p w14:paraId="1243FE57">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（二）招标代理机构违反法律规定，泄露应当保密的与招标投标活动有关的情况和资料的，或者与招标人、投标人串通损害 国家利益、社会公共利益或者他人合法权益的；</w:t>
      </w:r>
    </w:p>
    <w:p w14:paraId="0D4111EA">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（三）招标人以不合理的条件限制或者排斥潜在投标人的，对潜在投标人实行歧视待遇的，强制要求投标人组成联合体共同 投标的，或者限制投标人之间竞争的；</w:t>
      </w:r>
    </w:p>
    <w:p w14:paraId="72FB12C0">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（四）依法必须进行招标的项目的招标人向他人透露已获取招标文件的潜在投标人的名称、数量或者可能影响公平竞争的有 关招标投标的其他情况的，或者泄露标底的；</w:t>
      </w:r>
    </w:p>
    <w:p w14:paraId="4F851A74">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 xml:space="preserve">（五）投标人相互串通投标或者与招标人串通投标的，投标人以向招标人或者评标委员会成员行贿的手段谋取中标的； </w:t>
      </w:r>
    </w:p>
    <w:p w14:paraId="7141BA12">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（六）投标人以他人名义投标或者以其他方式弄虚作假，骗取中标的；</w:t>
      </w:r>
    </w:p>
    <w:p w14:paraId="18A09589">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（七）依法必须进行招标的项目，招标人违反法律规定，与投标人就投标价格、投标方案等实质性内容进行谈判的；</w:t>
      </w:r>
    </w:p>
    <w:p w14:paraId="6CAE4869">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441C431C">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（九）招标人在评标委员会依法推荐的中标候选人以外确定中标人的，依法必须进行招标的项目在所有投标被评标委员会否 决后自行确定中标人的； </w:t>
      </w:r>
    </w:p>
    <w:p w14:paraId="7FA4D868">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（十）中标人将中标项目转让给他人的，将中标项目肢解后分别转让给他人的，违反法律规定将中标项目的部分主体、关键 性工作分包给他人的，或者分包人再次分包的； </w:t>
      </w:r>
    </w:p>
    <w:p w14:paraId="5B7B7C39">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（十一）招标人与中标人不按照招标文件和中标人的投标文件订立合同的，或者招标人、中标人订立背离合同实质性内容的 协议的； </w:t>
      </w:r>
    </w:p>
    <w:p w14:paraId="60483A76">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（十二）中标人不按照与招标人订立的合同履行义务，情节严重的； </w:t>
      </w:r>
    </w:p>
    <w:p w14:paraId="632C0ACE">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2B833A04">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5689CBF9">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 （十五）采购人对应当实行集中采购的政府采购项目，不委托集中采购机构实行集中采购的； </w:t>
      </w:r>
    </w:p>
    <w:p w14:paraId="183ACA75">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（十六）采购人、采购代理机构违反法律规定隐匿、销毁应当保存的采购文件或者伪造、变造采购文件的； </w:t>
      </w:r>
    </w:p>
    <w:p w14:paraId="321F5A94">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2C5BCBC4">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（十八）疫苗生产企业向县级疾病预防控制机构以外的单位或者个人销售第二类疫苗的； </w:t>
      </w:r>
    </w:p>
    <w:p w14:paraId="152D1C8F">
      <w:pPr>
        <w:adjustRightInd w:val="0"/>
        <w:snapToGrid w:val="0"/>
        <w:spacing w:line="560" w:lineRule="exact"/>
        <w:ind w:left="141" w:leftChars="67" w:firstLine="420" w:firstLineChars="150"/>
        <w:jc w:val="left"/>
        <w:rPr>
          <w:rFonts w:hint="eastAsia" w:ascii="仿宋_GB2312" w:hAnsi="宋体" w:eastAsia="仿宋_GB2312"/>
          <w:color w:val="000000"/>
          <w:sz w:val="28"/>
          <w:szCs w:val="28"/>
        </w:rPr>
      </w:pPr>
      <w:r>
        <w:rPr>
          <w:rFonts w:hint="eastAsia" w:ascii="仿宋_GB2312" w:eastAsia="仿宋_GB2312"/>
          <w:color w:val="000000"/>
          <w:sz w:val="28"/>
          <w:szCs w:val="28"/>
        </w:rPr>
        <w:t>（十九）存在其他违反公共资源交易法律法规行为的。</w:t>
      </w:r>
    </w:p>
    <w:p w14:paraId="3CCCA069">
      <w:pPr>
        <w:adjustRightInd w:val="0"/>
        <w:snapToGrid w:val="0"/>
        <w:spacing w:line="560" w:lineRule="exact"/>
        <w:ind w:firstLine="894" w:firstLineChars="318"/>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依据：《关于对公共资源交易领域严重失信主体开展联合惩戒的备忘录》（发改法规〔2018〕457号）</w:t>
      </w:r>
    </w:p>
    <w:p w14:paraId="56920E9B">
      <w:pPr>
        <w:adjustRightInd w:val="0"/>
        <w:snapToGrid w:val="0"/>
        <w:spacing w:line="560" w:lineRule="exact"/>
        <w:ind w:firstLine="645"/>
        <w:jc w:val="left"/>
        <w:rPr>
          <w:rFonts w:hint="eastAsia" w:ascii="仿宋_GB2312" w:hAnsi="宋体" w:eastAsia="仿宋_GB2312"/>
          <w:color w:val="000000"/>
          <w:sz w:val="28"/>
          <w:szCs w:val="28"/>
        </w:rPr>
      </w:pPr>
    </w:p>
    <w:p w14:paraId="1A5C09CF">
      <w:pPr>
        <w:adjustRightInd w:val="0"/>
        <w:snapToGrid w:val="0"/>
        <w:spacing w:line="560" w:lineRule="exact"/>
        <w:ind w:firstLine="645"/>
        <w:jc w:val="left"/>
        <w:rPr>
          <w:rFonts w:hint="eastAsia" w:ascii="仿宋_GB2312" w:hAnsi="宋体" w:eastAsia="仿宋_GB2312"/>
          <w:b/>
          <w:bCs/>
          <w:color w:val="000000"/>
          <w:sz w:val="28"/>
          <w:szCs w:val="28"/>
        </w:rPr>
      </w:pPr>
      <w:r>
        <w:rPr>
          <w:rFonts w:hint="eastAsia" w:ascii="仿宋_GB2312" w:hAnsi="宋体" w:eastAsia="仿宋_GB2312"/>
          <w:b/>
          <w:color w:val="000000"/>
          <w:sz w:val="28"/>
          <w:szCs w:val="28"/>
        </w:rPr>
        <w:t>四、</w:t>
      </w:r>
      <w:r>
        <w:rPr>
          <w:rFonts w:hint="eastAsia" w:ascii="仿宋_GB2312" w:hAnsi="宋体" w:eastAsia="仿宋_GB2312"/>
          <w:b/>
          <w:bCs/>
          <w:color w:val="000000"/>
          <w:sz w:val="28"/>
          <w:szCs w:val="28"/>
        </w:rPr>
        <w:t>社会保险领域严重失信行为</w:t>
      </w:r>
    </w:p>
    <w:p w14:paraId="481DD9CA">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（一）用人单位未按相关规定参加社会保险且拒不整改的； </w:t>
      </w:r>
    </w:p>
    <w:p w14:paraId="5CF64C9B">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（二）用人单位未如实申报社会保险缴费基数且拒不整改的； </w:t>
      </w:r>
    </w:p>
    <w:p w14:paraId="3820A431">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（三）应缴纳社会保险费却拒不缴纳的； </w:t>
      </w:r>
    </w:p>
    <w:p w14:paraId="1C510E42">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（四）隐匿、转移、侵占、挪用社会保险费款、基金或者违规投资运营的；</w:t>
      </w:r>
    </w:p>
    <w:p w14:paraId="7515BF9E">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（五）以欺诈、伪造证明材料或者其他手段参加、申报社会保险和骗取社会保险基金支出或社会保险待遇的； </w:t>
      </w:r>
    </w:p>
    <w:p w14:paraId="0E0B658E">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（六）非法获取、出售或变相交易社会保险个人权益数据的； </w:t>
      </w:r>
    </w:p>
    <w:p w14:paraId="626BD8C8">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（七）社会保险服务机构违反服务协议或相关规定的； </w:t>
      </w:r>
    </w:p>
    <w:p w14:paraId="35B127ED">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（八）拒绝协助社会保险行政部门、经办机构对事故和问题进 行调查核实的；拒绝接受或协助税务部门对社会保险实施监督检查， 不如实提供与社会保险相关各项资料的； </w:t>
      </w:r>
    </w:p>
    <w:p w14:paraId="3580C15D">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（九）其他违反法律法规规定的。</w:t>
      </w:r>
    </w:p>
    <w:p w14:paraId="2FDF8590">
      <w:pPr>
        <w:adjustRightInd w:val="0"/>
        <w:snapToGrid w:val="0"/>
        <w:spacing w:line="560" w:lineRule="exact"/>
        <w:ind w:firstLine="551" w:firstLineChars="196"/>
        <w:jc w:val="left"/>
        <w:rPr>
          <w:rFonts w:hint="eastAsia" w:ascii="仿宋_GB2312" w:eastAsia="仿宋_GB2312"/>
          <w:color w:val="000000"/>
          <w:sz w:val="28"/>
          <w:szCs w:val="28"/>
        </w:rPr>
      </w:pPr>
      <w:r>
        <w:rPr>
          <w:rFonts w:hint="eastAsia" w:ascii="仿宋_GB2312" w:eastAsia="仿宋_GB2312"/>
          <w:b/>
          <w:color w:val="000000"/>
          <w:sz w:val="28"/>
          <w:szCs w:val="28"/>
        </w:rPr>
        <w:t>依据：《关于对社会保险领域严重失信企业及其有关人员实施联合惩戒的合作备忘录》（发改财金〔2018〕1704号）</w:t>
      </w:r>
    </w:p>
    <w:p w14:paraId="4AFDD0D0">
      <w:pPr>
        <w:adjustRightInd w:val="0"/>
        <w:snapToGrid w:val="0"/>
        <w:spacing w:line="560" w:lineRule="exact"/>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     </w:t>
      </w:r>
    </w:p>
    <w:p w14:paraId="1E56536E">
      <w:pPr>
        <w:adjustRightInd w:val="0"/>
        <w:snapToGrid w:val="0"/>
        <w:spacing w:line="560" w:lineRule="exact"/>
        <w:ind w:firstLine="562" w:firstLineChars="200"/>
        <w:jc w:val="left"/>
        <w:rPr>
          <w:rFonts w:hint="eastAsia" w:ascii="仿宋_GB2312" w:hAnsi="宋体" w:eastAsia="仿宋_GB2312"/>
          <w:b/>
          <w:bCs/>
          <w:color w:val="000000"/>
          <w:sz w:val="28"/>
          <w:szCs w:val="28"/>
        </w:rPr>
      </w:pPr>
      <w:r>
        <w:rPr>
          <w:rFonts w:hint="eastAsia" w:ascii="仿宋_GB2312" w:hAnsi="宋体" w:eastAsia="仿宋_GB2312"/>
          <w:b/>
          <w:color w:val="000000"/>
          <w:sz w:val="28"/>
          <w:szCs w:val="28"/>
        </w:rPr>
        <w:t>五、建筑市场领域</w:t>
      </w:r>
      <w:r>
        <w:rPr>
          <w:rFonts w:hint="eastAsia" w:ascii="仿宋_GB2312" w:hAnsi="宋体" w:eastAsia="仿宋_GB2312"/>
          <w:b/>
          <w:bCs/>
          <w:color w:val="000000"/>
          <w:sz w:val="28"/>
          <w:szCs w:val="28"/>
        </w:rPr>
        <w:t>严重失信行为</w:t>
      </w:r>
    </w:p>
    <w:p w14:paraId="450424A9">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（一）利用虚假材料、以欺骗手段取得企业资质的；</w:t>
      </w:r>
    </w:p>
    <w:p w14:paraId="782E861D">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（二）发生转包、出借资质，受到行政处罚的；</w:t>
      </w:r>
    </w:p>
    <w:p w14:paraId="130AFEAD">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（三）发生重大及以上工程质量安全事故，或1年内累计发生2次及以上较大工程质量安全事故，或发生性质恶劣、危害性严重、社会影响大的较大工程质量安全事故，受到行政处罚的；</w:t>
      </w:r>
    </w:p>
    <w:p w14:paraId="378DB12B">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（四）经法院判决或仲裁机构裁决，认定为拖欠工程款,且拒不履行生效法律文书确定的义务的。</w:t>
      </w:r>
    </w:p>
    <w:p w14:paraId="3D8D6626">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各级住房城乡建设主管部门应当参照建筑市场主体“黑名单”，对被人力资源社会保障行政部门列入拖欠农民工工资“黑名单”的建筑市场各方主体加强监管。</w:t>
      </w:r>
    </w:p>
    <w:p w14:paraId="32FE6011">
      <w:pPr>
        <w:ind w:firstLine="562" w:firstLineChars="200"/>
        <w:jc w:val="left"/>
        <w:rPr>
          <w:rFonts w:hint="eastAsia" w:ascii="宋体" w:hAnsi="宋体"/>
          <w:color w:val="000000"/>
          <w:sz w:val="28"/>
          <w:szCs w:val="28"/>
        </w:rPr>
      </w:pPr>
      <w:r>
        <w:rPr>
          <w:rFonts w:hint="eastAsia" w:ascii="仿宋_GB2312" w:eastAsia="仿宋_GB2312"/>
          <w:b/>
          <w:color w:val="000000"/>
          <w:sz w:val="28"/>
          <w:szCs w:val="28"/>
        </w:rPr>
        <w:t>依据：《建筑市场信用管理暂行办法》（建市〔2017〕241号）</w:t>
      </w:r>
    </w:p>
    <w:p w14:paraId="2F156F6B">
      <w:pPr>
        <w:adjustRightInd w:val="0"/>
        <w:snapToGrid w:val="0"/>
        <w:spacing w:line="560" w:lineRule="exact"/>
        <w:rPr>
          <w:rFonts w:hint="eastAsia" w:ascii="仿宋_GB2312" w:hAnsi="宋体" w:eastAsia="仿宋_GB2312"/>
          <w:b/>
          <w:color w:val="000000"/>
          <w:sz w:val="28"/>
          <w:szCs w:val="28"/>
        </w:rPr>
      </w:pPr>
    </w:p>
    <w:p w14:paraId="50895075">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六、政府采购严重失信行为</w:t>
      </w:r>
    </w:p>
    <w:p w14:paraId="6B367726">
      <w:pPr>
        <w:adjustRightInd w:val="0"/>
        <w:snapToGrid w:val="0"/>
        <w:spacing w:line="560" w:lineRule="exact"/>
        <w:ind w:firstLine="615"/>
        <w:rPr>
          <w:rFonts w:hint="eastAsia" w:ascii="仿宋_GB2312" w:eastAsia="仿宋_GB2312"/>
          <w:color w:val="000000"/>
          <w:sz w:val="28"/>
          <w:szCs w:val="28"/>
        </w:rPr>
      </w:pPr>
      <w:r>
        <w:rPr>
          <w:rFonts w:hint="eastAsia" w:ascii="仿宋_GB2312" w:eastAsia="仿宋_GB2312"/>
          <w:color w:val="000000"/>
          <w:sz w:val="28"/>
          <w:szCs w:val="28"/>
        </w:rPr>
        <w:t>供应商、采购代理机构在三年内受到财政部门作出下列情形之一的行政处罚，列入政府采购严重违法失信行为记录名单。</w:t>
      </w:r>
      <w:r>
        <w:rPr>
          <w:rFonts w:hint="eastAsia" w:ascii="仿宋_GB2312" w:eastAsia="仿宋_GB2312"/>
          <w:color w:val="000000"/>
          <w:sz w:val="28"/>
          <w:szCs w:val="28"/>
        </w:rPr>
        <w:br w:type="textWrapping"/>
      </w:r>
      <w:r>
        <w:rPr>
          <w:rFonts w:hint="eastAsia" w:ascii="仿宋_GB2312" w:eastAsia="仿宋_GB2312"/>
          <w:color w:val="000000"/>
          <w:sz w:val="28"/>
          <w:szCs w:val="28"/>
        </w:rPr>
        <w:t>　　（一）三万元以上罚款；</w:t>
      </w:r>
      <w:r>
        <w:rPr>
          <w:rFonts w:hint="eastAsia" w:ascii="仿宋_GB2312" w:eastAsia="仿宋_GB2312"/>
          <w:color w:val="000000"/>
          <w:sz w:val="28"/>
          <w:szCs w:val="28"/>
        </w:rPr>
        <w:br w:type="textWrapping"/>
      </w:r>
      <w:r>
        <w:rPr>
          <w:rFonts w:hint="eastAsia" w:ascii="仿宋_GB2312" w:eastAsia="仿宋_GB2312"/>
          <w:color w:val="000000"/>
          <w:sz w:val="28"/>
          <w:szCs w:val="28"/>
        </w:rPr>
        <w:t>　　（二）在一至三年内禁止参加政府采购活动（处罚期限届满的除外）；</w:t>
      </w:r>
      <w:r>
        <w:rPr>
          <w:rFonts w:hint="eastAsia" w:ascii="仿宋_GB2312" w:eastAsia="仿宋_GB2312"/>
          <w:color w:val="000000"/>
          <w:sz w:val="28"/>
          <w:szCs w:val="28"/>
        </w:rPr>
        <w:br w:type="textWrapping"/>
      </w:r>
      <w:r>
        <w:rPr>
          <w:rFonts w:hint="eastAsia" w:ascii="仿宋_GB2312" w:eastAsia="仿宋_GB2312"/>
          <w:color w:val="000000"/>
          <w:sz w:val="28"/>
          <w:szCs w:val="28"/>
        </w:rPr>
        <w:t>　　（三）在一至三年内禁止代理政府采购业务（处罚期限届满的除外）；</w:t>
      </w:r>
      <w:r>
        <w:rPr>
          <w:rFonts w:hint="eastAsia" w:ascii="仿宋_GB2312" w:eastAsia="仿宋_GB2312"/>
          <w:color w:val="000000"/>
          <w:sz w:val="28"/>
          <w:szCs w:val="28"/>
        </w:rPr>
        <w:br w:type="textWrapping"/>
      </w:r>
      <w:r>
        <w:rPr>
          <w:rFonts w:hint="eastAsia" w:ascii="仿宋_GB2312" w:hAnsi="宋体" w:eastAsia="仿宋_GB2312"/>
          <w:color w:val="000000"/>
          <w:sz w:val="28"/>
          <w:szCs w:val="28"/>
        </w:rPr>
        <w:t xml:space="preserve">　 </w:t>
      </w:r>
      <w:r>
        <w:rPr>
          <w:rFonts w:hint="eastAsia" w:ascii="仿宋_GB2312" w:eastAsia="仿宋_GB2312"/>
          <w:color w:val="000000"/>
          <w:sz w:val="28"/>
          <w:szCs w:val="28"/>
        </w:rPr>
        <w:t>（四）撤销政府采购代理机构资格（仅针对《政府采购法》第78条修改前作出的处罚决定）。</w:t>
      </w:r>
    </w:p>
    <w:p w14:paraId="4AAA1018">
      <w:pPr>
        <w:adjustRightInd w:val="0"/>
        <w:snapToGrid w:val="0"/>
        <w:spacing w:line="560" w:lineRule="exact"/>
        <w:ind w:firstLine="562" w:firstLineChars="200"/>
        <w:jc w:val="left"/>
        <w:rPr>
          <w:rFonts w:hint="eastAsia" w:ascii="仿宋_GB2312" w:eastAsia="仿宋_GB2312"/>
          <w:b/>
          <w:color w:val="000000"/>
          <w:sz w:val="28"/>
          <w:szCs w:val="28"/>
        </w:rPr>
      </w:pPr>
      <w:r>
        <w:rPr>
          <w:rFonts w:hint="eastAsia" w:ascii="仿宋_GB2312" w:eastAsia="仿宋_GB2312"/>
          <w:b/>
          <w:color w:val="000000"/>
          <w:sz w:val="28"/>
          <w:szCs w:val="28"/>
        </w:rPr>
        <w:t>依据：《关于报送政府采购严重违法失信行为信息记录的通知》</w:t>
      </w:r>
      <w:r>
        <w:rPr>
          <w:b/>
          <w:color w:val="000000"/>
          <w:sz w:val="28"/>
          <w:szCs w:val="28"/>
        </w:rPr>
        <w:t>（</w:t>
      </w:r>
      <w:r>
        <w:rPr>
          <w:rFonts w:hint="eastAsia"/>
          <w:b/>
          <w:color w:val="000000"/>
          <w:sz w:val="28"/>
          <w:szCs w:val="28"/>
        </w:rPr>
        <w:t>财办库〔</w:t>
      </w:r>
      <w:r>
        <w:rPr>
          <w:b/>
          <w:color w:val="000000"/>
          <w:sz w:val="28"/>
          <w:szCs w:val="28"/>
        </w:rPr>
        <w:t>201</w:t>
      </w:r>
      <w:r>
        <w:rPr>
          <w:rFonts w:hint="eastAsia"/>
          <w:b/>
          <w:color w:val="000000"/>
          <w:sz w:val="28"/>
          <w:szCs w:val="28"/>
        </w:rPr>
        <w:t>4〕526</w:t>
      </w:r>
      <w:r>
        <w:rPr>
          <w:b/>
          <w:color w:val="000000"/>
          <w:sz w:val="28"/>
          <w:szCs w:val="28"/>
        </w:rPr>
        <w:t>号）</w:t>
      </w:r>
    </w:p>
    <w:p w14:paraId="7E2E522F">
      <w:pPr>
        <w:adjustRightInd w:val="0"/>
        <w:snapToGrid w:val="0"/>
        <w:spacing w:line="560" w:lineRule="exact"/>
        <w:ind w:firstLine="562" w:firstLineChars="200"/>
        <w:rPr>
          <w:rFonts w:hint="eastAsia" w:ascii="仿宋_GB2312" w:hAnsi="宋体" w:eastAsia="仿宋_GB2312"/>
          <w:b/>
          <w:color w:val="000000"/>
          <w:sz w:val="28"/>
          <w:szCs w:val="28"/>
        </w:rPr>
      </w:pPr>
    </w:p>
    <w:p w14:paraId="6B1F365A">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七、水利建设领域严重失信行为</w:t>
      </w:r>
    </w:p>
    <w:p w14:paraId="45BA3D76">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（一）1年内不良行为记录累计扣分达到20分的；</w:t>
      </w:r>
    </w:p>
    <w:p w14:paraId="36953CAC">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（二）"重点关注名单"公开期满后仍不整改的；</w:t>
      </w:r>
    </w:p>
    <w:p w14:paraId="7D3BBE1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（三）存在以下严重危害人民群众身体健康、生命安全和工程质量，以及特别严重违规行为之一的：</w:t>
      </w:r>
    </w:p>
    <w:p w14:paraId="79D24D34">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1.发生重大、特大质量或安全事故，并负有直接责任的；</w:t>
      </w:r>
    </w:p>
    <w:p w14:paraId="3010D959">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2.在单位公开信息、工程相关技术成果和工程建设过程中隐瞒真实情况、弄虚作假，提供虚假材料，谋取不正当利益的；</w:t>
      </w:r>
    </w:p>
    <w:p w14:paraId="5FDF119E">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3.违反有关法律、法规、规章、政策、技术标准、设计文件、合同等有关规定开展工作造成的工程质量问题，经处理后仍影响工程正常使用或减少工程使用寿命的；</w:t>
      </w:r>
    </w:p>
    <w:p w14:paraId="25F4E6DF">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4.违反规定施工，造成生态环境严重破坏且拒不修复的；</w:t>
      </w:r>
    </w:p>
    <w:p w14:paraId="314E20C2">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5.被证实恶意制造工程质量缺陷或质量隐患的；</w:t>
      </w:r>
    </w:p>
    <w:p w14:paraId="074E4A70">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6.其他违反法律法规，造成严重后果或社会危害较大的。</w:t>
      </w:r>
    </w:p>
    <w:p w14:paraId="4B4B5B36">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（四）存在以下严重破坏市场公平竞争秩序和社会正常秩序行为之一的：</w:t>
      </w:r>
    </w:p>
    <w:p w14:paraId="3AA3E95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1.不按合同约定，恶意拖欠承包人项目款的；</w:t>
      </w:r>
    </w:p>
    <w:p w14:paraId="62E3C2D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2.隐瞒有关情况或者提供虚假材料申请资质的，在全国水利建设市场监管服务平台公开虚假信息的，以欺骗、贿赂等不正当手段取得资质等级证书的；</w:t>
      </w:r>
    </w:p>
    <w:p w14:paraId="6168857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3.出借、借用资质证书,允许他人以本单位名义或借用他人名义等弄虚作假方式承揽业务的；</w:t>
      </w:r>
    </w:p>
    <w:p w14:paraId="03E3FED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4.未取得相应资质或超越资质证书核定范围、营业范围承揽业务的；</w:t>
      </w:r>
    </w:p>
    <w:p w14:paraId="2FFB55B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5.操纵招标过程，谋取不正当利益的；</w:t>
      </w:r>
    </w:p>
    <w:p w14:paraId="37673244">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6.与招标人或投标人串通投标的；</w:t>
      </w:r>
    </w:p>
    <w:p w14:paraId="2317CA6C">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7.以向招标人或评标委员会成员行贿的手段谋取中标的；</w:t>
      </w:r>
    </w:p>
    <w:p w14:paraId="6E121900">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8.中标后，无正当理由不签订合同的；</w:t>
      </w:r>
    </w:p>
    <w:p w14:paraId="2B9D95D8">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9.转包或违法分包所承揽业务的；</w:t>
      </w:r>
    </w:p>
    <w:p w14:paraId="036992B6">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10.弄虚作假，以欺诈手段降低工程或设备质量的；</w:t>
      </w:r>
    </w:p>
    <w:p w14:paraId="593AA77B">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11.单位行贿、受贿，受到刑事处罚的；</w:t>
      </w:r>
    </w:p>
    <w:p w14:paraId="6B2EC4D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12.逃税骗税、恶意逃废债务的；</w:t>
      </w:r>
    </w:p>
    <w:p w14:paraId="448499E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13.参与非法集资，受到刑事处罚的；</w:t>
      </w:r>
    </w:p>
    <w:p w14:paraId="48321B0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14.在签订、履行合同过程中，存在合同欺诈行为，受到刑事处罚的；</w:t>
      </w:r>
    </w:p>
    <w:p w14:paraId="6F2ADF97">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15.虚构工程项目，套取资金的；</w:t>
      </w:r>
    </w:p>
    <w:p w14:paraId="6069FF0A">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16.克扣、无故拖欠农民工工资报酬，数额达到认定拒不支付劳动报酬罪数额标准的；</w:t>
      </w:r>
    </w:p>
    <w:p w14:paraId="4A51C63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17.发生社会公共事件，影响较大，并负有直接责任的。</w:t>
      </w:r>
    </w:p>
    <w:p w14:paraId="0B0F0859">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（五）存在以下拒不履行法定义务，严重影响司法机关、行政机关公信力行为之一的：</w:t>
      </w:r>
    </w:p>
    <w:p w14:paraId="6A1E1F4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1.发生事故拒绝接受调查或拒绝提供有关资料的；</w:t>
      </w:r>
    </w:p>
    <w:p w14:paraId="5D23E5CF">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2.拒不执行生效的行政处罚决定的；</w:t>
      </w:r>
    </w:p>
    <w:p w14:paraId="1A650F0A">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3.拒不执行仲裁、法院判决结果的。</w:t>
      </w:r>
    </w:p>
    <w:p w14:paraId="5226F83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（六）被相关联合惩戒部门列入"黑名单"，符合联合惩戒措施的。</w:t>
      </w:r>
    </w:p>
    <w:p w14:paraId="71A8143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生产建设项目水土保持市场主体"黑名单"列入标准见《水利建设市场主体信用信息管理办法》附件。</w:t>
      </w:r>
    </w:p>
    <w:p w14:paraId="21C381DB">
      <w:pPr>
        <w:adjustRightInd w:val="0"/>
        <w:snapToGrid w:val="0"/>
        <w:spacing w:line="560" w:lineRule="exact"/>
        <w:ind w:firstLine="615"/>
        <w:rPr>
          <w:rFonts w:hint="eastAsia" w:ascii="仿宋_GB2312" w:eastAsia="仿宋_GB2312"/>
          <w:color w:val="000000"/>
          <w:sz w:val="28"/>
          <w:szCs w:val="28"/>
        </w:rPr>
      </w:pPr>
      <w:r>
        <w:rPr>
          <w:rFonts w:hint="eastAsia" w:ascii="仿宋_GB2312" w:eastAsia="仿宋_GB2312"/>
          <w:color w:val="000000"/>
          <w:sz w:val="28"/>
          <w:szCs w:val="28"/>
        </w:rPr>
        <w:t>依据：《水利建设市场主体信用评价管理办法》水建设〔2019〕307号、《水利建设市场主体信用信息管理办法》水建设〔2019〕306号</w:t>
      </w:r>
    </w:p>
    <w:p w14:paraId="59C666CB">
      <w:pPr>
        <w:adjustRightInd w:val="0"/>
        <w:snapToGrid w:val="0"/>
        <w:spacing w:line="560" w:lineRule="exact"/>
        <w:ind w:firstLine="615"/>
        <w:rPr>
          <w:rFonts w:hint="eastAsia" w:ascii="仿宋_GB2312" w:hAnsi="宋体" w:eastAsia="仿宋_GB2312"/>
          <w:b/>
          <w:color w:val="000000"/>
          <w:sz w:val="28"/>
          <w:szCs w:val="28"/>
        </w:rPr>
      </w:pPr>
    </w:p>
    <w:p w14:paraId="28CFBEF9">
      <w:pPr>
        <w:ind w:firstLine="615"/>
        <w:rPr>
          <w:rFonts w:hint="eastAsia" w:ascii="仿宋_GB2312" w:hAnsi="宋体" w:eastAsia="仿宋_GB2312"/>
          <w:b/>
          <w:sz w:val="28"/>
          <w:szCs w:val="28"/>
        </w:rPr>
      </w:pPr>
      <w:r>
        <w:rPr>
          <w:rFonts w:hint="eastAsia" w:ascii="仿宋_GB2312" w:hAnsi="宋体" w:eastAsia="仿宋_GB2312"/>
          <w:b/>
          <w:color w:val="000000"/>
          <w:sz w:val="28"/>
          <w:szCs w:val="28"/>
        </w:rPr>
        <w:t>未列出的其他类别严重失信行为，由招标人（代理机构）根据各类别行业主管部门下发的联合惩戒文件进行判</w:t>
      </w:r>
      <w:r>
        <w:rPr>
          <w:rFonts w:hint="eastAsia" w:ascii="仿宋_GB2312" w:hAnsi="宋体" w:eastAsia="仿宋_GB2312"/>
          <w:b/>
          <w:color w:val="000000"/>
          <w:sz w:val="32"/>
          <w:szCs w:val="32"/>
        </w:rPr>
        <w:t>断。</w:t>
      </w:r>
    </w:p>
    <w:p w14:paraId="4980C54E">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65BEF94D">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7EF897C3">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24ACAF91">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442441DF">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3C622500">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280BA1A8">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10D39A8D">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3FD69232">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4DB09D40">
      <w:pPr>
        <w:spacing w:line="440" w:lineRule="exact"/>
        <w:jc w:val="center"/>
        <w:outlineLvl w:val="0"/>
        <w:rPr>
          <w:rFonts w:hint="eastAsia" w:ascii="宋体"/>
          <w:color w:val="auto"/>
          <w:sz w:val="24"/>
          <w:highlight w:val="none"/>
          <w:u w:val="single"/>
        </w:rPr>
      </w:pPr>
      <w:r>
        <w:rPr>
          <w:rFonts w:hint="eastAsia" w:ascii="Times New Roman" w:hAnsi="宋体" w:eastAsia="宋体" w:cs="Times New Roman"/>
          <w:b/>
          <w:bCs/>
          <w:color w:val="auto"/>
          <w:sz w:val="32"/>
          <w:szCs w:val="32"/>
          <w:highlight w:val="none"/>
          <w:lang w:val="en-US" w:eastAsia="zh-CN"/>
        </w:rPr>
        <w:t>第七章  招标单位、招标代理机构对本招标文件的确认</w:t>
      </w:r>
    </w:p>
    <w:tbl>
      <w:tblPr>
        <w:tblStyle w:val="26"/>
        <w:tblpPr w:leftFromText="180" w:rightFromText="180" w:vertAnchor="text" w:horzAnchor="page" w:tblpX="1353" w:tblpY="417"/>
        <w:tblOverlap w:val="never"/>
        <w:tblW w:w="0" w:type="auto"/>
        <w:tblInd w:w="0" w:type="dxa"/>
        <w:tblLayout w:type="fixed"/>
        <w:tblCellMar>
          <w:top w:w="0" w:type="dxa"/>
          <w:left w:w="108" w:type="dxa"/>
          <w:bottom w:w="0" w:type="dxa"/>
          <w:right w:w="108" w:type="dxa"/>
        </w:tblCellMar>
      </w:tblPr>
      <w:tblGrid>
        <w:gridCol w:w="9374"/>
      </w:tblGrid>
      <w:tr w14:paraId="153588D3">
        <w:tblPrEx>
          <w:tblCellMar>
            <w:top w:w="0" w:type="dxa"/>
            <w:left w:w="108" w:type="dxa"/>
            <w:bottom w:w="0" w:type="dxa"/>
            <w:right w:w="108" w:type="dxa"/>
          </w:tblCellMar>
        </w:tblPrEx>
        <w:trPr>
          <w:trHeight w:val="4493"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14:paraId="6FB54732">
            <w:pPr>
              <w:keepNext w:val="0"/>
              <w:keepLines w:val="0"/>
              <w:suppressLineNumbers w:val="0"/>
              <w:spacing w:before="0" w:beforeAutospacing="0" w:after="0" w:afterAutospacing="0" w:line="440" w:lineRule="exact"/>
              <w:ind w:left="0" w:right="0" w:firstLine="560" w:firstLineChars="200"/>
              <w:rPr>
                <w:rFonts w:hint="eastAsia" w:ascii="宋体" w:cs="宋体"/>
                <w:color w:val="auto"/>
                <w:sz w:val="28"/>
                <w:szCs w:val="28"/>
                <w:highlight w:val="none"/>
              </w:rPr>
            </w:pPr>
          </w:p>
          <w:p w14:paraId="72E1ACBD">
            <w:pPr>
              <w:keepNext w:val="0"/>
              <w:keepLines w:val="0"/>
              <w:suppressLineNumbers w:val="0"/>
              <w:spacing w:before="0" w:beforeAutospacing="0" w:after="156" w:afterLines="50" w:afterAutospacing="0"/>
              <w:ind w:left="0" w:right="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lang w:eastAsia="zh-CN"/>
              </w:rPr>
              <w:t>2025年琅琊山森林漂流皮划艇采购项目</w:t>
            </w:r>
            <w:r>
              <w:rPr>
                <w:rFonts w:hint="eastAsia" w:ascii="宋体" w:cs="宋体"/>
                <w:color w:val="auto"/>
                <w:sz w:val="28"/>
                <w:szCs w:val="28"/>
                <w:highlight w:val="none"/>
              </w:rPr>
              <w:t>的招标文件进行确认。</w:t>
            </w:r>
          </w:p>
          <w:p w14:paraId="0B1BFC9F">
            <w:pPr>
              <w:keepNext w:val="0"/>
              <w:keepLines w:val="0"/>
              <w:suppressLineNumbers w:val="0"/>
              <w:spacing w:before="0" w:beforeAutospacing="0" w:after="0" w:afterAutospacing="0" w:line="540" w:lineRule="exact"/>
              <w:ind w:left="0" w:right="0" w:firstLine="560" w:firstLineChars="200"/>
              <w:rPr>
                <w:rFonts w:hint="eastAsia" w:ascii="宋体" w:hAnsi="Times New Roman" w:eastAsia="宋体" w:cs="宋体"/>
                <w:b w:val="0"/>
                <w:bCs w:val="0"/>
                <w:color w:val="auto"/>
                <w:sz w:val="28"/>
                <w:szCs w:val="28"/>
                <w:highlight w:val="none"/>
                <w:lang w:val="en-US" w:eastAsia="zh-CN"/>
              </w:rPr>
            </w:pPr>
            <w:r>
              <w:rPr>
                <w:rFonts w:hint="eastAsia" w:ascii="宋体" w:cs="宋体"/>
                <w:color w:val="auto"/>
                <w:sz w:val="28"/>
                <w:szCs w:val="28"/>
                <w:highlight w:val="none"/>
                <w:lang w:eastAsia="zh-CN"/>
              </w:rPr>
              <w:t>招标人</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安徽省琅耶山健身休闲有限公司</w:t>
            </w:r>
          </w:p>
          <w:p w14:paraId="677509EE">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经办人：钱宇欣</w:t>
            </w:r>
          </w:p>
          <w:p w14:paraId="21B318B8">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联系电话：13365700719</w:t>
            </w:r>
          </w:p>
          <w:p w14:paraId="49285D07">
            <w:pPr>
              <w:keepNext w:val="0"/>
              <w:keepLines w:val="0"/>
              <w:suppressLineNumbers w:val="0"/>
              <w:spacing w:before="0" w:beforeAutospacing="0" w:after="0" w:afterAutospacing="0" w:line="540" w:lineRule="exact"/>
              <w:ind w:left="0" w:right="0" w:firstLine="5600" w:firstLineChars="2000"/>
              <w:rPr>
                <w:rFonts w:hint="eastAsia" w:ascii="宋体" w:cs="宋体"/>
                <w:color w:val="auto"/>
                <w:sz w:val="28"/>
                <w:szCs w:val="28"/>
                <w:highlight w:val="none"/>
              </w:rPr>
            </w:pPr>
          </w:p>
          <w:p w14:paraId="0D0CF179">
            <w:pPr>
              <w:keepNext w:val="0"/>
              <w:keepLines w:val="0"/>
              <w:suppressLineNumbers w:val="0"/>
              <w:spacing w:before="0" w:beforeAutospacing="0" w:after="0" w:afterAutospacing="0" w:line="540" w:lineRule="exact"/>
              <w:ind w:left="0" w:right="0" w:firstLine="6300" w:firstLineChars="2250"/>
              <w:rPr>
                <w:rFonts w:hint="eastAsia" w:ascii="宋体" w:cs="宋体"/>
                <w:color w:val="auto"/>
                <w:sz w:val="28"/>
                <w:szCs w:val="28"/>
                <w:highlight w:val="none"/>
              </w:rPr>
            </w:pPr>
          </w:p>
          <w:p w14:paraId="3EF21840">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w:t>
            </w:r>
            <w:r>
              <w:rPr>
                <w:rFonts w:hint="eastAsia" w:ascii="宋体" w:cs="宋体"/>
                <w:color w:val="auto"/>
                <w:sz w:val="28"/>
                <w:szCs w:val="28"/>
                <w:highlight w:val="none"/>
                <w:lang w:val="en-US" w:eastAsia="zh-CN"/>
              </w:rPr>
              <w:t>25</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3</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14:paraId="13420964">
            <w:pPr>
              <w:keepNext w:val="0"/>
              <w:keepLines w:val="0"/>
              <w:suppressLineNumbers w:val="0"/>
              <w:spacing w:before="0" w:beforeAutospacing="0" w:after="0" w:afterAutospacing="0" w:line="540" w:lineRule="exact"/>
              <w:ind w:left="0" w:right="0" w:firstLine="5880" w:firstLineChars="2100"/>
              <w:rPr>
                <w:rFonts w:hint="eastAsia" w:ascii="宋体" w:cs="宋体"/>
                <w:color w:val="auto"/>
                <w:sz w:val="28"/>
                <w:szCs w:val="28"/>
                <w:highlight w:val="none"/>
              </w:rPr>
            </w:pPr>
          </w:p>
        </w:tc>
      </w:tr>
      <w:tr w14:paraId="5B62C27B">
        <w:tblPrEx>
          <w:tblCellMar>
            <w:top w:w="0" w:type="dxa"/>
            <w:left w:w="108" w:type="dxa"/>
            <w:bottom w:w="0" w:type="dxa"/>
            <w:right w:w="108" w:type="dxa"/>
          </w:tblCellMar>
        </w:tblPrEx>
        <w:trPr>
          <w:trHeight w:val="5310"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14:paraId="4103B534">
            <w:pPr>
              <w:keepNext w:val="0"/>
              <w:keepLines w:val="0"/>
              <w:suppressLineNumbers w:val="0"/>
              <w:spacing w:before="0" w:beforeAutospacing="0" w:after="0" w:afterAutospacing="0" w:line="440" w:lineRule="exact"/>
              <w:ind w:left="0" w:right="0"/>
              <w:rPr>
                <w:rFonts w:hint="eastAsia" w:ascii="宋体" w:cs="宋体"/>
                <w:color w:val="auto"/>
                <w:sz w:val="28"/>
                <w:szCs w:val="28"/>
                <w:highlight w:val="none"/>
              </w:rPr>
            </w:pPr>
          </w:p>
          <w:p w14:paraId="24A15FBE">
            <w:pPr>
              <w:keepNext w:val="0"/>
              <w:keepLines w:val="0"/>
              <w:suppressLineNumbers w:val="0"/>
              <w:spacing w:before="0" w:beforeAutospacing="0" w:after="0" w:afterAutospacing="0" w:line="560" w:lineRule="exact"/>
              <w:ind w:left="0" w:right="0" w:firstLine="560" w:firstLineChars="200"/>
              <w:rPr>
                <w:rFonts w:hint="eastAsia" w:eastAsiaTheme="minorEastAsia"/>
                <w:color w:val="auto"/>
                <w:sz w:val="28"/>
                <w:szCs w:val="28"/>
                <w:highlight w:val="none"/>
                <w:lang w:eastAsia="zh-CN"/>
              </w:rPr>
            </w:pPr>
            <w:r>
              <w:rPr>
                <w:rFonts w:hint="eastAsia"/>
                <w:color w:val="auto"/>
                <w:sz w:val="28"/>
                <w:szCs w:val="28"/>
                <w:highlight w:val="none"/>
              </w:rPr>
              <w:t xml:space="preserve">招标代理机构： </w:t>
            </w:r>
            <w:r>
              <w:rPr>
                <w:rFonts w:hint="eastAsia"/>
                <w:color w:val="auto"/>
                <w:sz w:val="28"/>
                <w:szCs w:val="28"/>
                <w:highlight w:val="none"/>
                <w:lang w:eastAsia="zh-CN"/>
              </w:rPr>
              <w:t>安徽诚昇工程技术有限公司</w:t>
            </w:r>
          </w:p>
          <w:p w14:paraId="20DE938A">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联系人：</w:t>
            </w:r>
            <w:r>
              <w:rPr>
                <w:rFonts w:hint="eastAsia"/>
                <w:color w:val="auto"/>
                <w:sz w:val="28"/>
                <w:szCs w:val="28"/>
                <w:highlight w:val="none"/>
                <w:lang w:val="en-US" w:eastAsia="zh-CN"/>
              </w:rPr>
              <w:t>陈艳菊</w:t>
            </w:r>
          </w:p>
          <w:p w14:paraId="4E20AD16">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联系电话：</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15255016513</w:t>
            </w:r>
          </w:p>
          <w:p w14:paraId="7068C2D0">
            <w:pPr>
              <w:keepNext w:val="0"/>
              <w:keepLines w:val="0"/>
              <w:suppressLineNumbers w:val="0"/>
              <w:spacing w:before="0" w:beforeAutospacing="0" w:after="0" w:afterAutospacing="0" w:line="560" w:lineRule="exact"/>
              <w:ind w:left="0" w:right="0" w:firstLine="280" w:firstLineChars="100"/>
              <w:rPr>
                <w:rFonts w:hint="eastAsia"/>
                <w:color w:val="auto"/>
                <w:sz w:val="28"/>
                <w:szCs w:val="28"/>
                <w:highlight w:val="none"/>
              </w:rPr>
            </w:pPr>
            <w:r>
              <w:rPr>
                <w:rFonts w:hint="eastAsia"/>
                <w:color w:val="auto"/>
                <w:sz w:val="28"/>
                <w:szCs w:val="28"/>
                <w:highlight w:val="none"/>
              </w:rPr>
              <w:t xml:space="preserve">                                  </w:t>
            </w:r>
          </w:p>
          <w:p w14:paraId="394B3D68">
            <w:pPr>
              <w:keepNext w:val="0"/>
              <w:keepLines w:val="0"/>
              <w:suppressLineNumbers w:val="0"/>
              <w:spacing w:before="0" w:beforeAutospacing="0" w:after="0" w:afterAutospacing="0" w:line="520" w:lineRule="exact"/>
              <w:ind w:left="0" w:right="0" w:firstLine="560" w:firstLineChars="200"/>
              <w:rPr>
                <w:rFonts w:hint="eastAsia" w:ascii="宋体" w:cs="宋体"/>
                <w:color w:val="auto"/>
                <w:sz w:val="28"/>
                <w:szCs w:val="28"/>
                <w:highlight w:val="none"/>
              </w:rPr>
            </w:pPr>
            <w:r>
              <w:rPr>
                <w:rFonts w:hint="eastAsia"/>
                <w:color w:val="auto"/>
                <w:sz w:val="28"/>
                <w:szCs w:val="28"/>
                <w:highlight w:val="none"/>
              </w:rPr>
              <w:t xml:space="preserve">                                      </w:t>
            </w:r>
          </w:p>
          <w:p w14:paraId="365CCB40">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14:paraId="74B32838">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14:paraId="3757DA17">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5</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3</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14:paraId="63C6D131">
            <w:pPr>
              <w:keepNext w:val="0"/>
              <w:keepLines w:val="0"/>
              <w:suppressLineNumbers w:val="0"/>
              <w:spacing w:before="0" w:beforeAutospacing="0" w:after="0" w:afterAutospacing="0" w:line="540" w:lineRule="exact"/>
              <w:ind w:left="0" w:right="0" w:firstLine="5952" w:firstLineChars="2126"/>
              <w:rPr>
                <w:rFonts w:hint="eastAsia" w:ascii="宋体" w:cs="宋体"/>
                <w:color w:val="auto"/>
                <w:sz w:val="28"/>
                <w:szCs w:val="28"/>
                <w:highlight w:val="none"/>
              </w:rPr>
            </w:pPr>
          </w:p>
        </w:tc>
      </w:tr>
    </w:tbl>
    <w:p w14:paraId="706E3063">
      <w:pPr>
        <w:pStyle w:val="2"/>
        <w:ind w:left="0" w:leftChars="0" w:firstLine="0" w:firstLineChars="0"/>
        <w:rPr>
          <w:rFonts w:hint="default" w:eastAsia="宋体"/>
          <w:highlight w:val="none"/>
          <w:lang w:val="en-US" w:eastAsia="zh-CN"/>
        </w:rPr>
      </w:pPr>
    </w:p>
    <w:p w14:paraId="4BBDD88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D3360">
    <w:pPr>
      <w:pStyle w:val="17"/>
      <w:ind w:right="360"/>
      <w:rPr>
        <w:rStyle w:val="29"/>
      </w:rPr>
    </w:pPr>
  </w:p>
  <w:p w14:paraId="05138752">
    <w:pPr>
      <w:pStyle w:val="17"/>
      <w:framePr w:wrap="around" w:vAnchor="text" w:hAnchor="margin" w:xAlign="center" w:y="1"/>
      <w:ind w:right="360"/>
      <w:rPr>
        <w:rStyle w:val="29"/>
      </w:rPr>
    </w:pPr>
  </w:p>
  <w:p w14:paraId="69BDB70B">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EF0A">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7AF5F">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507AF5F">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E78D1">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98DC3"/>
    <w:multiLevelType w:val="singleLevel"/>
    <w:tmpl w:val="A5498DC3"/>
    <w:lvl w:ilvl="0" w:tentative="0">
      <w:start w:val="1"/>
      <w:numFmt w:val="decimal"/>
      <w:lvlText w:val="%1."/>
      <w:lvlJc w:val="left"/>
      <w:pPr>
        <w:tabs>
          <w:tab w:val="left" w:pos="312"/>
        </w:tabs>
      </w:pPr>
    </w:lvl>
  </w:abstractNum>
  <w:abstractNum w:abstractNumId="1">
    <w:nsid w:val="00000004"/>
    <w:multiLevelType w:val="multilevel"/>
    <w:tmpl w:val="00000004"/>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02EDD58"/>
    <w:multiLevelType w:val="singleLevel"/>
    <w:tmpl w:val="602EDD58"/>
    <w:lvl w:ilvl="0" w:tentative="0">
      <w:start w:val="3"/>
      <w:numFmt w:val="chineseCounting"/>
      <w:suff w:val="nothing"/>
      <w:lvlText w:val="%1、"/>
      <w:lvlJc w:val="left"/>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zNGJmZTJjZjYyOTAxNmU5OTk2Y2FjYTZmMzRiZmQifQ=="/>
  </w:docVars>
  <w:rsids>
    <w:rsidRoot w:val="440F4D94"/>
    <w:rsid w:val="00774D08"/>
    <w:rsid w:val="013C690E"/>
    <w:rsid w:val="01A21D6C"/>
    <w:rsid w:val="01AF0E8E"/>
    <w:rsid w:val="01D118B5"/>
    <w:rsid w:val="01E37862"/>
    <w:rsid w:val="01E872A1"/>
    <w:rsid w:val="0232372D"/>
    <w:rsid w:val="02502671"/>
    <w:rsid w:val="030D0562"/>
    <w:rsid w:val="032031D0"/>
    <w:rsid w:val="034F0B7A"/>
    <w:rsid w:val="03BB1D6C"/>
    <w:rsid w:val="03F1316B"/>
    <w:rsid w:val="04115E30"/>
    <w:rsid w:val="043D09D3"/>
    <w:rsid w:val="05031C1C"/>
    <w:rsid w:val="05045994"/>
    <w:rsid w:val="0523406D"/>
    <w:rsid w:val="052D4B75"/>
    <w:rsid w:val="05924D4E"/>
    <w:rsid w:val="059D1414"/>
    <w:rsid w:val="05A131E3"/>
    <w:rsid w:val="05A607FA"/>
    <w:rsid w:val="05F15F19"/>
    <w:rsid w:val="06D54ED0"/>
    <w:rsid w:val="06DC0977"/>
    <w:rsid w:val="07011EC4"/>
    <w:rsid w:val="079C0106"/>
    <w:rsid w:val="07C425FF"/>
    <w:rsid w:val="08355F1F"/>
    <w:rsid w:val="085D2841"/>
    <w:rsid w:val="08674270"/>
    <w:rsid w:val="08A47272"/>
    <w:rsid w:val="08E73603"/>
    <w:rsid w:val="091805FA"/>
    <w:rsid w:val="09E6624A"/>
    <w:rsid w:val="0A932840"/>
    <w:rsid w:val="0ACE6829"/>
    <w:rsid w:val="0AFF501E"/>
    <w:rsid w:val="0B925AA8"/>
    <w:rsid w:val="0B9A670B"/>
    <w:rsid w:val="0CAF2B4C"/>
    <w:rsid w:val="0CEF01A1"/>
    <w:rsid w:val="0D1D75F3"/>
    <w:rsid w:val="0D4228C9"/>
    <w:rsid w:val="0D7116ED"/>
    <w:rsid w:val="0D7D3AFE"/>
    <w:rsid w:val="0DFA7935"/>
    <w:rsid w:val="0EAA4EB7"/>
    <w:rsid w:val="0EBB3464"/>
    <w:rsid w:val="0ECA5559"/>
    <w:rsid w:val="0ED15076"/>
    <w:rsid w:val="0F2E7896"/>
    <w:rsid w:val="0F5A3543"/>
    <w:rsid w:val="0FDF4C74"/>
    <w:rsid w:val="10161464"/>
    <w:rsid w:val="101C4945"/>
    <w:rsid w:val="10303AE2"/>
    <w:rsid w:val="10545A22"/>
    <w:rsid w:val="10AF2C58"/>
    <w:rsid w:val="10E43038"/>
    <w:rsid w:val="11273F56"/>
    <w:rsid w:val="11666BBB"/>
    <w:rsid w:val="11802A9D"/>
    <w:rsid w:val="11B524F0"/>
    <w:rsid w:val="12086AC4"/>
    <w:rsid w:val="12431559"/>
    <w:rsid w:val="12E63FA6"/>
    <w:rsid w:val="12F928B1"/>
    <w:rsid w:val="12F9372E"/>
    <w:rsid w:val="1323348A"/>
    <w:rsid w:val="132E09AA"/>
    <w:rsid w:val="13D23390"/>
    <w:rsid w:val="13DC1FB6"/>
    <w:rsid w:val="14334ED5"/>
    <w:rsid w:val="144E4536"/>
    <w:rsid w:val="145C581C"/>
    <w:rsid w:val="147C10A3"/>
    <w:rsid w:val="14A300CE"/>
    <w:rsid w:val="14CF38C9"/>
    <w:rsid w:val="14E629C1"/>
    <w:rsid w:val="154A7E94"/>
    <w:rsid w:val="159A586B"/>
    <w:rsid w:val="1621759F"/>
    <w:rsid w:val="162403C8"/>
    <w:rsid w:val="163623F0"/>
    <w:rsid w:val="16655F19"/>
    <w:rsid w:val="16E80C72"/>
    <w:rsid w:val="180669B0"/>
    <w:rsid w:val="18267CA4"/>
    <w:rsid w:val="190F0738"/>
    <w:rsid w:val="191775ED"/>
    <w:rsid w:val="196545EF"/>
    <w:rsid w:val="196B16E7"/>
    <w:rsid w:val="19762565"/>
    <w:rsid w:val="19E70870"/>
    <w:rsid w:val="19F65454"/>
    <w:rsid w:val="1A2C0203"/>
    <w:rsid w:val="1A772A39"/>
    <w:rsid w:val="1AD86698"/>
    <w:rsid w:val="1B0B6A26"/>
    <w:rsid w:val="1B3C77DE"/>
    <w:rsid w:val="1B6C188C"/>
    <w:rsid w:val="1BF9747E"/>
    <w:rsid w:val="1C4526C3"/>
    <w:rsid w:val="1C69015F"/>
    <w:rsid w:val="1C782A98"/>
    <w:rsid w:val="1C84143D"/>
    <w:rsid w:val="1CA92C52"/>
    <w:rsid w:val="1D232A04"/>
    <w:rsid w:val="1D33169F"/>
    <w:rsid w:val="1DD7722D"/>
    <w:rsid w:val="1E474369"/>
    <w:rsid w:val="1ED3045A"/>
    <w:rsid w:val="1EF26B32"/>
    <w:rsid w:val="1F737547"/>
    <w:rsid w:val="1FBE5586"/>
    <w:rsid w:val="2035457B"/>
    <w:rsid w:val="204506D8"/>
    <w:rsid w:val="20F63292"/>
    <w:rsid w:val="21391D2B"/>
    <w:rsid w:val="21416F2F"/>
    <w:rsid w:val="21545A4D"/>
    <w:rsid w:val="21763E82"/>
    <w:rsid w:val="21C04848"/>
    <w:rsid w:val="21D53CD0"/>
    <w:rsid w:val="21E108C6"/>
    <w:rsid w:val="21FC6157"/>
    <w:rsid w:val="220152DE"/>
    <w:rsid w:val="222D5B93"/>
    <w:rsid w:val="22596EC8"/>
    <w:rsid w:val="226F2247"/>
    <w:rsid w:val="22CD6F6E"/>
    <w:rsid w:val="22D32730"/>
    <w:rsid w:val="231D6147"/>
    <w:rsid w:val="2369138D"/>
    <w:rsid w:val="237B0CD6"/>
    <w:rsid w:val="24575689"/>
    <w:rsid w:val="251B0465"/>
    <w:rsid w:val="25C21DB8"/>
    <w:rsid w:val="266B4AD8"/>
    <w:rsid w:val="2685203A"/>
    <w:rsid w:val="26A655F4"/>
    <w:rsid w:val="26F954CE"/>
    <w:rsid w:val="27377E1D"/>
    <w:rsid w:val="27427F5F"/>
    <w:rsid w:val="27D8263D"/>
    <w:rsid w:val="27E62FAC"/>
    <w:rsid w:val="27F60D15"/>
    <w:rsid w:val="287E4991"/>
    <w:rsid w:val="29DD03DE"/>
    <w:rsid w:val="2A61691A"/>
    <w:rsid w:val="2AB2378E"/>
    <w:rsid w:val="2AED63FF"/>
    <w:rsid w:val="2B2F07C6"/>
    <w:rsid w:val="2B4E2E20"/>
    <w:rsid w:val="2B900AAC"/>
    <w:rsid w:val="2C201D36"/>
    <w:rsid w:val="2C401128"/>
    <w:rsid w:val="2C867F83"/>
    <w:rsid w:val="2CD7749F"/>
    <w:rsid w:val="2D340315"/>
    <w:rsid w:val="2D377E06"/>
    <w:rsid w:val="2D825525"/>
    <w:rsid w:val="2E071D36"/>
    <w:rsid w:val="2E1A451F"/>
    <w:rsid w:val="2E3A7BAD"/>
    <w:rsid w:val="2F61116A"/>
    <w:rsid w:val="2F727CE6"/>
    <w:rsid w:val="2FB13E9F"/>
    <w:rsid w:val="30146BDF"/>
    <w:rsid w:val="301B223A"/>
    <w:rsid w:val="30297EDA"/>
    <w:rsid w:val="30372F27"/>
    <w:rsid w:val="304A0BF0"/>
    <w:rsid w:val="31105507"/>
    <w:rsid w:val="31146559"/>
    <w:rsid w:val="3138414C"/>
    <w:rsid w:val="3163741B"/>
    <w:rsid w:val="32013042"/>
    <w:rsid w:val="32543208"/>
    <w:rsid w:val="327376B8"/>
    <w:rsid w:val="32870EE7"/>
    <w:rsid w:val="32EB3B6C"/>
    <w:rsid w:val="33083557"/>
    <w:rsid w:val="330E33B7"/>
    <w:rsid w:val="33864FF7"/>
    <w:rsid w:val="33D219EE"/>
    <w:rsid w:val="33FE6BEC"/>
    <w:rsid w:val="3412575F"/>
    <w:rsid w:val="34242DD3"/>
    <w:rsid w:val="34592D57"/>
    <w:rsid w:val="3463108F"/>
    <w:rsid w:val="34B306BA"/>
    <w:rsid w:val="35372467"/>
    <w:rsid w:val="35C04688"/>
    <w:rsid w:val="362819E9"/>
    <w:rsid w:val="36F31241"/>
    <w:rsid w:val="37040D59"/>
    <w:rsid w:val="37FE39FA"/>
    <w:rsid w:val="381274A5"/>
    <w:rsid w:val="387B14EE"/>
    <w:rsid w:val="39C562C9"/>
    <w:rsid w:val="3A483870"/>
    <w:rsid w:val="3A712BA9"/>
    <w:rsid w:val="3A8D5509"/>
    <w:rsid w:val="3A971EE4"/>
    <w:rsid w:val="3ABE3914"/>
    <w:rsid w:val="3AC10CF0"/>
    <w:rsid w:val="3AE57A8F"/>
    <w:rsid w:val="3B1112B0"/>
    <w:rsid w:val="3B2A348B"/>
    <w:rsid w:val="3B5E746C"/>
    <w:rsid w:val="3BCC2061"/>
    <w:rsid w:val="3C6F1609"/>
    <w:rsid w:val="3CCA77EC"/>
    <w:rsid w:val="3CD839E0"/>
    <w:rsid w:val="3D000214"/>
    <w:rsid w:val="3D2327C4"/>
    <w:rsid w:val="3D7F110E"/>
    <w:rsid w:val="3D8B68BD"/>
    <w:rsid w:val="3DA037A5"/>
    <w:rsid w:val="3DF71617"/>
    <w:rsid w:val="3DFF1504"/>
    <w:rsid w:val="3E0C2BE9"/>
    <w:rsid w:val="3E10723D"/>
    <w:rsid w:val="3E6C3C86"/>
    <w:rsid w:val="3E720C9E"/>
    <w:rsid w:val="3E725142"/>
    <w:rsid w:val="3EDC6A5F"/>
    <w:rsid w:val="3F400D9C"/>
    <w:rsid w:val="3F651E10"/>
    <w:rsid w:val="3FBB0422"/>
    <w:rsid w:val="3FDC1609"/>
    <w:rsid w:val="40585B1F"/>
    <w:rsid w:val="40A610D2"/>
    <w:rsid w:val="41067DC3"/>
    <w:rsid w:val="41C76417"/>
    <w:rsid w:val="421D3C7F"/>
    <w:rsid w:val="423157A6"/>
    <w:rsid w:val="428B3D82"/>
    <w:rsid w:val="42AB7679"/>
    <w:rsid w:val="42D60DEB"/>
    <w:rsid w:val="42F933B2"/>
    <w:rsid w:val="43340C18"/>
    <w:rsid w:val="43CC70A2"/>
    <w:rsid w:val="43DB72E5"/>
    <w:rsid w:val="43E73EDC"/>
    <w:rsid w:val="440F4D94"/>
    <w:rsid w:val="44121234"/>
    <w:rsid w:val="441A605F"/>
    <w:rsid w:val="444A6219"/>
    <w:rsid w:val="4496320C"/>
    <w:rsid w:val="44FB36BB"/>
    <w:rsid w:val="44FF5255"/>
    <w:rsid w:val="45132EF4"/>
    <w:rsid w:val="453749EF"/>
    <w:rsid w:val="4545710C"/>
    <w:rsid w:val="45602117"/>
    <w:rsid w:val="4571765C"/>
    <w:rsid w:val="457C2402"/>
    <w:rsid w:val="45857508"/>
    <w:rsid w:val="45E961FB"/>
    <w:rsid w:val="46501639"/>
    <w:rsid w:val="465B64BB"/>
    <w:rsid w:val="465F41FD"/>
    <w:rsid w:val="472E3BD0"/>
    <w:rsid w:val="474318BA"/>
    <w:rsid w:val="47767A51"/>
    <w:rsid w:val="47DC16A5"/>
    <w:rsid w:val="48287183"/>
    <w:rsid w:val="48351379"/>
    <w:rsid w:val="484E463E"/>
    <w:rsid w:val="48A936DC"/>
    <w:rsid w:val="491938C4"/>
    <w:rsid w:val="49335641"/>
    <w:rsid w:val="49560276"/>
    <w:rsid w:val="49830A4D"/>
    <w:rsid w:val="4A484FA8"/>
    <w:rsid w:val="4A8A076F"/>
    <w:rsid w:val="4AB80380"/>
    <w:rsid w:val="4B78366B"/>
    <w:rsid w:val="4B8A2C90"/>
    <w:rsid w:val="4B9E1324"/>
    <w:rsid w:val="4BD531A1"/>
    <w:rsid w:val="4BE60F1D"/>
    <w:rsid w:val="4C2D08FA"/>
    <w:rsid w:val="4C3857CB"/>
    <w:rsid w:val="4C65665F"/>
    <w:rsid w:val="4C96649F"/>
    <w:rsid w:val="4CC10091"/>
    <w:rsid w:val="4CE657A0"/>
    <w:rsid w:val="4D043409"/>
    <w:rsid w:val="4D1A0E7E"/>
    <w:rsid w:val="4D551EB6"/>
    <w:rsid w:val="4DA1334D"/>
    <w:rsid w:val="4DDE110F"/>
    <w:rsid w:val="4DF27705"/>
    <w:rsid w:val="4E173610"/>
    <w:rsid w:val="4E21623C"/>
    <w:rsid w:val="4E7B3BF3"/>
    <w:rsid w:val="4EDF35D4"/>
    <w:rsid w:val="4F2C6C47"/>
    <w:rsid w:val="4F522371"/>
    <w:rsid w:val="4F625F52"/>
    <w:rsid w:val="4FA12577"/>
    <w:rsid w:val="4FA1515E"/>
    <w:rsid w:val="4FE15C83"/>
    <w:rsid w:val="50271928"/>
    <w:rsid w:val="502838B2"/>
    <w:rsid w:val="502F586C"/>
    <w:rsid w:val="5052092F"/>
    <w:rsid w:val="506A143A"/>
    <w:rsid w:val="509C604E"/>
    <w:rsid w:val="50C07F8E"/>
    <w:rsid w:val="510E11AC"/>
    <w:rsid w:val="517D19DC"/>
    <w:rsid w:val="51A90A23"/>
    <w:rsid w:val="51AB479B"/>
    <w:rsid w:val="51BA49DE"/>
    <w:rsid w:val="51EE0B2B"/>
    <w:rsid w:val="539574B0"/>
    <w:rsid w:val="547F3CBD"/>
    <w:rsid w:val="54A379AB"/>
    <w:rsid w:val="54F616B0"/>
    <w:rsid w:val="551A0328"/>
    <w:rsid w:val="5523352E"/>
    <w:rsid w:val="55912550"/>
    <w:rsid w:val="55E069DD"/>
    <w:rsid w:val="564C5E20"/>
    <w:rsid w:val="56586573"/>
    <w:rsid w:val="565F3DA6"/>
    <w:rsid w:val="567468E6"/>
    <w:rsid w:val="5683704F"/>
    <w:rsid w:val="56981066"/>
    <w:rsid w:val="56A874FB"/>
    <w:rsid w:val="56EB2722"/>
    <w:rsid w:val="57D3727A"/>
    <w:rsid w:val="58133B49"/>
    <w:rsid w:val="581666E6"/>
    <w:rsid w:val="58444517"/>
    <w:rsid w:val="58466FA3"/>
    <w:rsid w:val="589C308F"/>
    <w:rsid w:val="58D81BED"/>
    <w:rsid w:val="590B0FBC"/>
    <w:rsid w:val="5987789B"/>
    <w:rsid w:val="59B95D94"/>
    <w:rsid w:val="5AB50438"/>
    <w:rsid w:val="5AB972A9"/>
    <w:rsid w:val="5AC41FE9"/>
    <w:rsid w:val="5B697EEF"/>
    <w:rsid w:val="5B8354A2"/>
    <w:rsid w:val="5BC36B85"/>
    <w:rsid w:val="5CC53758"/>
    <w:rsid w:val="5D2B5019"/>
    <w:rsid w:val="5D7002D3"/>
    <w:rsid w:val="5E062D59"/>
    <w:rsid w:val="5E2751A9"/>
    <w:rsid w:val="5E9860A7"/>
    <w:rsid w:val="5EF20DA9"/>
    <w:rsid w:val="5F37766E"/>
    <w:rsid w:val="5FFB4038"/>
    <w:rsid w:val="604D11B9"/>
    <w:rsid w:val="606103C9"/>
    <w:rsid w:val="606D7E92"/>
    <w:rsid w:val="60FE664A"/>
    <w:rsid w:val="613D2F35"/>
    <w:rsid w:val="61A86601"/>
    <w:rsid w:val="61CF3C72"/>
    <w:rsid w:val="62C47C43"/>
    <w:rsid w:val="635C3B47"/>
    <w:rsid w:val="642F4DB7"/>
    <w:rsid w:val="64A21A2D"/>
    <w:rsid w:val="6509245E"/>
    <w:rsid w:val="65230060"/>
    <w:rsid w:val="65F31E15"/>
    <w:rsid w:val="65FE70CA"/>
    <w:rsid w:val="66171FA7"/>
    <w:rsid w:val="668A2779"/>
    <w:rsid w:val="668A652A"/>
    <w:rsid w:val="66A31A8D"/>
    <w:rsid w:val="67254250"/>
    <w:rsid w:val="672E75A8"/>
    <w:rsid w:val="678436AC"/>
    <w:rsid w:val="67980EC5"/>
    <w:rsid w:val="68021003"/>
    <w:rsid w:val="680E167E"/>
    <w:rsid w:val="6873723D"/>
    <w:rsid w:val="697119CE"/>
    <w:rsid w:val="6985190F"/>
    <w:rsid w:val="699B4C9D"/>
    <w:rsid w:val="6A1F767C"/>
    <w:rsid w:val="6A246A40"/>
    <w:rsid w:val="6A334ED5"/>
    <w:rsid w:val="6A507835"/>
    <w:rsid w:val="6B6C68F1"/>
    <w:rsid w:val="6C07661A"/>
    <w:rsid w:val="6C67530A"/>
    <w:rsid w:val="6C783074"/>
    <w:rsid w:val="6CEE52C1"/>
    <w:rsid w:val="6CF325ED"/>
    <w:rsid w:val="6D7B72BF"/>
    <w:rsid w:val="6D965EA7"/>
    <w:rsid w:val="6DCF760B"/>
    <w:rsid w:val="6E2B2A93"/>
    <w:rsid w:val="6E2F7DBD"/>
    <w:rsid w:val="6E6E75D4"/>
    <w:rsid w:val="6E82642B"/>
    <w:rsid w:val="6EA934B6"/>
    <w:rsid w:val="6EAE0FCF"/>
    <w:rsid w:val="6EE24726"/>
    <w:rsid w:val="6F2A2D4B"/>
    <w:rsid w:val="6FAF3250"/>
    <w:rsid w:val="706E041E"/>
    <w:rsid w:val="709E4FFF"/>
    <w:rsid w:val="70CD6084"/>
    <w:rsid w:val="712A28CF"/>
    <w:rsid w:val="713A724C"/>
    <w:rsid w:val="71922E29"/>
    <w:rsid w:val="726C1C4A"/>
    <w:rsid w:val="72A03324"/>
    <w:rsid w:val="72EB3AA8"/>
    <w:rsid w:val="73C848E1"/>
    <w:rsid w:val="73D6524F"/>
    <w:rsid w:val="73EC4A73"/>
    <w:rsid w:val="746C0AE0"/>
    <w:rsid w:val="74D13C69"/>
    <w:rsid w:val="75266C08"/>
    <w:rsid w:val="75466405"/>
    <w:rsid w:val="75675DB8"/>
    <w:rsid w:val="75843174"/>
    <w:rsid w:val="75EB3017"/>
    <w:rsid w:val="75F714AD"/>
    <w:rsid w:val="760F0C92"/>
    <w:rsid w:val="761B163F"/>
    <w:rsid w:val="76B7003F"/>
    <w:rsid w:val="7729634A"/>
    <w:rsid w:val="776C37AC"/>
    <w:rsid w:val="77BF5FFA"/>
    <w:rsid w:val="77CB4ADD"/>
    <w:rsid w:val="78DD498A"/>
    <w:rsid w:val="78E55F35"/>
    <w:rsid w:val="794E7636"/>
    <w:rsid w:val="79607369"/>
    <w:rsid w:val="79757E4E"/>
    <w:rsid w:val="79DD1288"/>
    <w:rsid w:val="79F301DD"/>
    <w:rsid w:val="7A2A6204"/>
    <w:rsid w:val="7A654670"/>
    <w:rsid w:val="7AA30CA1"/>
    <w:rsid w:val="7AF4420D"/>
    <w:rsid w:val="7AF5326F"/>
    <w:rsid w:val="7D256A57"/>
    <w:rsid w:val="7D2F76D5"/>
    <w:rsid w:val="7D913F95"/>
    <w:rsid w:val="7DF84902"/>
    <w:rsid w:val="7E134D72"/>
    <w:rsid w:val="7E783F85"/>
    <w:rsid w:val="7E7A711F"/>
    <w:rsid w:val="7E8D57A7"/>
    <w:rsid w:val="7EC87E8B"/>
    <w:rsid w:val="7EE822DB"/>
    <w:rsid w:val="7F572178"/>
    <w:rsid w:val="7F782CD8"/>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5"/>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39"/>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7">
    <w:name w:val="heading 3"/>
    <w:basedOn w:val="1"/>
    <w:next w:val="1"/>
    <w:qFormat/>
    <w:uiPriority w:val="0"/>
    <w:pPr>
      <w:keepNext/>
      <w:keepLines/>
      <w:outlineLvl w:val="2"/>
    </w:pPr>
    <w:rPr>
      <w:kern w:val="0"/>
      <w:sz w:val="28"/>
      <w:szCs w:val="20"/>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1"/>
    <w:link w:val="37"/>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36"/>
    <w:qFormat/>
    <w:uiPriority w:val="0"/>
    <w:pPr>
      <w:spacing w:after="120" w:afterLines="0" w:afterAutospacing="0"/>
      <w:ind w:left="420" w:leftChars="200"/>
    </w:pPr>
  </w:style>
  <w:style w:type="paragraph" w:styleId="4">
    <w:name w:val="envelope return"/>
    <w:basedOn w:val="1"/>
    <w:qFormat/>
    <w:uiPriority w:val="0"/>
    <w:pPr>
      <w:snapToGrid w:val="0"/>
    </w:pPr>
    <w:rPr>
      <w:rFonts w:ascii="Arial" w:hAnsi="Arial"/>
    </w:rPr>
  </w:style>
  <w:style w:type="paragraph" w:styleId="8">
    <w:name w:val="toc 7"/>
    <w:basedOn w:val="1"/>
    <w:next w:val="1"/>
    <w:qFormat/>
    <w:uiPriority w:val="39"/>
    <w:pPr>
      <w:ind w:left="1260"/>
      <w:jc w:val="left"/>
    </w:pPr>
    <w:rPr>
      <w:sz w:val="18"/>
      <w:szCs w:val="18"/>
    </w:rPr>
  </w:style>
  <w:style w:type="paragraph" w:styleId="9">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qFormat/>
    <w:uiPriority w:val="0"/>
    <w:pPr>
      <w:jc w:val="left"/>
    </w:p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customStyle="1" w:styleId="1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next w:val="1"/>
    <w:link w:val="41"/>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8"/>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42"/>
    <w:qFormat/>
    <w:uiPriority w:val="0"/>
    <w:pPr>
      <w:tabs>
        <w:tab w:val="center" w:pos="4153"/>
        <w:tab w:val="right" w:pos="8306"/>
      </w:tabs>
      <w:snapToGrid w:val="0"/>
      <w:jc w:val="left"/>
    </w:pPr>
    <w:rPr>
      <w:sz w:val="18"/>
    </w:rPr>
  </w:style>
  <w:style w:type="paragraph" w:styleId="18">
    <w:name w:val="header"/>
    <w:basedOn w:val="1"/>
    <w:link w:val="4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39"/>
    <w:pPr>
      <w:spacing w:before="120" w:after="120"/>
      <w:jc w:val="left"/>
    </w:pPr>
    <w:rPr>
      <w:b/>
      <w:bCs/>
      <w:caps/>
      <w:sz w:val="20"/>
    </w:rPr>
  </w:style>
  <w:style w:type="paragraph" w:styleId="20">
    <w:name w:val="List"/>
    <w:basedOn w:val="1"/>
    <w:next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footnote text"/>
    <w:basedOn w:val="1"/>
    <w:semiHidden/>
    <w:unhideWhenUsed/>
    <w:qFormat/>
    <w:uiPriority w:val="99"/>
    <w:pPr>
      <w:snapToGrid w:val="0"/>
      <w:jc w:val="left"/>
    </w:pPr>
    <w:rPr>
      <w:sz w:val="18"/>
    </w:rPr>
  </w:style>
  <w:style w:type="paragraph" w:styleId="22">
    <w:name w:val="Body Text 2"/>
    <w:basedOn w:val="1"/>
    <w:qFormat/>
    <w:uiPriority w:val="0"/>
    <w:rPr>
      <w:kern w:val="0"/>
      <w:sz w:val="24"/>
    </w:r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Title"/>
    <w:basedOn w:val="1"/>
    <w:next w:val="1"/>
    <w:qFormat/>
    <w:uiPriority w:val="0"/>
    <w:pPr>
      <w:numPr>
        <w:ilvl w:val="0"/>
        <w:numId w:val="1"/>
      </w:numPr>
      <w:spacing w:line="360" w:lineRule="auto"/>
      <w:jc w:val="left"/>
      <w:outlineLvl w:val="0"/>
    </w:pPr>
    <w:rPr>
      <w:rFonts w:ascii="Cambria" w:hAnsi="Cambria" w:eastAsia="宋体" w:cs="Times New Roman"/>
      <w:b/>
      <w:bCs/>
      <w:sz w:val="28"/>
      <w:szCs w:val="32"/>
    </w:rPr>
  </w:style>
  <w:style w:type="paragraph" w:styleId="25">
    <w:name w:val="Body Text First Indent"/>
    <w:basedOn w:val="12"/>
    <w:qFormat/>
    <w:uiPriority w:val="0"/>
    <w:pPr>
      <w:adjustRightInd/>
      <w:spacing w:after="120" w:line="240" w:lineRule="auto"/>
      <w:ind w:firstLine="420" w:firstLineChars="100"/>
      <w:jc w:val="both"/>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FollowedHyperlink"/>
    <w:basedOn w:val="28"/>
    <w:qFormat/>
    <w:uiPriority w:val="0"/>
    <w:rPr>
      <w:color w:val="771CAA"/>
      <w:u w:val="none"/>
    </w:rPr>
  </w:style>
  <w:style w:type="character" w:styleId="31">
    <w:name w:val="Emphasis"/>
    <w:basedOn w:val="28"/>
    <w:qFormat/>
    <w:uiPriority w:val="0"/>
    <w:rPr>
      <w:color w:val="F73131"/>
    </w:rPr>
  </w:style>
  <w:style w:type="character" w:styleId="32">
    <w:name w:val="Hyperlink"/>
    <w:basedOn w:val="28"/>
    <w:qFormat/>
    <w:uiPriority w:val="99"/>
    <w:rPr>
      <w:color w:val="0000FF"/>
      <w:u w:val="single"/>
    </w:rPr>
  </w:style>
  <w:style w:type="character" w:styleId="33">
    <w:name w:val="HTML Cite"/>
    <w:basedOn w:val="28"/>
    <w:qFormat/>
    <w:uiPriority w:val="0"/>
    <w:rPr>
      <w:color w:val="008000"/>
    </w:rPr>
  </w:style>
  <w:style w:type="character" w:styleId="34">
    <w:name w:val="footnote reference"/>
    <w:basedOn w:val="28"/>
    <w:semiHidden/>
    <w:unhideWhenUsed/>
    <w:qFormat/>
    <w:uiPriority w:val="99"/>
    <w:rPr>
      <w:vertAlign w:val="superscript"/>
    </w:rPr>
  </w:style>
  <w:style w:type="paragraph" w:customStyle="1" w:styleId="35">
    <w:name w:val="正文文字 8"/>
    <w:basedOn w:val="1"/>
    <w:next w:val="1"/>
    <w:qFormat/>
    <w:uiPriority w:val="0"/>
    <w:pPr>
      <w:ind w:left="240"/>
    </w:pPr>
    <w:rPr>
      <w:sz w:val="16"/>
    </w:rPr>
  </w:style>
  <w:style w:type="character" w:customStyle="1" w:styleId="36">
    <w:name w:val="正文文本缩进 Char"/>
    <w:basedOn w:val="28"/>
    <w:link w:val="3"/>
    <w:qFormat/>
    <w:uiPriority w:val="0"/>
    <w:rPr>
      <w:rFonts w:hint="default" w:ascii="Times New Roman" w:hAnsi="Times New Roman" w:eastAsia="宋体" w:cs="Times New Roman"/>
      <w:color w:val="000000"/>
      <w:kern w:val="0"/>
      <w:szCs w:val="21"/>
      <w:u w:color="000000"/>
    </w:rPr>
  </w:style>
  <w:style w:type="character" w:customStyle="1" w:styleId="37">
    <w:name w:val="正文首行缩进 2 Char"/>
    <w:basedOn w:val="36"/>
    <w:link w:val="2"/>
    <w:qFormat/>
    <w:uiPriority w:val="0"/>
    <w:rPr>
      <w:rFonts w:hint="default" w:ascii="Times New Roman" w:hAnsi="Times New Roman" w:eastAsia="宋体" w:cs="Times New Roman"/>
      <w:color w:val="000000"/>
      <w:kern w:val="0"/>
      <w:szCs w:val="21"/>
      <w:u w:color="000000"/>
    </w:rPr>
  </w:style>
  <w:style w:type="character" w:customStyle="1" w:styleId="38">
    <w:name w:val="日期 Char"/>
    <w:basedOn w:val="28"/>
    <w:link w:val="16"/>
    <w:qFormat/>
    <w:uiPriority w:val="0"/>
    <w:rPr>
      <w:rFonts w:ascii="Arial" w:hAnsi="Arial" w:eastAsia="仿宋_GB2312" w:cs="Arial"/>
      <w:color w:val="000000"/>
      <w:sz w:val="32"/>
      <w:szCs w:val="32"/>
      <w:u w:color="000000"/>
    </w:rPr>
  </w:style>
  <w:style w:type="character" w:customStyle="1" w:styleId="39">
    <w:name w:val="标题 2 Char"/>
    <w:basedOn w:val="28"/>
    <w:link w:val="6"/>
    <w:qFormat/>
    <w:uiPriority w:val="0"/>
    <w:rPr>
      <w:rFonts w:hint="default" w:ascii="Times New Roman" w:hAnsi="Times New Roman" w:eastAsia="宋体" w:cs="Times New Roman"/>
      <w:kern w:val="0"/>
      <w:sz w:val="24"/>
      <w:szCs w:val="24"/>
    </w:rPr>
  </w:style>
  <w:style w:type="character" w:customStyle="1" w:styleId="40">
    <w:name w:val="页眉 Char"/>
    <w:basedOn w:val="28"/>
    <w:link w:val="18"/>
    <w:qFormat/>
    <w:uiPriority w:val="0"/>
    <w:rPr>
      <w:rFonts w:hint="default" w:ascii="Times New Roman" w:hAnsi="Times New Roman" w:eastAsia="宋体" w:cs="Times New Roman"/>
      <w:color w:val="000000"/>
      <w:kern w:val="0"/>
      <w:sz w:val="18"/>
      <w:szCs w:val="18"/>
      <w:u w:color="000000"/>
    </w:rPr>
  </w:style>
  <w:style w:type="character" w:customStyle="1" w:styleId="41">
    <w:name w:val="纯文本 Char"/>
    <w:basedOn w:val="28"/>
    <w:link w:val="15"/>
    <w:qFormat/>
    <w:uiPriority w:val="0"/>
    <w:rPr>
      <w:rFonts w:hint="eastAsia" w:ascii="宋体" w:hAnsi="宋体" w:eastAsia="宋体" w:cs="宋体"/>
      <w:szCs w:val="21"/>
    </w:rPr>
  </w:style>
  <w:style w:type="character" w:customStyle="1" w:styleId="42">
    <w:name w:val="页脚 Char"/>
    <w:basedOn w:val="28"/>
    <w:link w:val="17"/>
    <w:qFormat/>
    <w:uiPriority w:val="0"/>
    <w:rPr>
      <w:rFonts w:hint="default" w:ascii="Times New Roman" w:hAnsi="Times New Roman" w:eastAsia="宋体" w:cs="Times New Roman"/>
      <w:color w:val="000000"/>
      <w:kern w:val="0"/>
      <w:sz w:val="18"/>
      <w:szCs w:val="18"/>
      <w:u w:color="000000"/>
    </w:rPr>
  </w:style>
  <w:style w:type="paragraph" w:customStyle="1" w:styleId="43">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4">
    <w:name w:val="List Paragraph"/>
    <w:basedOn w:val="1"/>
    <w:qFormat/>
    <w:uiPriority w:val="0"/>
    <w:pPr>
      <w:widowControl w:val="0"/>
      <w:spacing w:line="240" w:lineRule="auto"/>
      <w:ind w:firstLine="200" w:firstLineChars="200"/>
      <w:textAlignment w:val="auto"/>
    </w:pPr>
    <w:rPr>
      <w:u w:val="none" w:color="000000"/>
    </w:rPr>
  </w:style>
  <w:style w:type="character" w:customStyle="1" w:styleId="45">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6">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7">
    <w:name w:val="font51"/>
    <w:basedOn w:val="28"/>
    <w:qFormat/>
    <w:uiPriority w:val="0"/>
    <w:rPr>
      <w:rFonts w:hint="eastAsia" w:ascii="宋体" w:hAnsi="宋体" w:eastAsia="宋体" w:cs="宋体"/>
      <w:color w:val="000000"/>
      <w:sz w:val="22"/>
      <w:szCs w:val="22"/>
      <w:u w:val="none"/>
    </w:rPr>
  </w:style>
  <w:style w:type="character" w:customStyle="1" w:styleId="48">
    <w:name w:val="font31"/>
    <w:basedOn w:val="28"/>
    <w:qFormat/>
    <w:uiPriority w:val="0"/>
    <w:rPr>
      <w:rFonts w:hint="default" w:ascii="Times New Roman" w:hAnsi="Times New Roman" w:cs="Times New Roman"/>
      <w:color w:val="000000"/>
      <w:sz w:val="22"/>
      <w:szCs w:val="22"/>
      <w:u w:val="none"/>
    </w:rPr>
  </w:style>
  <w:style w:type="character" w:customStyle="1" w:styleId="49">
    <w:name w:val="font61"/>
    <w:basedOn w:val="28"/>
    <w:qFormat/>
    <w:uiPriority w:val="0"/>
    <w:rPr>
      <w:rFonts w:hint="default" w:ascii="Times New Roman" w:hAnsi="Times New Roman" w:cs="Times New Roman"/>
      <w:color w:val="000000"/>
      <w:sz w:val="21"/>
      <w:szCs w:val="21"/>
      <w:u w:val="none"/>
    </w:rPr>
  </w:style>
  <w:style w:type="character" w:customStyle="1" w:styleId="50">
    <w:name w:val="font71"/>
    <w:basedOn w:val="28"/>
    <w:qFormat/>
    <w:uiPriority w:val="0"/>
    <w:rPr>
      <w:rFonts w:hint="eastAsia" w:ascii="宋体" w:hAnsi="宋体" w:eastAsia="宋体" w:cs="宋体"/>
      <w:color w:val="000000"/>
      <w:sz w:val="21"/>
      <w:szCs w:val="21"/>
      <w:u w:val="none"/>
    </w:rPr>
  </w:style>
  <w:style w:type="character" w:customStyle="1" w:styleId="51">
    <w:name w:val="font01"/>
    <w:basedOn w:val="28"/>
    <w:qFormat/>
    <w:uiPriority w:val="0"/>
    <w:rPr>
      <w:rFonts w:hint="eastAsia" w:ascii="宋体" w:hAnsi="宋体" w:eastAsia="宋体" w:cs="宋体"/>
      <w:color w:val="000000"/>
      <w:sz w:val="22"/>
      <w:szCs w:val="22"/>
      <w:u w:val="none"/>
    </w:rPr>
  </w:style>
  <w:style w:type="character" w:customStyle="1" w:styleId="52">
    <w:name w:val="font11"/>
    <w:basedOn w:val="28"/>
    <w:qFormat/>
    <w:uiPriority w:val="0"/>
    <w:rPr>
      <w:rFonts w:hint="eastAsia" w:ascii="宋体" w:hAnsi="宋体" w:eastAsia="宋体" w:cs="宋体"/>
      <w:color w:val="000000"/>
      <w:sz w:val="21"/>
      <w:szCs w:val="21"/>
      <w:u w:val="none"/>
    </w:rPr>
  </w:style>
  <w:style w:type="character" w:customStyle="1" w:styleId="53">
    <w:name w:val="font41"/>
    <w:basedOn w:val="28"/>
    <w:qFormat/>
    <w:uiPriority w:val="0"/>
    <w:rPr>
      <w:rFonts w:hint="default" w:ascii="Times New Roman" w:hAnsi="Times New Roman" w:cs="Times New Roman"/>
      <w:color w:val="000000"/>
      <w:sz w:val="22"/>
      <w:szCs w:val="22"/>
      <w:u w:val="none"/>
    </w:rPr>
  </w:style>
  <w:style w:type="paragraph" w:customStyle="1" w:styleId="54">
    <w:name w:val="二级标题"/>
    <w:basedOn w:val="1"/>
    <w:next w:val="1"/>
    <w:qFormat/>
    <w:uiPriority w:val="0"/>
    <w:rPr>
      <w:rFonts w:hint="eastAsia" w:eastAsia="楷体"/>
    </w:rPr>
  </w:style>
  <w:style w:type="paragraph" w:customStyle="1" w:styleId="55">
    <w:name w:val="首行缩进"/>
    <w:basedOn w:val="1"/>
    <w:qFormat/>
    <w:uiPriority w:val="0"/>
    <w:pPr>
      <w:ind w:firstLine="480" w:firstLineChars="200"/>
    </w:pPr>
    <w:rPr>
      <w:rFonts w:eastAsia="楷体_GB2312"/>
      <w:lang w:val="zh-CN"/>
    </w:rPr>
  </w:style>
  <w:style w:type="character" w:customStyle="1" w:styleId="56">
    <w:name w:val="c-icon28"/>
    <w:basedOn w:val="28"/>
    <w:qFormat/>
    <w:uiPriority w:val="0"/>
  </w:style>
  <w:style w:type="character" w:customStyle="1" w:styleId="57">
    <w:name w:val="hover26"/>
    <w:basedOn w:val="28"/>
    <w:qFormat/>
    <w:uiPriority w:val="0"/>
    <w:rPr>
      <w:color w:val="315EFB"/>
      <w:shd w:val="clear" w:fill="F0F3FD"/>
    </w:rPr>
  </w:style>
  <w:style w:type="character" w:customStyle="1" w:styleId="58">
    <w:name w:val="hover27"/>
    <w:basedOn w:val="28"/>
    <w:qFormat/>
    <w:uiPriority w:val="0"/>
    <w:rPr>
      <w:color w:val="315EFB"/>
    </w:rPr>
  </w:style>
  <w:style w:type="character" w:customStyle="1" w:styleId="59">
    <w:name w:val="hover28"/>
    <w:basedOn w:val="28"/>
    <w:qFormat/>
    <w:uiPriority w:val="0"/>
  </w:style>
  <w:style w:type="character" w:customStyle="1" w:styleId="60">
    <w:name w:val="hover29"/>
    <w:basedOn w:val="28"/>
    <w:qFormat/>
    <w:uiPriority w:val="0"/>
    <w:rPr>
      <w:color w:val="315EFB"/>
    </w:rPr>
  </w:style>
  <w:style w:type="paragraph" w:customStyle="1" w:styleId="61">
    <w:name w:val="xl25"/>
    <w:basedOn w:val="1"/>
    <w:qFormat/>
    <w:uiPriority w:val="0"/>
    <w:pPr>
      <w:widowControl/>
      <w:spacing w:before="100" w:beforeLines="0" w:beforeAutospacing="1" w:after="100" w:afterLines="0" w:afterAutospacing="1"/>
      <w:jc w:val="right"/>
    </w:pPr>
    <w:rPr>
      <w:rFonts w:ascii="Arial Unicode MS" w:hAnsi="Arial Unicode MS" w:eastAsia="宋体" w:cs="Arial Unicode MS"/>
      <w:color w:val="000000"/>
      <w:kern w:val="0"/>
      <w:sz w:val="18"/>
      <w:szCs w:val="18"/>
    </w:rPr>
  </w:style>
  <w:style w:type="paragraph" w:customStyle="1" w:styleId="62">
    <w:name w:val="Table Text"/>
    <w:basedOn w:val="1"/>
    <w:qFormat/>
    <w:uiPriority w:val="0"/>
    <w:rPr>
      <w:rFonts w:ascii="宋体" w:hAnsi="宋体" w:eastAsia="宋体" w:cs="宋体"/>
      <w:sz w:val="21"/>
      <w:szCs w:val="21"/>
      <w:lang w:val="en-US" w:eastAsia="en-US"/>
    </w:rPr>
  </w:style>
  <w:style w:type="paragraph" w:customStyle="1" w:styleId="63">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15610</Words>
  <Characters>16468</Characters>
  <Lines>1</Lines>
  <Paragraphs>1</Paragraphs>
  <TotalTime>2</TotalTime>
  <ScaleCrop>false</ScaleCrop>
  <LinksUpToDate>false</LinksUpToDate>
  <CharactersWithSpaces>17148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WPS_1635819670</cp:lastModifiedBy>
  <cp:lastPrinted>2022-04-11T07:26:00Z</cp:lastPrinted>
  <dcterms:modified xsi:type="dcterms:W3CDTF">2025-03-14T01:04:35Z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6D9A791FE09F4AF69DC46F4A104A7358</vt:lpwstr>
  </property>
  <property fmtid="{D5CDD505-2E9C-101B-9397-08002B2CF9AE}" pid="4" name="KSOTemplateDocerSaveRecord">
    <vt:lpwstr>eyJoZGlkIjoiZTg3YjY4NDJhNzM5MTIyNGQ3NTA2NTQ1MGU4MDk2YjMiLCJ1c2VySWQiOiIxMjg0OTQyMzI4In0=</vt:lpwstr>
  </property>
</Properties>
</file>