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E1EB4">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7E338DF9">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62F0AB1E">
      <w:pPr>
        <w:keepNext w:val="0"/>
        <w:keepLines w:val="0"/>
        <w:widowControl/>
        <w:suppressLineNumbers w:val="0"/>
        <w:spacing w:before="0" w:beforeAutospacing="0" w:after="0" w:afterAutospacing="0" w:line="357" w:lineRule="atLeast"/>
        <w:ind w:left="0" w:right="0"/>
        <w:jc w:val="center"/>
        <w:rPr>
          <w:rFonts w:hint="eastAsia" w:ascii="Times New Roman" w:hAnsi="Times New Roman" w:eastAsia="宋体" w:cs="宋体"/>
          <w:b/>
          <w:bCs w:val="0"/>
          <w:color w:val="auto"/>
          <w:kern w:val="0"/>
          <w:sz w:val="48"/>
          <w:szCs w:val="28"/>
          <w:highlight w:val="none"/>
          <w:u w:color="000000"/>
          <w:lang w:val="en-US" w:eastAsia="zh-CN" w:bidi="ar"/>
        </w:rPr>
      </w:pPr>
      <w:r>
        <w:rPr>
          <w:rFonts w:hint="eastAsia" w:ascii="Times New Roman" w:hAnsi="Times New Roman" w:eastAsia="宋体" w:cs="宋体"/>
          <w:b/>
          <w:bCs w:val="0"/>
          <w:color w:val="auto"/>
          <w:kern w:val="0"/>
          <w:sz w:val="40"/>
          <w:szCs w:val="22"/>
          <w:highlight w:val="none"/>
          <w:u w:color="000000"/>
          <w:lang w:val="en-US" w:eastAsia="zh-CN" w:bidi="ar"/>
        </w:rPr>
        <w:t>2025年琅琊山森林漂流皮划艇采购项目（二次）</w:t>
      </w:r>
    </w:p>
    <w:p w14:paraId="57185E4E">
      <w:pPr>
        <w:pStyle w:val="2"/>
        <w:rPr>
          <w:rFonts w:hint="eastAsia" w:ascii="Times New Roman" w:hAnsi="Times New Roman" w:eastAsia="宋体" w:cs="宋体"/>
          <w:b/>
          <w:bCs w:val="0"/>
          <w:color w:val="auto"/>
          <w:kern w:val="0"/>
          <w:sz w:val="48"/>
          <w:szCs w:val="28"/>
          <w:highlight w:val="none"/>
          <w:u w:color="000000"/>
          <w:lang w:val="en-US" w:eastAsia="zh-CN" w:bidi="ar"/>
        </w:rPr>
      </w:pPr>
    </w:p>
    <w:p w14:paraId="506B3CBC">
      <w:pPr>
        <w:rPr>
          <w:rFonts w:hint="eastAsia" w:ascii="Times New Roman" w:hAnsi="Times New Roman" w:eastAsia="宋体" w:cs="宋体"/>
          <w:b/>
          <w:bCs w:val="0"/>
          <w:color w:val="auto"/>
          <w:kern w:val="0"/>
          <w:sz w:val="48"/>
          <w:szCs w:val="28"/>
          <w:highlight w:val="none"/>
          <w:u w:color="000000"/>
          <w:lang w:val="en-US" w:eastAsia="zh-CN" w:bidi="ar"/>
        </w:rPr>
      </w:pPr>
    </w:p>
    <w:p w14:paraId="50222207">
      <w:pPr>
        <w:pStyle w:val="2"/>
        <w:rPr>
          <w:rFonts w:hint="eastAsia" w:ascii="Times New Roman" w:hAnsi="Times New Roman" w:eastAsia="宋体" w:cs="宋体"/>
          <w:b/>
          <w:bCs w:val="0"/>
          <w:color w:val="auto"/>
          <w:kern w:val="0"/>
          <w:sz w:val="48"/>
          <w:szCs w:val="28"/>
          <w:highlight w:val="none"/>
          <w:u w:color="000000"/>
          <w:lang w:val="en-US" w:eastAsia="zh-CN" w:bidi="ar"/>
        </w:rPr>
      </w:pPr>
    </w:p>
    <w:p w14:paraId="1DF999BC">
      <w:pPr>
        <w:rPr>
          <w:rFonts w:hint="eastAsia"/>
          <w:lang w:val="en-US" w:eastAsia="zh-CN"/>
        </w:rPr>
      </w:pPr>
    </w:p>
    <w:p w14:paraId="36DEEA4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3499E2C3">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72992EE1">
      <w:pPr>
        <w:pStyle w:val="20"/>
        <w:widowControl/>
        <w:rPr>
          <w:highlight w:val="none"/>
          <w:lang w:val="en-US"/>
        </w:rPr>
      </w:pPr>
      <w:r>
        <w:rPr>
          <w:highlight w:val="none"/>
          <w:lang w:val="en-US"/>
        </w:rPr>
        <w:t xml:space="preserve"> </w:t>
      </w:r>
    </w:p>
    <w:p w14:paraId="54FE8A9F">
      <w:pPr>
        <w:pStyle w:val="20"/>
        <w:widowControl/>
        <w:rPr>
          <w:highlight w:val="none"/>
          <w:lang w:val="en-US"/>
        </w:rPr>
      </w:pPr>
      <w:r>
        <w:rPr>
          <w:highlight w:val="none"/>
          <w:lang w:val="en-US"/>
        </w:rPr>
        <w:t xml:space="preserve"> </w:t>
      </w:r>
    </w:p>
    <w:p w14:paraId="2363519A">
      <w:pPr>
        <w:pStyle w:val="20"/>
        <w:widowControl/>
        <w:rPr>
          <w:highlight w:val="none"/>
          <w:lang w:val="en-US"/>
        </w:rPr>
      </w:pPr>
      <w:r>
        <w:rPr>
          <w:highlight w:val="none"/>
          <w:lang w:val="en-US"/>
        </w:rPr>
        <w:t xml:space="preserve"> </w:t>
      </w:r>
    </w:p>
    <w:p w14:paraId="28FDA4BE">
      <w:pPr>
        <w:pStyle w:val="20"/>
        <w:widowControl/>
        <w:rPr>
          <w:rFonts w:hint="default" w:eastAsia="宋体"/>
          <w:b/>
          <w:bCs/>
          <w:color w:val="auto"/>
          <w:sz w:val="30"/>
          <w:szCs w:val="30"/>
          <w:highlight w:val="none"/>
          <w:lang w:val="en-US" w:eastAsia="zh-CN"/>
        </w:rPr>
      </w:pPr>
      <w:r>
        <w:rPr>
          <w:highlight w:val="none"/>
          <w:lang w:val="en-US"/>
        </w:rPr>
        <w:t xml:space="preserve"> </w:t>
      </w:r>
    </w:p>
    <w:p w14:paraId="221D8FBD">
      <w:pPr>
        <w:spacing w:line="800" w:lineRule="exact"/>
        <w:jc w:val="center"/>
        <w:rPr>
          <w:rFonts w:hint="eastAsia" w:ascii="宋体"/>
          <w:b/>
          <w:color w:val="auto"/>
          <w:sz w:val="32"/>
          <w:szCs w:val="32"/>
          <w:highlight w:val="none"/>
        </w:rPr>
      </w:pPr>
      <w:r>
        <w:rPr>
          <w:rFonts w:hint="eastAsia" w:ascii="宋体"/>
          <w:b/>
          <w:color w:val="auto"/>
          <w:sz w:val="32"/>
          <w:szCs w:val="32"/>
          <w:highlight w:val="none"/>
          <w:lang w:val="en-US" w:eastAsia="zh-CN"/>
        </w:rPr>
        <w:t>招标人</w:t>
      </w:r>
      <w:r>
        <w:rPr>
          <w:rFonts w:hint="eastAsia" w:ascii="宋体"/>
          <w:b/>
          <w:color w:val="auto"/>
          <w:sz w:val="32"/>
          <w:szCs w:val="32"/>
          <w:highlight w:val="none"/>
        </w:rPr>
        <w:t>：</w:t>
      </w:r>
      <w:r>
        <w:rPr>
          <w:rFonts w:hint="eastAsia" w:ascii="宋体" w:hAnsi="宋体" w:eastAsia="宋体" w:cs="宋体"/>
          <w:b/>
          <w:bCs/>
          <w:color w:val="auto"/>
          <w:sz w:val="32"/>
          <w:szCs w:val="32"/>
          <w:highlight w:val="none"/>
          <w:u w:val="single"/>
          <w:lang w:val="en-US" w:eastAsia="zh-CN"/>
        </w:rPr>
        <w:t>安徽省琅耶山健身休闲有限公司</w:t>
      </w:r>
      <w:r>
        <w:rPr>
          <w:rFonts w:hint="eastAsia" w:ascii="宋体"/>
          <w:b/>
          <w:color w:val="auto"/>
          <w:sz w:val="32"/>
          <w:szCs w:val="32"/>
          <w:highlight w:val="none"/>
        </w:rPr>
        <w:t>（盖单位章）</w:t>
      </w:r>
    </w:p>
    <w:p w14:paraId="6C1FA942">
      <w:pPr>
        <w:spacing w:line="800" w:lineRule="exact"/>
        <w:jc w:val="center"/>
        <w:rPr>
          <w:rFonts w:hint="eastAsia" w:ascii="宋体"/>
          <w:b/>
          <w:color w:val="auto"/>
          <w:sz w:val="32"/>
          <w:szCs w:val="32"/>
          <w:highlight w:val="none"/>
          <w:u w:val="single"/>
        </w:rPr>
      </w:pPr>
      <w:r>
        <w:rPr>
          <w:rFonts w:hint="eastAsia" w:ascii="宋体"/>
          <w:b/>
          <w:color w:val="auto"/>
          <w:sz w:val="32"/>
          <w:szCs w:val="32"/>
          <w:highlight w:val="none"/>
        </w:rPr>
        <w:t>代理机构：</w:t>
      </w:r>
      <w:r>
        <w:rPr>
          <w:rFonts w:hint="eastAsia" w:ascii="宋体" w:hAnsi="宋体" w:cs="宋体"/>
          <w:b/>
          <w:bCs/>
          <w:color w:val="auto"/>
          <w:sz w:val="32"/>
          <w:szCs w:val="32"/>
          <w:highlight w:val="none"/>
          <w:u w:val="single"/>
          <w:lang w:eastAsia="zh-CN"/>
        </w:rPr>
        <w:t>安徽诚昇工程技术有限公司</w:t>
      </w:r>
      <w:r>
        <w:rPr>
          <w:rFonts w:hint="eastAsia" w:ascii="宋体"/>
          <w:b/>
          <w:color w:val="auto"/>
          <w:sz w:val="32"/>
          <w:szCs w:val="32"/>
          <w:highlight w:val="none"/>
        </w:rPr>
        <w:t>（盖单位章）</w:t>
      </w:r>
    </w:p>
    <w:p w14:paraId="460B7FF1">
      <w:pPr>
        <w:spacing w:line="800" w:lineRule="exact"/>
        <w:jc w:val="center"/>
        <w:rPr>
          <w:rFonts w:hint="default" w:ascii="宋体" w:eastAsia="宋体"/>
          <w:b/>
          <w:color w:val="auto"/>
          <w:sz w:val="32"/>
          <w:szCs w:val="32"/>
          <w:highlight w:val="none"/>
          <w:lang w:val="en-US" w:eastAsia="zh-CN"/>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5</w:t>
      </w:r>
      <w:r>
        <w:rPr>
          <w:rFonts w:hint="eastAsia" w:ascii="宋体"/>
          <w:b/>
          <w:color w:val="auto"/>
          <w:sz w:val="32"/>
          <w:szCs w:val="32"/>
          <w:highlight w:val="none"/>
        </w:rPr>
        <w:t>年</w:t>
      </w:r>
      <w:r>
        <w:rPr>
          <w:rFonts w:hint="eastAsia" w:ascii="宋体"/>
          <w:b/>
          <w:color w:val="auto"/>
          <w:sz w:val="32"/>
          <w:szCs w:val="32"/>
          <w:highlight w:val="none"/>
          <w:u w:val="single"/>
          <w:lang w:val="en-US" w:eastAsia="zh-CN"/>
        </w:rPr>
        <w:t>3</w:t>
      </w:r>
      <w:r>
        <w:rPr>
          <w:rFonts w:hint="eastAsia" w:ascii="宋体"/>
          <w:b/>
          <w:color w:val="auto"/>
          <w:sz w:val="32"/>
          <w:szCs w:val="32"/>
          <w:highlight w:val="none"/>
        </w:rPr>
        <w:t>月</w:t>
      </w:r>
    </w:p>
    <w:p w14:paraId="1403BA71">
      <w:pPr>
        <w:pStyle w:val="2"/>
        <w:widowControl/>
        <w:spacing w:before="0" w:beforeAutospacing="0" w:after="120" w:afterAutospacing="0"/>
        <w:ind w:left="0" w:leftChars="0" w:right="0" w:firstLine="0" w:firstLineChars="0"/>
        <w:rPr>
          <w:rFonts w:hint="eastAsia" w:ascii="宋体" w:hAnsi="宋体" w:eastAsia="宋体" w:cs="宋体"/>
          <w:b/>
          <w:bCs w:val="0"/>
          <w:color w:val="000000"/>
          <w:kern w:val="0"/>
          <w:sz w:val="36"/>
          <w:szCs w:val="36"/>
          <w:highlight w:val="none"/>
          <w:u w:color="000000"/>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14:paraId="56D422AC">
      <w:pPr>
        <w:pStyle w:val="2"/>
        <w:rPr>
          <w:rFonts w:hint="eastAsia"/>
          <w:lang w:val="en-US" w:eastAsia="zh-CN"/>
        </w:rPr>
      </w:pPr>
    </w:p>
    <w:p w14:paraId="5D00FED6">
      <w:pPr>
        <w:rPr>
          <w:rFonts w:hint="eastAsia" w:ascii="宋体" w:hAnsi="宋体" w:eastAsia="宋体" w:cs="宋体"/>
          <w:b/>
          <w:bCs w:val="0"/>
          <w:color w:val="000000"/>
          <w:kern w:val="0"/>
          <w:sz w:val="36"/>
          <w:szCs w:val="36"/>
          <w:highlight w:val="none"/>
          <w:u w:color="000000"/>
          <w:lang w:val="en-US" w:eastAsia="zh-CN" w:bidi="ar"/>
        </w:rPr>
      </w:pPr>
    </w:p>
    <w:p w14:paraId="50507DEE">
      <w:pPr>
        <w:pStyle w:val="2"/>
        <w:rPr>
          <w:rFonts w:hint="eastAsia"/>
          <w:lang w:val="en-US" w:eastAsia="zh-CN"/>
        </w:rPr>
      </w:pPr>
    </w:p>
    <w:p w14:paraId="6A0BE26B">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380BCC66">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TOC \o "1-1" \h \u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_Toc4487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sz w:val="28"/>
          <w:szCs w:val="28"/>
          <w:highlight w:val="none"/>
          <w:lang w:eastAsia="zh-CN"/>
        </w:rPr>
        <w:t>第一章</w:t>
      </w:r>
      <w:r>
        <w:rPr>
          <w:rFonts w:hint="eastAsia" w:ascii="宋体" w:hAnsi="宋体" w:eastAsia="宋体" w:cs="宋体"/>
          <w:b w:val="0"/>
          <w:bCs w:val="0"/>
          <w:sz w:val="28"/>
          <w:szCs w:val="28"/>
          <w:highlight w:val="none"/>
          <w:lang w:val="en-US"/>
        </w:rPr>
        <w:t xml:space="preserve">  </w:t>
      </w:r>
      <w:r>
        <w:rPr>
          <w:rFonts w:hint="eastAsia" w:ascii="宋体" w:hAnsi="宋体" w:eastAsia="宋体" w:cs="宋体"/>
          <w:b w:val="0"/>
          <w:bCs w:val="0"/>
          <w:sz w:val="28"/>
          <w:szCs w:val="28"/>
          <w:highlight w:val="none"/>
          <w:lang w:eastAsia="zh-CN"/>
        </w:rPr>
        <w:t>招标公告</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_Toc4487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1</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14:paraId="2593BE52">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_Toc23335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kern w:val="0"/>
          <w:sz w:val="28"/>
          <w:szCs w:val="28"/>
          <w:highlight w:val="none"/>
          <w:lang w:val="en-US" w:eastAsia="zh-CN" w:bidi="ar"/>
        </w:rPr>
        <w:t>第二章  投标人须知</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_Toc23335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3</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14:paraId="058D9B8D">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_Toc29327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kern w:val="44"/>
          <w:sz w:val="28"/>
          <w:szCs w:val="28"/>
          <w:highlight w:val="none"/>
          <w:lang w:val="en-US" w:eastAsia="zh-CN" w:bidi="ar"/>
        </w:rPr>
        <w:t>第三章  评标办法</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_Toc29327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15</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14:paraId="55C0B7F4">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_Toc10480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sz w:val="28"/>
          <w:szCs w:val="28"/>
          <w:highlight w:val="none"/>
        </w:rPr>
        <w:t>第</w:t>
      </w:r>
      <w:r>
        <w:rPr>
          <w:rFonts w:hint="eastAsia" w:ascii="宋体" w:hAnsi="宋体" w:eastAsia="宋体" w:cs="宋体"/>
          <w:b w:val="0"/>
          <w:bCs w:val="0"/>
          <w:sz w:val="28"/>
          <w:szCs w:val="28"/>
          <w:highlight w:val="none"/>
          <w:lang w:val="en-US" w:eastAsia="zh-CN"/>
        </w:rPr>
        <w:t>四</w:t>
      </w:r>
      <w:r>
        <w:rPr>
          <w:rFonts w:hint="eastAsia" w:ascii="宋体" w:hAnsi="宋体" w:eastAsia="宋体" w:cs="宋体"/>
          <w:b w:val="0"/>
          <w:bCs w:val="0"/>
          <w:sz w:val="28"/>
          <w:szCs w:val="28"/>
          <w:highlight w:val="none"/>
        </w:rPr>
        <w:t xml:space="preserve">章  </w:t>
      </w:r>
      <w:r>
        <w:rPr>
          <w:rFonts w:hint="eastAsia" w:ascii="宋体" w:hAnsi="宋体" w:eastAsia="宋体" w:cs="宋体"/>
          <w:b w:val="0"/>
          <w:bCs w:val="0"/>
          <w:sz w:val="28"/>
          <w:szCs w:val="28"/>
          <w:highlight w:val="none"/>
          <w:lang w:eastAsia="zh-CN"/>
        </w:rPr>
        <w:t>采购需求</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_Toc10480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22</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14:paraId="0AF3D291">
      <w:pPr>
        <w:pStyle w:val="19"/>
        <w:tabs>
          <w:tab w:val="right" w:leader="dot" w:pos="8306"/>
        </w:tabs>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_Toc17330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kern w:val="2"/>
          <w:sz w:val="28"/>
          <w:szCs w:val="28"/>
          <w:highlight w:val="none"/>
          <w:lang w:val="en-US" w:eastAsia="zh-CN" w:bidi="ar-SA"/>
        </w:rPr>
        <w:t>第五章  合同条款及格式</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lang w:val="en-US" w:eastAsia="zh-CN"/>
        </w:rPr>
        <w:t>2</w:t>
      </w:r>
      <w:r>
        <w:rPr>
          <w:rFonts w:hint="eastAsia" w:ascii="宋体" w:hAnsi="宋体" w:eastAsia="宋体" w:cs="宋体"/>
          <w:b w:val="0"/>
          <w:bCs w:val="0"/>
          <w:sz w:val="28"/>
          <w:szCs w:val="28"/>
          <w:highlight w:val="none"/>
          <w:lang w:val="en-US"/>
        </w:rPr>
        <w:fldChar w:fldCharType="end"/>
      </w:r>
      <w:r>
        <w:rPr>
          <w:rFonts w:hint="eastAsia" w:ascii="宋体" w:hAnsi="宋体" w:eastAsia="宋体" w:cs="宋体"/>
          <w:b w:val="0"/>
          <w:bCs w:val="0"/>
          <w:sz w:val="28"/>
          <w:szCs w:val="28"/>
          <w:highlight w:val="none"/>
          <w:lang w:val="en-US" w:eastAsia="zh-CN"/>
        </w:rPr>
        <w:t>5</w:t>
      </w:r>
    </w:p>
    <w:p w14:paraId="58EEB36A">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_Toc24238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kern w:val="2"/>
          <w:sz w:val="28"/>
          <w:szCs w:val="28"/>
          <w:highlight w:val="none"/>
          <w:lang w:val="en-US" w:eastAsia="zh-CN" w:bidi="ar"/>
        </w:rPr>
        <w:t>第六章  投标文件格式</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_Toc24238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3</w:t>
      </w:r>
      <w:r>
        <w:rPr>
          <w:rFonts w:hint="eastAsia" w:ascii="宋体" w:hAnsi="宋体" w:eastAsia="宋体" w:cs="宋体"/>
          <w:b w:val="0"/>
          <w:bCs w:val="0"/>
          <w:sz w:val="28"/>
          <w:szCs w:val="28"/>
          <w:highlight w:val="none"/>
          <w:lang w:val="en-US" w:eastAsia="zh-CN"/>
        </w:rPr>
        <w:t>2</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14:paraId="55062D29">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_Toc7457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sz w:val="28"/>
          <w:szCs w:val="28"/>
          <w:highlight w:val="none"/>
          <w:lang w:eastAsia="zh-CN"/>
        </w:rPr>
        <w:t>第</w:t>
      </w:r>
      <w:r>
        <w:rPr>
          <w:rFonts w:hint="eastAsia" w:ascii="宋体" w:hAnsi="宋体" w:eastAsia="宋体" w:cs="宋体"/>
          <w:b w:val="0"/>
          <w:bCs w:val="0"/>
          <w:sz w:val="28"/>
          <w:szCs w:val="28"/>
          <w:highlight w:val="none"/>
          <w:lang w:val="en-US" w:eastAsia="zh-CN"/>
        </w:rPr>
        <w:t>七</w:t>
      </w:r>
      <w:r>
        <w:rPr>
          <w:rFonts w:hint="eastAsia" w:ascii="宋体" w:hAnsi="宋体" w:eastAsia="宋体" w:cs="宋体"/>
          <w:b w:val="0"/>
          <w:bCs w:val="0"/>
          <w:sz w:val="28"/>
          <w:szCs w:val="28"/>
          <w:highlight w:val="none"/>
          <w:lang w:eastAsia="zh-CN"/>
        </w:rPr>
        <w:t>章</w:t>
      </w:r>
      <w:r>
        <w:rPr>
          <w:rFonts w:hint="eastAsia" w:ascii="宋体" w:hAnsi="宋体" w:eastAsia="宋体" w:cs="宋体"/>
          <w:b w:val="0"/>
          <w:bCs w:val="0"/>
          <w:sz w:val="28"/>
          <w:szCs w:val="28"/>
          <w:highlight w:val="none"/>
          <w:lang w:val="en-US"/>
        </w:rPr>
        <w:t xml:space="preserve">  </w:t>
      </w:r>
      <w:r>
        <w:rPr>
          <w:rFonts w:hint="eastAsia" w:ascii="宋体" w:hAnsi="宋体" w:eastAsia="宋体" w:cs="宋体"/>
          <w:b w:val="0"/>
          <w:bCs w:val="0"/>
          <w:sz w:val="28"/>
          <w:szCs w:val="28"/>
          <w:highlight w:val="none"/>
          <w:lang w:eastAsia="zh-CN"/>
        </w:rPr>
        <w:t>招标人、招标代理机构对本招标文件的确认</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_Toc7457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5</w:t>
      </w:r>
      <w:r>
        <w:rPr>
          <w:rFonts w:hint="eastAsia" w:ascii="宋体" w:hAnsi="宋体" w:eastAsia="宋体" w:cs="宋体"/>
          <w:b w:val="0"/>
          <w:bCs w:val="0"/>
          <w:sz w:val="28"/>
          <w:szCs w:val="28"/>
          <w:highlight w:val="none"/>
          <w:lang w:val="en-US" w:eastAsia="zh-CN"/>
        </w:rPr>
        <w:t>8</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14:paraId="6BCB4F1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b w:val="0"/>
          <w:bCs w:val="0"/>
          <w:sz w:val="28"/>
          <w:szCs w:val="28"/>
          <w:highlight w:val="none"/>
          <w:lang w:val="en-US"/>
        </w:rPr>
        <w:fldChar w:fldCharType="end"/>
      </w:r>
    </w:p>
    <w:p w14:paraId="14D800C7">
      <w:pPr>
        <w:pStyle w:val="2"/>
        <w:rPr>
          <w:rFonts w:hint="eastAsia"/>
          <w:lang w:val="en-US" w:eastAsia="zh-CN"/>
        </w:rPr>
        <w:sectPr>
          <w:pgSz w:w="11906" w:h="16838"/>
          <w:pgMar w:top="1440" w:right="1800" w:bottom="1440" w:left="1800" w:header="851" w:footer="992" w:gutter="0"/>
          <w:pgNumType w:fmt="decimal" w:start="1"/>
          <w:cols w:space="425" w:num="1"/>
          <w:docGrid w:type="lines" w:linePitch="312" w:charSpace="0"/>
        </w:sectPr>
      </w:pPr>
    </w:p>
    <w:p w14:paraId="7D2CD4EA">
      <w:pPr>
        <w:pStyle w:val="20"/>
        <w:keepNext w:val="0"/>
        <w:keepLines w:val="0"/>
        <w:pageBreakBefore w:val="0"/>
        <w:widowControl/>
        <w:kinsoku/>
        <w:overflowPunct/>
        <w:topLinePunct w:val="0"/>
        <w:autoSpaceDN/>
        <w:bidi w:val="0"/>
        <w:adjustRightInd/>
        <w:snapToGrid/>
        <w:spacing w:beforeAutospacing="0" w:afterAutospacing="0" w:line="440" w:lineRule="exact"/>
        <w:jc w:val="center"/>
        <w:textAlignment w:val="auto"/>
        <w:outlineLvl w:val="0"/>
        <w:rPr>
          <w:rFonts w:hint="eastAsia" w:ascii="宋体" w:hAnsi="宋体" w:eastAsia="宋体" w:cs="宋体"/>
          <w:b/>
          <w:bCs/>
          <w:sz w:val="32"/>
          <w:szCs w:val="32"/>
          <w:highlight w:val="none"/>
          <w:lang w:val="en-US"/>
        </w:rPr>
      </w:pPr>
      <w:bookmarkStart w:id="0" w:name="_Toc29214"/>
      <w:bookmarkEnd w:id="0"/>
      <w:bookmarkStart w:id="1" w:name="_Toc23741_WPSOffice_Level1"/>
      <w:bookmarkEnd w:id="1"/>
      <w:bookmarkStart w:id="2" w:name="_Toc4487"/>
      <w:r>
        <w:rPr>
          <w:rFonts w:hint="eastAsia" w:ascii="宋体" w:hAnsi="宋体" w:eastAsia="宋体" w:cs="宋体"/>
          <w:b/>
          <w:bCs/>
          <w:sz w:val="32"/>
          <w:szCs w:val="32"/>
          <w:highlight w:val="none"/>
          <w:lang w:eastAsia="zh-CN"/>
        </w:rPr>
        <w:t>第一章</w:t>
      </w:r>
      <w:r>
        <w:rPr>
          <w:rFonts w:hint="eastAsia" w:ascii="宋体" w:hAnsi="Calibri" w:eastAsia="楷体_GB2312" w:cs="宋体"/>
          <w:b/>
          <w:bCs/>
          <w:sz w:val="32"/>
          <w:szCs w:val="32"/>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sz w:val="32"/>
          <w:szCs w:val="32"/>
          <w:highlight w:val="none"/>
          <w:lang w:eastAsia="zh-CN"/>
        </w:rPr>
        <w:t>招标公告</w:t>
      </w:r>
      <w:bookmarkEnd w:id="2"/>
    </w:p>
    <w:p w14:paraId="7226391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bookmarkStart w:id="5" w:name="_Toc28359002"/>
      <w:bookmarkEnd w:id="5"/>
      <w:bookmarkStart w:id="6" w:name="_Toc35393621"/>
      <w:bookmarkEnd w:id="6"/>
      <w:bookmarkStart w:id="7" w:name="_Toc28359079"/>
      <w:bookmarkEnd w:id="7"/>
      <w:bookmarkStart w:id="8" w:name="_Toc58430305"/>
      <w:bookmarkEnd w:id="8"/>
      <w:bookmarkStart w:id="9" w:name="_Toc35393790"/>
      <w:r>
        <w:rPr>
          <w:rFonts w:hint="eastAsia" w:ascii="宋体" w:hAnsi="宋体" w:eastAsia="宋体" w:cs="宋体"/>
          <w:color w:val="000000"/>
          <w:kern w:val="0"/>
          <w:sz w:val="21"/>
          <w:szCs w:val="21"/>
          <w:highlight w:val="none"/>
          <w:u w:color="000000"/>
          <w:lang w:val="en-US" w:eastAsia="zh-CN" w:bidi="ar"/>
        </w:rPr>
        <w:t>项目概况</w:t>
      </w:r>
    </w:p>
    <w:p w14:paraId="30308A1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2025年琅琊山森林漂流皮划艇采购项目（二次）的潜在</w:t>
      </w:r>
      <w:r>
        <w:rPr>
          <w:rFonts w:hint="eastAsia" w:ascii="宋体" w:hAnsi="宋体" w:eastAsia="宋体" w:cs="宋体"/>
          <w:color w:val="auto"/>
          <w:kern w:val="0"/>
          <w:sz w:val="21"/>
          <w:szCs w:val="21"/>
          <w:highlight w:val="none"/>
          <w:u w:color="000000"/>
          <w:lang w:val="en-US" w:eastAsia="zh-CN" w:bidi="ar"/>
        </w:rPr>
        <w:t>投标人应在【琅琊山景区】(https://www.lysfjq.cn/)获取招标文件，并于</w:t>
      </w:r>
      <w:r>
        <w:rPr>
          <w:rFonts w:hint="eastAsia" w:ascii="宋体" w:hAnsi="宋体" w:eastAsia="宋体" w:cs="宋体"/>
          <w:b/>
          <w:bCs/>
          <w:color w:val="auto"/>
          <w:kern w:val="0"/>
          <w:sz w:val="21"/>
          <w:szCs w:val="21"/>
          <w:highlight w:val="none"/>
          <w:u w:color="000000"/>
          <w:lang w:val="en-US" w:eastAsia="zh-CN" w:bidi="ar"/>
        </w:rPr>
        <w:t>202</w:t>
      </w:r>
      <w:r>
        <w:rPr>
          <w:rFonts w:hint="eastAsia" w:ascii="宋体" w:hAnsi="宋体" w:eastAsia="宋体" w:cs="宋体"/>
          <w:b/>
          <w:bCs/>
          <w:color w:val="000000"/>
          <w:kern w:val="0"/>
          <w:sz w:val="21"/>
          <w:szCs w:val="21"/>
          <w:highlight w:val="none"/>
          <w:u w:color="000000"/>
          <w:lang w:val="en-US" w:eastAsia="zh-CN" w:bidi="ar"/>
        </w:rPr>
        <w:t>5年3月 31日14时30分</w:t>
      </w:r>
      <w:r>
        <w:rPr>
          <w:rFonts w:hint="eastAsia" w:ascii="宋体" w:hAnsi="宋体" w:eastAsia="宋体" w:cs="宋体"/>
          <w:color w:val="000000"/>
          <w:kern w:val="0"/>
          <w:sz w:val="21"/>
          <w:szCs w:val="21"/>
          <w:highlight w:val="none"/>
          <w:u w:color="000000"/>
          <w:lang w:val="en-US" w:eastAsia="zh-CN" w:bidi="ar"/>
        </w:rPr>
        <w:t>（北京时间）前递交投标文件。</w:t>
      </w:r>
    </w:p>
    <w:p w14:paraId="3E4CAB3E">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一、项目基本情况</w:t>
      </w:r>
      <w:bookmarkEnd w:id="9"/>
    </w:p>
    <w:p w14:paraId="64EEE74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项目名称：2025年琅琊山森林漂流皮划艇采购项目（二次）</w:t>
      </w:r>
    </w:p>
    <w:p w14:paraId="26AEED4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both"/>
        <w:textAlignment w:val="auto"/>
        <w:rPr>
          <w:rFonts w:hint="default"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项目预算金额：290000</w:t>
      </w:r>
      <w:r>
        <w:rPr>
          <w:rFonts w:hint="eastAsia" w:ascii="宋体" w:hAnsi="宋体" w:eastAsia="宋体" w:cs="宋体"/>
          <w:b w:val="0"/>
          <w:bCs w:val="0"/>
          <w:color w:val="auto"/>
          <w:kern w:val="0"/>
          <w:sz w:val="21"/>
          <w:szCs w:val="21"/>
          <w:highlight w:val="none"/>
          <w:u w:color="000000"/>
          <w:lang w:val="en-US" w:eastAsia="zh-CN" w:bidi="ar"/>
        </w:rPr>
        <w:t>元</w:t>
      </w:r>
    </w:p>
    <w:p w14:paraId="68D47398">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最高限价：</w:t>
      </w:r>
      <w:r>
        <w:rPr>
          <w:rFonts w:hint="eastAsia" w:ascii="宋体" w:hAnsi="宋体" w:eastAsia="宋体" w:cs="宋体"/>
          <w:b w:val="0"/>
          <w:bCs w:val="0"/>
          <w:color w:val="auto"/>
          <w:kern w:val="0"/>
          <w:sz w:val="21"/>
          <w:szCs w:val="21"/>
          <w:highlight w:val="none"/>
          <w:u w:color="000000"/>
          <w:lang w:val="en-US" w:eastAsia="zh-CN" w:bidi="ar"/>
        </w:rPr>
        <w:t>本项目最高限价为（人民币）贰拾玖万</w:t>
      </w:r>
      <w:r>
        <w:rPr>
          <w:rFonts w:hint="eastAsia" w:ascii="宋体" w:hAnsi="宋体" w:eastAsia="宋体" w:cs="宋体"/>
          <w:color w:val="auto"/>
          <w:kern w:val="0"/>
          <w:sz w:val="21"/>
          <w:szCs w:val="21"/>
          <w:highlight w:val="none"/>
          <w:u w:color="000000"/>
          <w:lang w:val="en-US" w:eastAsia="zh-CN" w:bidi="ar"/>
        </w:rPr>
        <w:t>元整，</w:t>
      </w:r>
      <w:r>
        <w:rPr>
          <w:rFonts w:hint="eastAsia" w:ascii="宋体" w:hAnsi="宋体" w:eastAsia="宋体" w:cs="宋体"/>
          <w:b w:val="0"/>
          <w:bCs w:val="0"/>
          <w:color w:val="auto"/>
          <w:kern w:val="0"/>
          <w:sz w:val="21"/>
          <w:szCs w:val="21"/>
          <w:highlight w:val="none"/>
          <w:u w:color="000000"/>
          <w:lang w:val="en-US" w:eastAsia="zh-CN" w:bidi="ar"/>
        </w:rPr>
        <w:t>投标报价不得超过最高限价，否则按无效投标处理。</w:t>
      </w:r>
    </w:p>
    <w:p w14:paraId="5D2BC59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20" w:firstLineChars="200"/>
        <w:jc w:val="both"/>
        <w:textAlignment w:val="auto"/>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采购需求：漂流艇采购，具体详见项目采购需求。</w:t>
      </w:r>
    </w:p>
    <w:p w14:paraId="090AF0D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20" w:firstLineChars="200"/>
        <w:jc w:val="both"/>
        <w:textAlignment w:val="auto"/>
        <w:rPr>
          <w:rFonts w:hint="default"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供货期要求：自合同签订后接到招标人通知之日起5个日历天内完成供货并确保货物验收合格。</w:t>
      </w:r>
    </w:p>
    <w:p w14:paraId="2DCCC71D">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本项目不接受联合体投标。</w:t>
      </w:r>
    </w:p>
    <w:p w14:paraId="5ED727FE">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30" w:firstLineChars="200"/>
        <w:jc w:val="both"/>
        <w:textAlignment w:val="auto"/>
        <w:rPr>
          <w:rFonts w:hint="eastAsia" w:ascii="宋体" w:hAnsi="宋体" w:eastAsia="宋体" w:cs="宋体"/>
          <w:b/>
          <w:bCs w:val="0"/>
          <w:color w:val="auto"/>
          <w:spacing w:val="2"/>
          <w:sz w:val="21"/>
          <w:szCs w:val="21"/>
          <w:highlight w:val="none"/>
          <w:lang w:val="en-US"/>
        </w:rPr>
      </w:pPr>
      <w:r>
        <w:rPr>
          <w:rFonts w:hint="eastAsia" w:ascii="宋体" w:hAnsi="宋体" w:eastAsia="宋体" w:cs="宋体"/>
          <w:b/>
          <w:bCs w:val="0"/>
          <w:color w:val="auto"/>
          <w:spacing w:val="2"/>
          <w:kern w:val="0"/>
          <w:sz w:val="21"/>
          <w:szCs w:val="21"/>
          <w:highlight w:val="none"/>
          <w:u w:color="000000"/>
          <w:lang w:val="en-US" w:eastAsia="zh-CN" w:bidi="ar"/>
        </w:rPr>
        <w:t>二、</w:t>
      </w:r>
      <w:r>
        <w:rPr>
          <w:rFonts w:hint="eastAsia" w:ascii="宋体" w:hAnsi="宋体" w:eastAsia="宋体" w:cs="宋体"/>
          <w:b/>
          <w:bCs w:val="0"/>
          <w:color w:val="auto"/>
          <w:kern w:val="0"/>
          <w:sz w:val="21"/>
          <w:szCs w:val="21"/>
          <w:highlight w:val="none"/>
          <w:u w:color="000000"/>
          <w:lang w:val="en-US" w:eastAsia="zh-CN" w:bidi="ar"/>
        </w:rPr>
        <w:t>申请人的资格要求</w:t>
      </w:r>
    </w:p>
    <w:p w14:paraId="7CAF5DEF">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1.投标人具有相应供货和服务能力。</w:t>
      </w:r>
    </w:p>
    <w:p w14:paraId="0296ED22">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2.信誉要求：投标人不得存在以下情形：</w:t>
      </w:r>
    </w:p>
    <w:p w14:paraId="1C8A658A">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①投标人被人民法院列入失信被执行人的；</w:t>
      </w:r>
    </w:p>
    <w:p w14:paraId="6B7DB010">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②投标人或其法定代表人前三年有行贿犯罪行为的；</w:t>
      </w:r>
    </w:p>
    <w:p w14:paraId="712E924D">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③投标人被市场监督管理部门列入经营异常名录或者严重违法企业名单，且未被移除的；</w:t>
      </w:r>
    </w:p>
    <w:p w14:paraId="521199DE">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④投标人被税务部门列入重大税收违法案件当事人的；</w:t>
      </w:r>
    </w:p>
    <w:p w14:paraId="28FF07C8">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⑤在“信用中国”网站上披露仍在公示期的严重失信行为的；</w:t>
      </w:r>
    </w:p>
    <w:p w14:paraId="589C6061">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⑥被滁州市县两级各行业主管部门及公管部门取消在一定期限内的投标资格且在取消期限内的；</w:t>
      </w:r>
    </w:p>
    <w:p w14:paraId="4154AB12">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⑦被滁州市县两级公管部门记入不良行为记录或者信用信息记录，且在披露期内的。</w:t>
      </w:r>
    </w:p>
    <w:p w14:paraId="66ABBE10">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⑧被人力资源社会保障主管部门列入拖欠农民工工资‘黑名单’或因拖欠农民工工资被县级及以上有关行政主管部门限制投标资格且在限制期限内的。</w:t>
      </w:r>
    </w:p>
    <w:p w14:paraId="618BF02C">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3.投标人所属分公司、办事处等分支机构存在第3条信誉要求①-⑧项情形之一的， 接受 投标人参加本项目。</w:t>
      </w:r>
    </w:p>
    <w:p w14:paraId="7D31CCBE">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备注：第3、4条按照附件1“关于联合惩戒失信行为加强信用查询管理的通知”查询或承诺。</w:t>
      </w:r>
    </w:p>
    <w:p w14:paraId="4985A2C7">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4.本项目不接受联合体投标</w:t>
      </w:r>
    </w:p>
    <w:p w14:paraId="52DA342C">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三、获取招标文件</w:t>
      </w:r>
    </w:p>
    <w:p w14:paraId="20FA743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b/>
          <w:bCs/>
          <w:sz w:val="21"/>
          <w:szCs w:val="21"/>
          <w:highlight w:val="none"/>
          <w:u w:val="single"/>
          <w:lang w:val="en-US"/>
        </w:rPr>
      </w:pPr>
      <w:r>
        <w:rPr>
          <w:rFonts w:hint="eastAsia" w:ascii="宋体" w:hAnsi="宋体" w:eastAsia="宋体" w:cs="宋体"/>
          <w:b/>
          <w:bCs/>
          <w:color w:val="000000"/>
          <w:kern w:val="0"/>
          <w:sz w:val="21"/>
          <w:szCs w:val="21"/>
          <w:highlight w:val="none"/>
          <w:u w:color="000000"/>
          <w:lang w:val="en-US" w:eastAsia="zh-CN" w:bidi="ar"/>
        </w:rPr>
        <w:t>时间：</w:t>
      </w:r>
      <w:r>
        <w:rPr>
          <w:rFonts w:hint="eastAsia" w:ascii="宋体" w:hAnsi="宋体" w:eastAsia="宋体" w:cs="宋体"/>
          <w:b/>
          <w:bCs/>
          <w:color w:val="000000"/>
          <w:kern w:val="0"/>
          <w:sz w:val="21"/>
          <w:szCs w:val="21"/>
          <w:highlight w:val="none"/>
          <w:u w:val="single" w:color="000000"/>
          <w:lang w:val="en-US" w:eastAsia="zh-CN" w:bidi="ar"/>
        </w:rPr>
        <w:t xml:space="preserve"> 2025年3月 24 日</w:t>
      </w:r>
      <w:r>
        <w:rPr>
          <w:rFonts w:hint="eastAsia" w:ascii="宋体" w:hAnsi="宋体" w:eastAsia="宋体" w:cs="宋体"/>
          <w:b/>
          <w:bCs/>
          <w:color w:val="000000"/>
          <w:kern w:val="0"/>
          <w:sz w:val="21"/>
          <w:szCs w:val="21"/>
          <w:highlight w:val="none"/>
          <w:u w:color="000000"/>
          <w:lang w:val="en-US" w:eastAsia="zh-CN" w:bidi="ar"/>
        </w:rPr>
        <w:t>至</w:t>
      </w:r>
      <w:r>
        <w:rPr>
          <w:rFonts w:hint="eastAsia" w:ascii="宋体" w:hAnsi="宋体" w:eastAsia="宋体" w:cs="宋体"/>
          <w:b/>
          <w:bCs/>
          <w:color w:val="000000"/>
          <w:kern w:val="0"/>
          <w:sz w:val="21"/>
          <w:szCs w:val="21"/>
          <w:highlight w:val="none"/>
          <w:u w:val="single" w:color="000000"/>
          <w:lang w:val="en-US" w:eastAsia="zh-CN" w:bidi="ar"/>
        </w:rPr>
        <w:t xml:space="preserve"> 2025年3月31日</w:t>
      </w:r>
    </w:p>
    <w:p w14:paraId="319B4D8F">
      <w:pPr>
        <w:keepNext w:val="0"/>
        <w:keepLines w:val="0"/>
        <w:pageBreakBefore w:val="0"/>
        <w:kinsoku/>
        <w:overflowPunct/>
        <w:topLinePunct w:val="0"/>
        <w:autoSpaceDE/>
        <w:autoSpaceDN/>
        <w:bidi w:val="0"/>
        <w:adjustRightInd/>
        <w:snapToGrid/>
        <w:spacing w:line="440" w:lineRule="exact"/>
        <w:ind w:firstLine="540"/>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地点：【琅琊山景区】(https://www.lysfjq.cn/)</w:t>
      </w:r>
    </w:p>
    <w:p w14:paraId="13D48B7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方式：网上下载</w:t>
      </w:r>
    </w:p>
    <w:p w14:paraId="4AB9B72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售价：0元</w:t>
      </w:r>
    </w:p>
    <w:p w14:paraId="4F33425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sz w:val="21"/>
          <w:szCs w:val="21"/>
          <w:highlight w:val="none"/>
          <w:lang w:val="en-US"/>
        </w:rPr>
      </w:pPr>
      <w:bookmarkStart w:id="10" w:name="_Toc28359082"/>
      <w:bookmarkEnd w:id="10"/>
      <w:bookmarkStart w:id="11" w:name="_Toc35393793"/>
      <w:bookmarkEnd w:id="11"/>
      <w:bookmarkStart w:id="12" w:name="_Toc58430308"/>
      <w:bookmarkEnd w:id="12"/>
      <w:bookmarkStart w:id="13" w:name="_Toc28359005"/>
      <w:bookmarkEnd w:id="13"/>
      <w:r>
        <w:rPr>
          <w:rFonts w:hint="eastAsia" w:ascii="宋体" w:hAnsi="宋体" w:cs="宋体"/>
          <w:b/>
          <w:color w:val="auto"/>
          <w:sz w:val="21"/>
          <w:szCs w:val="21"/>
          <w:highlight w:val="none"/>
        </w:rPr>
        <w:t>四、提交投标文件截止时间、开标时间和</w:t>
      </w:r>
      <w:r>
        <w:rPr>
          <w:rFonts w:hint="eastAsia" w:ascii="宋体" w:hAnsi="宋体" w:cs="宋体"/>
          <w:b/>
          <w:color w:val="auto"/>
          <w:sz w:val="21"/>
          <w:szCs w:val="21"/>
          <w:highlight w:val="none"/>
          <w:lang w:val="en-US" w:eastAsia="zh-CN"/>
        </w:rPr>
        <w:t>地点</w:t>
      </w:r>
    </w:p>
    <w:p w14:paraId="7F91703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color w:val="auto"/>
          <w:sz w:val="21"/>
          <w:szCs w:val="21"/>
          <w:highlight w:val="none"/>
          <w:lang w:val="en-US"/>
        </w:rPr>
      </w:pPr>
      <w:r>
        <w:rPr>
          <w:rFonts w:hint="eastAsia" w:ascii="宋体" w:hAnsi="宋体" w:eastAsia="宋体" w:cs="宋体"/>
          <w:b/>
          <w:bCs w:val="0"/>
          <w:color w:val="auto"/>
          <w:kern w:val="0"/>
          <w:sz w:val="21"/>
          <w:szCs w:val="21"/>
          <w:highlight w:val="none"/>
          <w:u w:color="000000"/>
          <w:lang w:val="en-US" w:eastAsia="zh-CN" w:bidi="ar"/>
        </w:rPr>
        <w:t>截止时间：</w:t>
      </w:r>
      <w:r>
        <w:rPr>
          <w:rFonts w:hint="eastAsia" w:ascii="宋体" w:hAnsi="宋体" w:eastAsia="宋体" w:cs="宋体"/>
          <w:b/>
          <w:bCs w:val="0"/>
          <w:color w:val="auto"/>
          <w:kern w:val="0"/>
          <w:sz w:val="21"/>
          <w:szCs w:val="21"/>
          <w:highlight w:val="none"/>
          <w:u w:val="single" w:color="000000"/>
          <w:lang w:val="en-US" w:eastAsia="zh-CN" w:bidi="ar"/>
        </w:rPr>
        <w:t>2025年3月31日14时30分</w:t>
      </w:r>
      <w:r>
        <w:rPr>
          <w:rFonts w:hint="eastAsia" w:ascii="宋体" w:hAnsi="宋体" w:eastAsia="宋体" w:cs="宋体"/>
          <w:b/>
          <w:bCs w:val="0"/>
          <w:color w:val="auto"/>
          <w:kern w:val="0"/>
          <w:sz w:val="21"/>
          <w:szCs w:val="21"/>
          <w:highlight w:val="none"/>
          <w:u w:color="000000"/>
          <w:lang w:val="en-US" w:eastAsia="zh-CN" w:bidi="ar"/>
        </w:rPr>
        <w:t>（北京时间）</w:t>
      </w:r>
    </w:p>
    <w:p w14:paraId="3C2BE80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default"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地点：安徽省琅耶山健身休闲有限公司会议室（安徽省滁州市西涧中路4306号）  </w:t>
      </w:r>
    </w:p>
    <w:p w14:paraId="7A473C1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五、投标保证金金额及缴纳账户</w:t>
      </w:r>
    </w:p>
    <w:p w14:paraId="1D802D3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20" w:firstLineChars="200"/>
        <w:jc w:val="both"/>
        <w:textAlignment w:val="auto"/>
        <w:rPr>
          <w:rFonts w:hint="eastAsia" w:ascii="宋体" w:hAnsi="宋体" w:eastAsia="宋体" w:cs="宋体"/>
          <w:bCs/>
          <w:sz w:val="21"/>
          <w:szCs w:val="21"/>
          <w:highlight w:val="none"/>
          <w:u w:val="single"/>
          <w:lang w:val="en-US"/>
        </w:rPr>
      </w:pPr>
      <w:r>
        <w:rPr>
          <w:rFonts w:hint="eastAsia" w:ascii="宋体" w:hAnsi="宋体" w:eastAsia="宋体" w:cs="宋体"/>
          <w:bCs/>
          <w:color w:val="000000"/>
          <w:kern w:val="0"/>
          <w:sz w:val="21"/>
          <w:szCs w:val="21"/>
          <w:highlight w:val="none"/>
          <w:u w:color="000000"/>
          <w:lang w:val="en-US" w:eastAsia="zh-CN" w:bidi="ar"/>
        </w:rPr>
        <w:t>本项目不要求投标人提交投标保证金。</w:t>
      </w:r>
    </w:p>
    <w:p w14:paraId="0EF4BA4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30" w:firstLineChars="200"/>
        <w:jc w:val="both"/>
        <w:textAlignment w:val="auto"/>
        <w:rPr>
          <w:rFonts w:hint="eastAsia" w:ascii="宋体" w:hAnsi="宋体" w:eastAsia="宋体" w:cs="宋体"/>
          <w:b/>
          <w:bCs w:val="0"/>
          <w:spacing w:val="2"/>
          <w:sz w:val="21"/>
          <w:szCs w:val="21"/>
          <w:highlight w:val="none"/>
          <w:lang w:val="en-US"/>
        </w:rPr>
      </w:pPr>
      <w:r>
        <w:rPr>
          <w:rFonts w:hint="eastAsia" w:ascii="宋体" w:hAnsi="宋体" w:eastAsia="宋体" w:cs="宋体"/>
          <w:b/>
          <w:bCs w:val="0"/>
          <w:color w:val="000000"/>
          <w:spacing w:val="2"/>
          <w:kern w:val="0"/>
          <w:sz w:val="21"/>
          <w:szCs w:val="21"/>
          <w:highlight w:val="none"/>
          <w:u w:color="000000"/>
          <w:lang w:val="en-US" w:eastAsia="zh-CN" w:bidi="ar"/>
        </w:rPr>
        <w:t>六、</w:t>
      </w:r>
      <w:r>
        <w:rPr>
          <w:rFonts w:hint="eastAsia" w:ascii="宋体" w:hAnsi="宋体" w:eastAsia="宋体" w:cs="宋体"/>
          <w:b/>
          <w:bCs w:val="0"/>
          <w:color w:val="000000"/>
          <w:kern w:val="0"/>
          <w:sz w:val="21"/>
          <w:szCs w:val="21"/>
          <w:highlight w:val="none"/>
          <w:u w:color="000000"/>
          <w:lang w:val="en-US" w:eastAsia="zh-CN" w:bidi="ar"/>
        </w:rPr>
        <w:t>对本次招标提出询问，请按以下方式联系</w:t>
      </w:r>
    </w:p>
    <w:p w14:paraId="2645F1DB">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1.招标人信息</w:t>
      </w:r>
    </w:p>
    <w:p w14:paraId="4117D127">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 称：安徽省琅耶山健身休闲有限公司</w:t>
      </w:r>
    </w:p>
    <w:p w14:paraId="6CAE5245">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地址：</w:t>
      </w:r>
      <w:r>
        <w:rPr>
          <w:rFonts w:hint="eastAsia" w:ascii="宋体" w:hAnsi="宋体" w:eastAsia="宋体" w:cs="宋体"/>
          <w:color w:val="auto"/>
          <w:szCs w:val="21"/>
          <w:highlight w:val="none"/>
          <w:lang w:val="en-US" w:eastAsia="zh-CN"/>
        </w:rPr>
        <w:t xml:space="preserve">安徽省滁州市西涧中路4306号 </w:t>
      </w:r>
    </w:p>
    <w:p w14:paraId="42229E77">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联系方式：</w:t>
      </w:r>
      <w:bookmarkStart w:id="14" w:name="_Toc28359086"/>
      <w:bookmarkStart w:id="15" w:name="_Toc28359009"/>
      <w:r>
        <w:rPr>
          <w:rFonts w:hint="eastAsia" w:ascii="宋体" w:hAnsi="宋体" w:eastAsia="宋体" w:cs="宋体"/>
          <w:color w:val="auto"/>
          <w:szCs w:val="21"/>
          <w:highlight w:val="none"/>
          <w:lang w:val="en-US" w:eastAsia="zh-CN"/>
        </w:rPr>
        <w:t>13365700719</w:t>
      </w:r>
    </w:p>
    <w:p w14:paraId="09393DBD">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2.采购代理机构信息</w:t>
      </w:r>
      <w:bookmarkEnd w:id="14"/>
      <w:bookmarkEnd w:id="15"/>
    </w:p>
    <w:p w14:paraId="2B4213F3">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 称：安徽诚昇工程技术有限公司　</w:t>
      </w:r>
    </w:p>
    <w:p w14:paraId="43E06E57">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地　址：滁州市南谯区花园东路1086号　</w:t>
      </w:r>
    </w:p>
    <w:p w14:paraId="56DBD27A">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联系方式：</w:t>
      </w:r>
      <w:bookmarkStart w:id="16" w:name="_Toc28359010"/>
      <w:bookmarkStart w:id="17" w:name="_Toc28359087"/>
      <w:r>
        <w:rPr>
          <w:rFonts w:hint="eastAsia" w:ascii="宋体" w:hAnsi="宋体" w:eastAsia="宋体" w:cs="宋体"/>
          <w:color w:val="auto"/>
          <w:szCs w:val="21"/>
          <w:highlight w:val="none"/>
          <w:lang w:eastAsia="zh-CN"/>
        </w:rPr>
        <w:t>15255016513</w:t>
      </w:r>
    </w:p>
    <w:p w14:paraId="59D90E4D">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3.项目联系方式</w:t>
      </w:r>
      <w:bookmarkEnd w:id="16"/>
      <w:bookmarkEnd w:id="17"/>
    </w:p>
    <w:p w14:paraId="44A4CD91">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项目联系人：</w:t>
      </w:r>
      <w:r>
        <w:rPr>
          <w:rFonts w:hint="eastAsia" w:ascii="宋体" w:hAnsi="宋体" w:eastAsia="宋体" w:cs="宋体"/>
          <w:color w:val="auto"/>
          <w:szCs w:val="21"/>
          <w:highlight w:val="none"/>
          <w:lang w:val="en-US" w:eastAsia="zh-CN"/>
        </w:rPr>
        <w:t>钱宇欣、陈艳菊</w:t>
      </w:r>
    </w:p>
    <w:p w14:paraId="71C7340A">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电　话：</w:t>
      </w:r>
      <w:r>
        <w:rPr>
          <w:rFonts w:hint="eastAsia" w:ascii="宋体" w:hAnsi="宋体" w:eastAsia="宋体" w:cs="宋体"/>
          <w:color w:val="auto"/>
          <w:szCs w:val="21"/>
          <w:highlight w:val="none"/>
          <w:lang w:val="en-US" w:eastAsia="zh-CN"/>
        </w:rPr>
        <w:t>13365700719</w:t>
      </w:r>
      <w:r>
        <w:rPr>
          <w:rFonts w:hint="eastAsia" w:ascii="宋体" w:hAnsi="宋体" w:eastAsia="宋体" w:cs="宋体"/>
          <w:color w:val="auto"/>
          <w:szCs w:val="21"/>
          <w:highlight w:val="none"/>
          <w:lang w:eastAsia="zh-CN"/>
        </w:rPr>
        <w:t>、15255016513</w:t>
      </w:r>
    </w:p>
    <w:p w14:paraId="4777F7E5">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outlineLvl w:val="0"/>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p>
    <w:p w14:paraId="4E29E9F4">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14:paraId="452D5F1B">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14:paraId="379E5C58">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14:paraId="1EC33B2C">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14:paraId="0F103B7B">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14:paraId="662771F9">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r>
        <w:rPr>
          <w:rFonts w:hint="eastAsia" w:ascii="宋体" w:hAnsi="宋体" w:eastAsia="宋体" w:cs="宋体"/>
          <w:bCs/>
          <w:color w:val="000000"/>
          <w:kern w:val="0"/>
          <w:sz w:val="32"/>
          <w:szCs w:val="32"/>
          <w:highlight w:val="none"/>
          <w:u w:color="000000"/>
          <w:lang w:val="en-US" w:eastAsia="zh-CN" w:bidi="ar"/>
        </w:rPr>
        <w:t xml:space="preserve">  </w:t>
      </w:r>
    </w:p>
    <w:p w14:paraId="235C0631">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14:paraId="789D2259">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
          <w:bCs/>
          <w:color w:val="auto"/>
          <w:kern w:val="0"/>
          <w:sz w:val="32"/>
          <w:szCs w:val="32"/>
          <w:highlight w:val="none"/>
          <w:u w:color="000000"/>
          <w:lang w:val="en-US" w:eastAsia="zh-CN" w:bidi="ar"/>
        </w:rPr>
      </w:pPr>
      <w:r>
        <w:rPr>
          <w:rFonts w:hint="eastAsia" w:ascii="宋体" w:hAnsi="宋体" w:eastAsia="宋体" w:cs="宋体"/>
          <w:bCs/>
          <w:color w:val="000000"/>
          <w:kern w:val="0"/>
          <w:sz w:val="32"/>
          <w:szCs w:val="32"/>
          <w:highlight w:val="none"/>
          <w:u w:color="000000"/>
          <w:lang w:val="en-US" w:eastAsia="zh-CN" w:bidi="ar"/>
        </w:rPr>
        <w:t xml:space="preserve"> </w:t>
      </w:r>
      <w:bookmarkStart w:id="18" w:name="_Toc23335"/>
      <w:r>
        <w:rPr>
          <w:rFonts w:hint="eastAsia" w:ascii="宋体" w:hAnsi="宋体" w:eastAsia="宋体" w:cs="宋体"/>
          <w:b/>
          <w:bCs/>
          <w:color w:val="auto"/>
          <w:kern w:val="0"/>
          <w:sz w:val="32"/>
          <w:szCs w:val="32"/>
          <w:highlight w:val="none"/>
          <w:u w:color="000000"/>
          <w:lang w:val="en-US" w:eastAsia="zh-CN" w:bidi="ar"/>
        </w:rPr>
        <w:t>第二章 投标人须知</w:t>
      </w:r>
      <w:bookmarkEnd w:id="18"/>
      <w:bookmarkStart w:id="19" w:name="_Toc9559"/>
      <w:bookmarkEnd w:id="19"/>
      <w:bookmarkStart w:id="20" w:name="_Toc28003_WPSOffice_Level2"/>
    </w:p>
    <w:p w14:paraId="1DCCFE31">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20"/>
    </w:p>
    <w:tbl>
      <w:tblPr>
        <w:tblStyle w:val="26"/>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06CFB1A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7BE7D609">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43BCA67C">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2900B1C7">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69D6F1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DDD3BFB">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C78BA7A">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7A9FFA3">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eastAsia" w:cs="Times New Roman"/>
                <w:bCs/>
                <w:highlight w:val="none"/>
                <w:lang w:val="en-US" w:eastAsia="zh-CN"/>
              </w:rPr>
            </w:pPr>
            <w:r>
              <w:rPr>
                <w:rFonts w:hint="eastAsia" w:cs="宋体"/>
                <w:color w:val="auto"/>
                <w:sz w:val="21"/>
                <w:szCs w:val="21"/>
                <w:highlight w:val="none"/>
                <w:lang w:eastAsia="zh-CN"/>
              </w:rPr>
              <w:t>2025年琅琊山森林漂流皮划艇采购项目（二次）</w:t>
            </w:r>
          </w:p>
        </w:tc>
      </w:tr>
      <w:tr w14:paraId="1B4474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E8CFE1A">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A3DC72B">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DBC56D">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cs="Times New Roman"/>
                <w:bCs/>
                <w:highlight w:val="none"/>
                <w:lang w:val="en-US" w:eastAsia="zh-CN"/>
              </w:rPr>
            </w:pPr>
            <w:r>
              <w:rPr>
                <w:rFonts w:hint="default" w:cs="Times New Roman"/>
                <w:bCs/>
                <w:highlight w:val="none"/>
                <w:lang w:val="en-US" w:eastAsia="zh-CN"/>
              </w:rPr>
              <w:t>自合同签订后接到招标人通知之日起5个日历天内完成供货并确保货物验收合格。</w:t>
            </w:r>
          </w:p>
        </w:tc>
      </w:tr>
      <w:tr w14:paraId="789DEF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D277ABF">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4FFC0E0">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61D1A6">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14:paraId="2823A4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42EFC58">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5AFEA35">
            <w:pPr>
              <w:pStyle w:val="15"/>
              <w:keepNext w:val="0"/>
              <w:keepLines w:val="0"/>
              <w:pageBreakBefore w:val="0"/>
              <w:kinsoku/>
              <w:wordWrap/>
              <w:overflowPunct/>
              <w:topLinePunct w:val="0"/>
              <w:autoSpaceDE/>
              <w:autoSpaceDN/>
              <w:bidi w:val="0"/>
              <w:adjustRightInd/>
              <w:snapToGrid/>
              <w:spacing w:line="360" w:lineRule="exact"/>
              <w:ind w:left="0" w:leftChars="0" w:right="0" w:rightChars="0"/>
              <w:jc w:val="left"/>
              <w:textAlignment w:val="auto"/>
              <w:rPr>
                <w:rFonts w:cs="Times New Roman"/>
                <w:highlight w:val="none"/>
                <w:lang w:val="en-US"/>
              </w:rPr>
            </w:pPr>
            <w:r>
              <w:rPr>
                <w:rFonts w:hint="eastAsia"/>
                <w:color w:val="auto"/>
                <w:sz w:val="21"/>
                <w:szCs w:val="21"/>
                <w:highlight w:val="none"/>
                <w:lang w:eastAsia="zh-CN"/>
              </w:rPr>
              <w:t>招标人</w:t>
            </w:r>
            <w:r>
              <w:rPr>
                <w:rFonts w:hint="eastAsia"/>
                <w:color w:val="auto"/>
                <w:sz w:val="21"/>
                <w:szCs w:val="21"/>
                <w:highlight w:val="none"/>
              </w:rPr>
              <w:t>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B460D43">
            <w:pPr>
              <w:pStyle w:val="15"/>
              <w:keepNext w:val="0"/>
              <w:keepLines w:val="0"/>
              <w:pageBreakBefore w:val="0"/>
              <w:kinsoku/>
              <w:wordWrap/>
              <w:overflowPunct/>
              <w:topLinePunct w:val="0"/>
              <w:autoSpaceDE/>
              <w:autoSpaceDN/>
              <w:bidi w:val="0"/>
              <w:adjustRightInd/>
              <w:spacing w:line="440" w:lineRule="exact"/>
              <w:ind w:left="0" w:leftChars="0" w:right="0" w:rightChars="0"/>
              <w:textAlignment w:val="auto"/>
              <w:rPr>
                <w:rFonts w:hint="default" w:ascii="宋体" w:hAnsi="宋体" w:eastAsia="宋体" w:cs="宋体"/>
                <w:color w:val="auto"/>
                <w:kern w:val="2"/>
                <w:sz w:val="21"/>
                <w:szCs w:val="21"/>
                <w:highlight w:val="none"/>
                <w:u w:color="auto"/>
                <w:lang w:val="en-US" w:eastAsia="zh-CN" w:bidi="ar"/>
              </w:rPr>
            </w:pPr>
            <w:r>
              <w:rPr>
                <w:rFonts w:hint="eastAsia" w:ascii="宋体" w:hAnsi="宋体" w:eastAsia="宋体" w:cs="宋体"/>
                <w:color w:val="auto"/>
                <w:sz w:val="21"/>
                <w:szCs w:val="21"/>
                <w:highlight w:val="none"/>
              </w:rPr>
              <w:t>联系人：</w:t>
            </w:r>
            <w:r>
              <w:rPr>
                <w:rFonts w:hint="eastAsia" w:cs="宋体"/>
                <w:color w:val="auto"/>
                <w:szCs w:val="21"/>
                <w:highlight w:val="none"/>
                <w:lang w:val="en-US" w:eastAsia="zh-CN"/>
              </w:rPr>
              <w:t>钱宇欣</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 xml:space="preserve"> </w:t>
            </w:r>
            <w:r>
              <w:rPr>
                <w:rFonts w:hint="eastAsia" w:ascii="宋体" w:hAnsi="宋体" w:eastAsia="宋体" w:cs="宋体"/>
                <w:bCs/>
                <w:color w:val="auto"/>
                <w:sz w:val="21"/>
                <w:szCs w:val="21"/>
                <w:highlight w:val="none"/>
              </w:rPr>
              <w:t>电话：</w:t>
            </w:r>
            <w:r>
              <w:rPr>
                <w:rFonts w:hint="eastAsia" w:cs="宋体"/>
                <w:color w:val="auto"/>
                <w:szCs w:val="21"/>
                <w:highlight w:val="none"/>
                <w:lang w:val="en-US" w:eastAsia="zh-CN"/>
              </w:rPr>
              <w:t>13365700719</w:t>
            </w:r>
          </w:p>
        </w:tc>
      </w:tr>
      <w:tr w14:paraId="4B0399A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2BF6AB5">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96E195">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招标</w:t>
            </w:r>
            <w:r>
              <w:rPr>
                <w:rFonts w:cs="Times New Roman"/>
                <w:highlight w:val="none"/>
              </w:rPr>
              <w:t>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BC6518">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eastAsia="宋体" w:cs="宋体"/>
                <w:highlight w:val="none"/>
                <w:lang w:val="en-US" w:eastAsia="zh-CN"/>
              </w:rPr>
            </w:pPr>
            <w:r>
              <w:rPr>
                <w:rFonts w:hint="eastAsia" w:ascii="宋体" w:hAnsi="宋体" w:eastAsia="宋体" w:cs="宋体"/>
                <w:bCs/>
                <w:color w:val="auto"/>
                <w:sz w:val="21"/>
                <w:szCs w:val="21"/>
                <w:highlight w:val="none"/>
              </w:rPr>
              <w:t>联系人：</w:t>
            </w:r>
            <w:r>
              <w:rPr>
                <w:rFonts w:hint="eastAsia" w:cs="宋体"/>
                <w:color w:val="auto"/>
                <w:szCs w:val="21"/>
                <w:highlight w:val="none"/>
                <w:lang w:val="en-US" w:eastAsia="zh-CN"/>
              </w:rPr>
              <w:t>陈艳菊</w:t>
            </w:r>
            <w:r>
              <w:rPr>
                <w:rFonts w:hint="eastAsia" w:ascii="宋体" w:hAnsi="宋体" w:eastAsia="宋体" w:cs="宋体"/>
                <w:bCs/>
                <w:color w:val="auto"/>
                <w:sz w:val="21"/>
                <w:szCs w:val="21"/>
                <w:highlight w:val="none"/>
              </w:rPr>
              <w:t>；</w:t>
            </w:r>
            <w:r>
              <w:rPr>
                <w:rFonts w:hint="eastAsia" w:hAnsi="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电话：</w:t>
            </w:r>
            <w:r>
              <w:rPr>
                <w:rFonts w:hint="eastAsia" w:cs="宋体"/>
                <w:color w:val="auto"/>
                <w:szCs w:val="21"/>
                <w:highlight w:val="none"/>
                <w:lang w:eastAsia="zh-CN"/>
              </w:rPr>
              <w:t>15255016513</w:t>
            </w:r>
          </w:p>
        </w:tc>
      </w:tr>
      <w:tr w14:paraId="34BA6B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58CB87">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6B000BC">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资金来源</w:t>
            </w:r>
            <w:r>
              <w:rPr>
                <w:rFonts w:cs="Times New Roman"/>
                <w:color w:val="auto"/>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2B1A80">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color w:val="auto"/>
                <w:highlight w:val="none"/>
                <w:lang w:val="en-US"/>
              </w:rPr>
            </w:pPr>
            <w:r>
              <w:rPr>
                <w:rFonts w:hint="eastAsia" w:cs="Times New Roman"/>
                <w:color w:val="auto"/>
                <w:highlight w:val="none"/>
                <w:lang w:val="en-US" w:eastAsia="zh-CN"/>
              </w:rPr>
              <w:t>自筹</w:t>
            </w:r>
            <w:r>
              <w:rPr>
                <w:rFonts w:cs="Times New Roman"/>
                <w:color w:val="auto"/>
                <w:highlight w:val="none"/>
              </w:rPr>
              <w:t>资金</w:t>
            </w:r>
          </w:p>
        </w:tc>
      </w:tr>
      <w:tr w14:paraId="15568A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B6F4533">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5E8B138">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36E70A">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290000.00元</w:t>
            </w:r>
          </w:p>
        </w:tc>
      </w:tr>
      <w:tr w14:paraId="05BF10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15A719">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5528CA">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81B679">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290000.00元</w:t>
            </w:r>
            <w:r>
              <w:rPr>
                <w:rFonts w:hint="eastAsia" w:ascii="宋体" w:hAnsi="宋体" w:eastAsia="宋体" w:cs="宋体"/>
                <w:bCs/>
                <w:color w:val="000000"/>
                <w:szCs w:val="21"/>
                <w:highlight w:val="none"/>
                <w:lang w:val="en-US" w:eastAsia="zh-CN"/>
              </w:rPr>
              <w:t>，投标报价不得超过最高限价，否则按无效投标处理。</w:t>
            </w:r>
          </w:p>
        </w:tc>
      </w:tr>
      <w:tr w14:paraId="5614A7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DAE962">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5B5ACDA">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18566E4">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14:paraId="63ECDA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D1FD93">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CAAA2B9">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7C5FCB">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325E42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FB2A5FA">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E76F3A">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A274D6">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509145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FA12618">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C9C852">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65305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8DB3C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54B2DB">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EFF79F">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6668D6">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0BEEC0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3088F36">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7E399A">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E6C651">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Times New Roman"/>
                <w:highlight w:val="none"/>
              </w:rPr>
              <w:t>不召开</w:t>
            </w:r>
          </w:p>
        </w:tc>
      </w:tr>
      <w:tr w14:paraId="0FA964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7564176">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85BB8F">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DF981F">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b w:val="0"/>
                <w:bCs w:val="0"/>
                <w:highlight w:val="none"/>
                <w:lang w:val="en-US"/>
              </w:rPr>
            </w:pPr>
            <w:r>
              <w:rPr>
                <w:rFonts w:hint="eastAsia" w:cs="Times New Roman"/>
                <w:b w:val="0"/>
                <w:bCs w:val="0"/>
                <w:highlight w:val="none"/>
              </w:rPr>
              <w:t>质疑时间：202</w:t>
            </w:r>
            <w:r>
              <w:rPr>
                <w:rFonts w:hint="eastAsia" w:cs="Times New Roman"/>
                <w:b w:val="0"/>
                <w:bCs w:val="0"/>
                <w:highlight w:val="none"/>
                <w:lang w:val="en-US" w:eastAsia="zh-CN"/>
              </w:rPr>
              <w:t>5</w:t>
            </w:r>
            <w:r>
              <w:rPr>
                <w:rFonts w:hint="eastAsia" w:cs="Times New Roman"/>
                <w:b w:val="0"/>
                <w:bCs w:val="0"/>
                <w:highlight w:val="none"/>
              </w:rPr>
              <w:t>年</w:t>
            </w:r>
            <w:r>
              <w:rPr>
                <w:rFonts w:hint="eastAsia" w:cs="Times New Roman"/>
                <w:b w:val="0"/>
                <w:bCs w:val="0"/>
                <w:highlight w:val="none"/>
                <w:lang w:val="en-US" w:eastAsia="zh-CN"/>
              </w:rPr>
              <w:t>3</w:t>
            </w:r>
            <w:r>
              <w:rPr>
                <w:rFonts w:hint="eastAsia" w:cs="Times New Roman"/>
                <w:b w:val="0"/>
                <w:bCs w:val="0"/>
                <w:highlight w:val="none"/>
              </w:rPr>
              <w:t>月</w:t>
            </w:r>
            <w:r>
              <w:rPr>
                <w:rFonts w:hint="eastAsia" w:cs="Times New Roman"/>
                <w:b w:val="0"/>
                <w:bCs w:val="0"/>
                <w:highlight w:val="none"/>
                <w:lang w:val="en-US" w:eastAsia="zh-CN"/>
              </w:rPr>
              <w:t xml:space="preserve"> 27 </w:t>
            </w:r>
            <w:r>
              <w:rPr>
                <w:rFonts w:hint="eastAsia" w:cs="Times New Roman"/>
                <w:b w:val="0"/>
                <w:bCs w:val="0"/>
                <w:highlight w:val="none"/>
              </w:rPr>
              <w:t>日</w:t>
            </w:r>
            <w:r>
              <w:rPr>
                <w:rFonts w:hint="eastAsia" w:cs="Times New Roman"/>
                <w:b w:val="0"/>
                <w:bCs w:val="0"/>
                <w:highlight w:val="none"/>
                <w:lang w:val="en-US" w:eastAsia="zh-CN"/>
              </w:rPr>
              <w:t>8</w:t>
            </w:r>
            <w:r>
              <w:rPr>
                <w:rFonts w:hint="eastAsia" w:cs="Times New Roman"/>
                <w:b w:val="0"/>
                <w:bCs w:val="0"/>
                <w:highlight w:val="none"/>
              </w:rPr>
              <w:t>时前，供应商将所遇到的问题将疑问以书面形式（加盖公章）送至招标代理机构处，本项目不再集中召开投标预备会。</w:t>
            </w:r>
          </w:p>
        </w:tc>
      </w:tr>
      <w:tr w14:paraId="1F6FD4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2F2E70D">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B9BFD5F">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DC82B8D">
            <w:pPr>
              <w:keepNext w:val="0"/>
              <w:keepLines w:val="0"/>
              <w:pageBreakBefore w:val="0"/>
              <w:suppressLineNumbers w:val="0"/>
              <w:kinsoku/>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bCs/>
                <w:color w:val="auto"/>
                <w:kern w:val="2"/>
                <w:sz w:val="21"/>
                <w:szCs w:val="21"/>
                <w:highlight w:val="none"/>
                <w:u w:color="auto"/>
                <w:lang w:val="en-US" w:eastAsia="zh-CN" w:bidi="ar"/>
              </w:rPr>
              <w:t>2025年3月28日12时后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hAnsi="宋体" w:eastAsia="宋体" w:cs="宋体"/>
                <w:color w:val="auto"/>
                <w:kern w:val="0"/>
                <w:sz w:val="21"/>
                <w:szCs w:val="21"/>
                <w:highlight w:val="none"/>
                <w:u w:color="000000"/>
                <w:lang w:val="en-US" w:eastAsia="zh-CN" w:bidi="ar"/>
              </w:rPr>
              <w:t>【琅琊山景区】(https://www.lysfjq.cn/)</w:t>
            </w:r>
            <w:r>
              <w:rPr>
                <w:rFonts w:hint="eastAsia" w:ascii="宋体" w:cs="宋体"/>
                <w:szCs w:val="21"/>
                <w:highlight w:val="none"/>
              </w:rPr>
              <w:t>发布。</w:t>
            </w:r>
          </w:p>
        </w:tc>
      </w:tr>
      <w:tr w14:paraId="6ACA53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01F48B1">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8FB7F83">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81164A1">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FDF63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C148A9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5D36EE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代理服务及专家评审等费用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568F93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代理服务费用金额：1300元，专家评审费按实计算。</w:t>
            </w:r>
          </w:p>
          <w:p w14:paraId="7CCEBC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代理服务费及专家评审等费用支付主体：中标单位，中标单位在获取中标通知书时一次性支付给代理机构。</w:t>
            </w:r>
          </w:p>
        </w:tc>
      </w:tr>
      <w:tr w14:paraId="63505D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E7E3E8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7A21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44263A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563CEC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B51F4AF">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3D28EE6">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77314D5">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9</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2EB758D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53C42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AC995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2D0AFD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16623B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63E95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AB2C5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0CB9011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投标文件须按格式文件要求签字或盖章</w:t>
            </w:r>
          </w:p>
        </w:tc>
      </w:tr>
      <w:tr w14:paraId="7B2153C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C592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3B185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5DE9A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正本一份，副本</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份。密封后递交</w:t>
            </w:r>
            <w:r>
              <w:rPr>
                <w:rFonts w:hint="eastAsia" w:ascii="宋体" w:hAnsi="宋体" w:cs="宋体"/>
                <w:color w:val="auto"/>
                <w:szCs w:val="21"/>
                <w:highlight w:val="none"/>
                <w:lang w:eastAsia="zh-CN"/>
              </w:rPr>
              <w:t>。</w:t>
            </w:r>
          </w:p>
        </w:tc>
      </w:tr>
      <w:tr w14:paraId="182970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46C6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color w:val="auto"/>
                <w:sz w:val="21"/>
                <w:szCs w:val="21"/>
                <w:highlight w:val="none"/>
                <w:lang w:val="en-US" w:eastAsia="zh-CN"/>
              </w:rPr>
            </w:pPr>
            <w:r>
              <w:rPr>
                <w:rFonts w:hint="eastAsia" w:ascii="宋体" w:cs="宋体"/>
                <w:color w:val="auto"/>
                <w:sz w:val="21"/>
                <w:szCs w:val="21"/>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DA289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cs="宋体"/>
                <w:szCs w:val="21"/>
                <w:highlight w:val="none"/>
              </w:rPr>
            </w:pPr>
            <w:r>
              <w:rPr>
                <w:rFonts w:hint="eastAsia" w:ascii="宋体" w:hAnsi="宋体" w:cs="宋体"/>
                <w:szCs w:val="21"/>
                <w:highlight w:val="none"/>
              </w:rPr>
              <w:t>装订要求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2F967B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投标文件按顺序装订</w:t>
            </w:r>
          </w:p>
        </w:tc>
      </w:tr>
      <w:tr w14:paraId="3C79FB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AD264A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color w:val="auto"/>
                <w:sz w:val="21"/>
                <w:szCs w:val="21"/>
                <w:highlight w:val="none"/>
                <w:lang w:val="en-US" w:eastAsia="zh-CN"/>
              </w:rPr>
            </w:pPr>
            <w:r>
              <w:rPr>
                <w:rFonts w:hint="eastAsia" w:ascii="宋体" w:cs="宋体"/>
                <w:color w:val="auto"/>
                <w:sz w:val="21"/>
                <w:szCs w:val="21"/>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63417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cs="宋体"/>
                <w:szCs w:val="21"/>
                <w:highlight w:val="none"/>
              </w:rPr>
            </w:pPr>
            <w:r>
              <w:rPr>
                <w:rFonts w:hint="eastAsia" w:ascii="宋体" w:hAnsi="宋体" w:cs="宋体"/>
                <w:szCs w:val="21"/>
                <w:highlight w:val="none"/>
              </w:rPr>
              <w:t>投标文件封套上应载明的信息</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97F19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投标人地址：</w:t>
            </w:r>
          </w:p>
          <w:p w14:paraId="61238A3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投标人名称：</w:t>
            </w:r>
          </w:p>
          <w:p w14:paraId="2483B4B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 xml:space="preserve">                                   （项目名称）投标文件</w:t>
            </w:r>
          </w:p>
          <w:p w14:paraId="6E77580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在 2025年  月  日  时  分前不得开启</w:t>
            </w:r>
          </w:p>
        </w:tc>
      </w:tr>
      <w:tr w14:paraId="3AC2FD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vMerge w:val="restart"/>
            <w:tcBorders>
              <w:top w:val="single" w:color="auto" w:sz="8" w:space="0"/>
              <w:left w:val="single" w:color="auto" w:sz="12" w:space="0"/>
              <w:right w:val="single" w:color="auto" w:sz="8" w:space="0"/>
            </w:tcBorders>
            <w:shd w:val="clear" w:color="auto" w:fill="auto"/>
            <w:vAlign w:val="center"/>
          </w:tcPr>
          <w:p w14:paraId="6B4C1B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77E7E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b/>
                <w:bCs/>
                <w:kern w:val="2"/>
                <w:highlight w:val="none"/>
                <w:lang w:val="en-US"/>
              </w:rPr>
            </w:pPr>
            <w:r>
              <w:rPr>
                <w:rFonts w:hint="eastAsia" w:ascii="宋体"/>
                <w:b/>
                <w:bCs/>
                <w:color w:val="auto"/>
                <w:sz w:val="21"/>
                <w:szCs w:val="21"/>
                <w:highlight w:val="none"/>
              </w:rPr>
              <w:t>投标截止时间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063DE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b/>
                <w:bCs/>
                <w:color w:val="000000"/>
                <w:kern w:val="2"/>
                <w:sz w:val="21"/>
                <w:szCs w:val="21"/>
                <w:highlight w:val="none"/>
                <w:u w:color="000000"/>
                <w:lang w:val="en-US" w:eastAsia="zh-CN" w:bidi="ar"/>
              </w:rPr>
            </w:pPr>
            <w:r>
              <w:rPr>
                <w:rFonts w:hint="eastAsia" w:ascii="宋体" w:hAnsi="宋体" w:eastAsia="宋体" w:cs="宋体"/>
                <w:b/>
                <w:bCs/>
                <w:color w:val="000000"/>
                <w:kern w:val="2"/>
                <w:sz w:val="21"/>
                <w:szCs w:val="21"/>
                <w:highlight w:val="none"/>
                <w:u w:color="000000"/>
                <w:lang w:val="en-US" w:eastAsia="zh-CN" w:bidi="ar"/>
              </w:rPr>
              <w:t xml:space="preserve"> 2025年3月 31 日14时30分（北京时间）</w:t>
            </w:r>
          </w:p>
        </w:tc>
      </w:tr>
      <w:tr w14:paraId="2521B0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vMerge w:val="continue"/>
            <w:tcBorders>
              <w:left w:val="single" w:color="auto" w:sz="12" w:space="0"/>
              <w:right w:val="single" w:color="auto" w:sz="8" w:space="0"/>
            </w:tcBorders>
            <w:shd w:val="clear" w:color="auto" w:fill="auto"/>
            <w:vAlign w:val="center"/>
          </w:tcPr>
          <w:p w14:paraId="6737831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75C0C6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BC97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b/>
                <w:bCs/>
                <w:color w:val="000000"/>
                <w:kern w:val="2"/>
                <w:sz w:val="21"/>
                <w:szCs w:val="21"/>
                <w:highlight w:val="none"/>
                <w:u w:color="000000"/>
                <w:lang w:val="en-US" w:eastAsia="zh-CN" w:bidi="ar"/>
              </w:rPr>
            </w:pPr>
            <w:r>
              <w:rPr>
                <w:rFonts w:hint="eastAsia" w:ascii="宋体" w:hAnsi="宋体" w:eastAsia="宋体" w:cs="宋体"/>
                <w:b/>
                <w:bCs/>
                <w:color w:val="000000"/>
                <w:kern w:val="2"/>
                <w:sz w:val="21"/>
                <w:szCs w:val="21"/>
                <w:highlight w:val="none"/>
                <w:u w:color="000000"/>
                <w:lang w:val="en-US" w:eastAsia="zh-CN" w:bidi="ar"/>
              </w:rPr>
              <w:t>开标时间：2025年3月 31 日14时30分（北京时间）</w:t>
            </w:r>
          </w:p>
          <w:p w14:paraId="1321B9D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b/>
                <w:bCs/>
                <w:color w:val="000000"/>
                <w:kern w:val="2"/>
                <w:sz w:val="21"/>
                <w:szCs w:val="21"/>
                <w:highlight w:val="none"/>
                <w:u w:color="000000"/>
                <w:lang w:val="en-US" w:eastAsia="zh-CN" w:bidi="ar"/>
              </w:rPr>
            </w:pPr>
            <w:r>
              <w:rPr>
                <w:rFonts w:hint="eastAsia" w:ascii="宋体" w:hAnsi="宋体" w:eastAsia="宋体" w:cs="宋体"/>
                <w:b/>
                <w:bCs/>
                <w:color w:val="000000"/>
                <w:kern w:val="2"/>
                <w:sz w:val="21"/>
                <w:szCs w:val="21"/>
                <w:highlight w:val="none"/>
                <w:u w:color="000000"/>
                <w:lang w:val="en-US" w:eastAsia="zh-CN" w:bidi="ar"/>
              </w:rPr>
              <w:t xml:space="preserve">开标地点：安徽省琅耶山健身休闲有限公司会议室（安徽省滁州市西涧中路4306号） </w:t>
            </w:r>
          </w:p>
        </w:tc>
      </w:tr>
      <w:tr w14:paraId="1D95FF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20" w:hRule="atLeast"/>
        </w:trPr>
        <w:tc>
          <w:tcPr>
            <w:tcW w:w="1035" w:type="dxa"/>
            <w:vMerge w:val="continue"/>
            <w:tcBorders>
              <w:left w:val="single" w:color="auto" w:sz="12" w:space="0"/>
              <w:bottom w:val="single" w:color="auto" w:sz="8" w:space="0"/>
              <w:right w:val="single" w:color="auto" w:sz="8" w:space="0"/>
            </w:tcBorders>
            <w:shd w:val="clear" w:color="auto" w:fill="auto"/>
            <w:vAlign w:val="center"/>
          </w:tcPr>
          <w:p w14:paraId="6BA141D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A6F6AA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4112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密封情况：由投标人或其推选的代表检查投标文件的密封情况 ；</w:t>
            </w:r>
          </w:p>
          <w:p w14:paraId="7C75613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开标顺序：由代理机构开启投标文件，报评标委员会评审。</w:t>
            </w:r>
          </w:p>
        </w:tc>
      </w:tr>
      <w:tr w14:paraId="2DC992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FC0359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8807A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1C0B6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否</w:t>
            </w:r>
          </w:p>
        </w:tc>
      </w:tr>
      <w:tr w14:paraId="447009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5CECF7D">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B95D86">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8CA97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4D0BBA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38E6340">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E7EBB21">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4E59C4">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w:t>
            </w:r>
            <w:r>
              <w:rPr>
                <w:rFonts w:hint="eastAsia" w:cs="宋体"/>
                <w:szCs w:val="21"/>
                <w:highlight w:val="none"/>
                <w:lang w:val="en-US" w:eastAsia="zh-CN"/>
              </w:rPr>
              <w:t>3</w:t>
            </w:r>
            <w:r>
              <w:rPr>
                <w:rFonts w:hint="eastAsia" w:ascii="宋体" w:hAnsi="宋体" w:cs="宋体"/>
                <w:szCs w:val="21"/>
                <w:highlight w:val="none"/>
              </w:rPr>
              <w:t>名，并标明排序。</w:t>
            </w:r>
          </w:p>
        </w:tc>
      </w:tr>
      <w:tr w14:paraId="6D0541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9CF490">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DE3C587">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46DABE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1FB75986">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w:t>
            </w:r>
            <w:r>
              <w:rPr>
                <w:rFonts w:hint="eastAsia" w:ascii="宋体" w:hAnsi="Times New Roman" w:eastAsia="宋体" w:cs="Times New Roman"/>
                <w:color w:val="auto"/>
                <w:szCs w:val="21"/>
                <w:highlight w:val="none"/>
              </w:rPr>
              <w:t>公告期为1个工作日</w:t>
            </w:r>
          </w:p>
        </w:tc>
      </w:tr>
      <w:tr w14:paraId="606B27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F2B44F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545E71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83A33E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0EFDB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18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47A36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25822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color w:val="auto"/>
                <w:sz w:val="21"/>
                <w:szCs w:val="21"/>
                <w:highlight w:val="none"/>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4A377E5">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是否收取履约担保</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 xml:space="preserve">收取 </w:t>
            </w:r>
          </w:p>
          <w:p w14:paraId="6C058483">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形式：支持银行转账、银行电汇、银行保函、担保机构担保、保证保险使用</w:t>
            </w:r>
          </w:p>
          <w:p w14:paraId="1F5701D1">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金额：中标合同金额×</w:t>
            </w:r>
            <w:r>
              <w:rPr>
                <w:rFonts w:hint="eastAsia" w:ascii="宋体" w:hAnsi="宋体" w:eastAsia="宋体" w:cs="宋体"/>
                <w:b w:val="0"/>
                <w:bCs w:val="0"/>
                <w:color w:val="auto"/>
                <w:sz w:val="21"/>
                <w:szCs w:val="21"/>
                <w:highlight w:val="none"/>
                <w:lang w:val="en-US" w:eastAsia="zh-CN"/>
              </w:rPr>
              <w:t>2</w:t>
            </w:r>
            <w:r>
              <w:rPr>
                <w:rFonts w:hint="eastAsia"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w:t>
            </w:r>
          </w:p>
          <w:p w14:paraId="0B2DCB0A">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收款单位：另行通知                  </w:t>
            </w:r>
          </w:p>
          <w:p w14:paraId="7B300AA7">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开户银行：另行通知                 </w:t>
            </w:r>
          </w:p>
          <w:p w14:paraId="5A963791">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银行账号：另行通知  </w:t>
            </w:r>
          </w:p>
          <w:p w14:paraId="1EC282C6">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缴纳时限：中标人须在中标通知书发出后</w:t>
            </w:r>
            <w:r>
              <w:rPr>
                <w:rFonts w:hint="eastAsia"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rPr>
              <w:t xml:space="preserve">日内完成履约保证金缴纳及合同签订，如未按期交齐履约保证金或未按期签订合同的，视同放弃中标资格。 </w:t>
            </w:r>
          </w:p>
          <w:p w14:paraId="62CB20EF">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退还时限：履约保证金有效期满7日内。</w:t>
            </w:r>
          </w:p>
          <w:p w14:paraId="716BDC32">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其他相关要求：</w:t>
            </w:r>
          </w:p>
          <w:p w14:paraId="726B2BC1">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1、采用银行保函的具体要求</w:t>
            </w:r>
          </w:p>
          <w:p w14:paraId="3309B334">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①保函形式须为见索即付型（无条件保函）；</w:t>
            </w:r>
          </w:p>
          <w:p w14:paraId="0C2B462A">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②须经招标人认可。</w:t>
            </w:r>
          </w:p>
          <w:p w14:paraId="597D7020">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2、采用担保保函的具体要求：须经招标人认可。</w:t>
            </w:r>
          </w:p>
          <w:p w14:paraId="20854CA2">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3、采用商业保险的具体要求：须经招标人认可。</w:t>
            </w:r>
          </w:p>
          <w:p w14:paraId="1BA30E4C">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b w:val="0"/>
                <w:bCs w:val="0"/>
                <w:color w:val="auto"/>
                <w:sz w:val="21"/>
                <w:szCs w:val="21"/>
                <w:highlight w:val="none"/>
              </w:rPr>
              <w:t>4、采用第三方担保的具体要求：须经招标人认可。</w:t>
            </w:r>
          </w:p>
        </w:tc>
      </w:tr>
      <w:tr w14:paraId="440699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0C87E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宋体" w:hAnsi="宋体" w:eastAsia="宋体" w:cs="宋体"/>
                <w:color w:val="auto"/>
                <w:kern w:val="2"/>
                <w:highlight w:val="none"/>
                <w:lang w:val="en-US"/>
              </w:rPr>
            </w:pPr>
            <w:r>
              <w:rPr>
                <w:rFonts w:hint="eastAsia" w:ascii="宋体"/>
                <w:color w:val="auto"/>
                <w:sz w:val="21"/>
                <w:szCs w:val="21"/>
                <w:highlight w:val="yellow"/>
              </w:rPr>
              <w:t>付款方式、时间、条件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43257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eastAsiaTheme="minorEastAsia"/>
                <w:color w:val="auto"/>
                <w:highlight w:val="none"/>
                <w:lang w:val="en-US" w:eastAsia="zh-CN"/>
              </w:rPr>
            </w:pPr>
            <w:r>
              <w:rPr>
                <w:rFonts w:hint="eastAsia" w:ascii="宋体" w:hAnsi="宋体" w:eastAsia="宋体" w:cs="宋体"/>
                <w:b/>
                <w:bCs/>
                <w:color w:val="auto"/>
                <w:sz w:val="21"/>
                <w:szCs w:val="21"/>
                <w:highlight w:val="none"/>
                <w:lang w:val="en-US" w:eastAsia="zh-CN"/>
              </w:rPr>
              <w:t>1.无预付款，中标人将货物运至指定地点并由采购人验收合格后，</w:t>
            </w:r>
            <w:r>
              <w:rPr>
                <w:rFonts w:hint="eastAsia" w:ascii="宋体" w:hAnsi="宋体" w:eastAsia="宋体" w:cs="宋体"/>
                <w:b/>
                <w:bCs/>
                <w:color w:val="auto"/>
                <w:sz w:val="21"/>
                <w:szCs w:val="21"/>
                <w:highlight w:val="yellow"/>
                <w:lang w:val="en-US" w:eastAsia="zh-CN"/>
              </w:rPr>
              <w:t>支付95%合同价款，剩余5%质保期结束后付清。</w:t>
            </w:r>
          </w:p>
        </w:tc>
      </w:tr>
      <w:tr w14:paraId="2E292F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D8D9BE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4E2D731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67E011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021921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51301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6D65F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63863D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08BC9A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296D01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019FC2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F5B72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B0962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bl>
    <w:p w14:paraId="6D2E5900">
      <w:pPr>
        <w:rPr>
          <w:rFonts w:hint="eastAsia" w:ascii="宋体" w:hAnsi="宋体" w:eastAsia="宋体" w:cs="宋体"/>
          <w:b/>
          <w:bCs w:val="0"/>
          <w:color w:val="000000"/>
          <w:kern w:val="0"/>
          <w:sz w:val="28"/>
          <w:szCs w:val="28"/>
          <w:highlight w:val="none"/>
          <w:u w:color="000000"/>
          <w:lang w:val="en-US" w:eastAsia="zh-CN" w:bidi="ar"/>
        </w:rPr>
      </w:pPr>
      <w:bookmarkStart w:id="21" w:name="_Toc122"/>
      <w:bookmarkEnd w:id="21"/>
      <w:r>
        <w:rPr>
          <w:rFonts w:hint="eastAsia" w:ascii="宋体" w:hAnsi="宋体" w:eastAsia="宋体" w:cs="宋体"/>
          <w:b/>
          <w:bCs w:val="0"/>
          <w:color w:val="000000"/>
          <w:kern w:val="0"/>
          <w:sz w:val="28"/>
          <w:szCs w:val="28"/>
          <w:highlight w:val="none"/>
          <w:u w:color="000000"/>
          <w:lang w:val="en-US" w:eastAsia="zh-CN" w:bidi="ar"/>
        </w:rPr>
        <w:br w:type="page"/>
      </w:r>
    </w:p>
    <w:p w14:paraId="7DB96E6E">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38D265B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2" w:name="_Toc26859"/>
      <w:bookmarkEnd w:id="22"/>
      <w:bookmarkStart w:id="23"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3"/>
    </w:p>
    <w:p w14:paraId="4B1C0DA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4B3F8BE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3915296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7D9CE29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14:paraId="121E3EE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14:paraId="6E00A15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7B587397">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288E078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2749154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650C99C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1A8621EC">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14:paraId="0A2992A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00410E5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2AE641D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14:paraId="79E376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06888F8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14:paraId="74577EF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31BC579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5.计价方式：</w:t>
      </w:r>
    </w:p>
    <w:p w14:paraId="1108D155">
      <w:pPr>
        <w:snapToGrid w:val="0"/>
        <w:spacing w:line="440" w:lineRule="exact"/>
        <w:ind w:firstLine="420" w:firstLineChars="200"/>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5.1本次招标项目合同采用</w:t>
      </w:r>
      <w:r>
        <w:rPr>
          <w:rFonts w:hint="eastAsia" w:ascii="宋体" w:hAnsi="宋体" w:eastAsia="宋体" w:cs="宋体"/>
          <w:color w:val="auto"/>
          <w:kern w:val="0"/>
          <w:sz w:val="21"/>
          <w:szCs w:val="21"/>
          <w:highlight w:val="none"/>
          <w:u w:val="single" w:color="000000"/>
          <w:lang w:val="en-US" w:eastAsia="zh-CN" w:bidi="ar"/>
        </w:rPr>
        <w:t xml:space="preserve">   固定单价 。</w:t>
      </w:r>
    </w:p>
    <w:p w14:paraId="0C5E0F5E">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6.评标办法：</w:t>
      </w:r>
    </w:p>
    <w:p w14:paraId="1794C86E">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6.1本次招标评标采用</w:t>
      </w:r>
      <w:r>
        <w:rPr>
          <w:rFonts w:hint="eastAsia" w:ascii="宋体" w:hAnsi="宋体" w:eastAsia="宋体" w:cs="宋体"/>
          <w:color w:val="auto"/>
          <w:kern w:val="0"/>
          <w:sz w:val="21"/>
          <w:szCs w:val="21"/>
          <w:highlight w:val="none"/>
          <w:u w:val="single" w:color="000000"/>
          <w:lang w:val="en-US" w:eastAsia="zh-CN" w:bidi="ar"/>
        </w:rPr>
        <w:t xml:space="preserve"> 综合评分法。</w:t>
      </w:r>
      <w:r>
        <w:rPr>
          <w:rFonts w:hint="eastAsia" w:ascii="宋体" w:hAnsi="宋体" w:eastAsia="宋体" w:cs="宋体"/>
          <w:color w:val="auto"/>
          <w:kern w:val="0"/>
          <w:sz w:val="21"/>
          <w:szCs w:val="21"/>
          <w:highlight w:val="none"/>
          <w:u w:color="000000"/>
          <w:lang w:val="en-US" w:eastAsia="zh-CN" w:bidi="ar"/>
        </w:rPr>
        <w:t>（详见第三章评标办法）</w:t>
      </w:r>
    </w:p>
    <w:p w14:paraId="10749633">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14:paraId="2D5224B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2F40857E">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14:paraId="3A4F1F6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3964E7CB">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4" w:name="_Toc144974507"/>
      <w:bookmarkEnd w:id="24"/>
      <w:bookmarkStart w:id="25" w:name="_Toc247527563"/>
      <w:bookmarkEnd w:id="25"/>
      <w:bookmarkStart w:id="26" w:name="_Toc152042315"/>
      <w:bookmarkEnd w:id="26"/>
      <w:bookmarkStart w:id="27" w:name="_Toc247513962"/>
      <w:bookmarkEnd w:id="27"/>
      <w:bookmarkStart w:id="28" w:name="_Toc152045539"/>
      <w:bookmarkEnd w:id="28"/>
      <w:bookmarkStart w:id="29" w:name="_Toc296602429"/>
      <w:bookmarkEnd w:id="29"/>
      <w:bookmarkStart w:id="30"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30"/>
    </w:p>
    <w:p w14:paraId="7F8898A1">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253E4FE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102E547A">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3FF7D76F">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73F0B66D">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无论投标人是否到现场实地踏勘，中标后签订合同时和履约过程中，投标人不得以不完全了解现场情况或现场情况与招标文件描述不一致等为由，提出任何形式的增加工程造价或索赔的要求。</w:t>
      </w:r>
    </w:p>
    <w:p w14:paraId="6A4C187C">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75FD52D1">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34408D9F">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14:paraId="40C643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838BA27">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14:paraId="3A67BB84">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34881099">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14:paraId="5B03D80D">
      <w:pPr>
        <w:spacing w:line="360" w:lineRule="auto"/>
        <w:ind w:firstLine="420" w:firstLineChars="200"/>
        <w:rPr>
          <w:rFonts w:hint="eastAsia" w:ascii="宋体"/>
          <w:szCs w:val="21"/>
          <w:highlight w:val="none"/>
        </w:rPr>
      </w:pPr>
      <w:bookmarkStart w:id="31" w:name="_Toc24655"/>
      <w:bookmarkEnd w:id="31"/>
      <w:bookmarkStart w:id="32" w:name="_Toc10668_WPSOffice_Level3"/>
      <w:bookmarkEnd w:id="32"/>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599EC1A">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14:paraId="6883FDA0">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14:paraId="71B1EE4F">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14:paraId="03C36306">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（1）国家对本次投标货物和服务的生产、调试、验收、维修等有关法律、法规及行业管理标准；</w:t>
      </w:r>
    </w:p>
    <w:p w14:paraId="63BCE63D">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7C2B91E9">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14:paraId="4752FE06">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172994F5">
      <w:pPr>
        <w:spacing w:line="440" w:lineRule="exact"/>
        <w:ind w:firstLine="527" w:firstLineChars="250"/>
        <w:rPr>
          <w:rFonts w:ascii="宋体"/>
          <w:bCs/>
          <w:szCs w:val="21"/>
          <w:highlight w:val="none"/>
        </w:rPr>
      </w:pPr>
      <w:r>
        <w:rPr>
          <w:rFonts w:hint="eastAsia" w:ascii="宋体"/>
          <w:b/>
          <w:szCs w:val="21"/>
          <w:highlight w:val="none"/>
        </w:rPr>
        <w:t>14.保密</w:t>
      </w:r>
    </w:p>
    <w:p w14:paraId="26F77F25">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14:paraId="2D5886FA">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1CF2757D">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14:paraId="12E1FD4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29427645">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14:paraId="085CC0C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C323C1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2A53CA6A">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485980C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3E37ADA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采购需求</w:t>
      </w:r>
    </w:p>
    <w:p w14:paraId="40F9A7C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0B8E0D1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w:t>
      </w:r>
    </w:p>
    <w:p w14:paraId="61AB69E5">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267EC58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6C36944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64DF8F4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6B3AFC2E">
      <w:pPr>
        <w:spacing w:line="440" w:lineRule="exact"/>
        <w:ind w:firstLine="422"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14:paraId="11DCB263">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网上留言或书面形式提出。招标人将在收到异议之日起3日内作出答复；作出答复前，将暂停招标投标活动。</w:t>
      </w:r>
    </w:p>
    <w:p w14:paraId="0039AA3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5F7DB09B">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14:paraId="2F91AC3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b/>
          <w:bCs w:val="0"/>
          <w:color w:val="000000"/>
          <w:kern w:val="0"/>
          <w:sz w:val="21"/>
          <w:szCs w:val="21"/>
          <w:highlight w:val="none"/>
          <w:u w:color="000000"/>
          <w:lang w:val="en-US" w:eastAsia="zh-CN" w:bidi="ar"/>
        </w:rPr>
        <w:t>【琅琊山景区】(https://www.lysfjq.cn/)</w:t>
      </w:r>
      <w:r>
        <w:rPr>
          <w:rFonts w:hint="eastAsia" w:ascii="宋体" w:hAnsi="宋体" w:eastAsia="宋体" w:cs="宋体"/>
          <w:bCs/>
          <w:color w:val="000000"/>
          <w:kern w:val="0"/>
          <w:sz w:val="21"/>
          <w:szCs w:val="21"/>
          <w:highlight w:val="none"/>
          <w:u w:color="000000"/>
          <w:lang w:val="en-US" w:eastAsia="zh-CN" w:bidi="ar"/>
        </w:rPr>
        <w:t>发出。</w:t>
      </w:r>
    </w:p>
    <w:p w14:paraId="00E83DF1">
      <w:pPr>
        <w:spacing w:line="440" w:lineRule="exact"/>
        <w:ind w:firstLine="422" w:firstLineChars="200"/>
        <w:rPr>
          <w:rFonts w:hint="eastAsia" w:ascii="宋体" w:hAnsi="宋体" w:eastAsia="宋体" w:cs="宋体"/>
          <w:b/>
          <w:bCs w:val="0"/>
          <w:color w:val="000000"/>
          <w:kern w:val="0"/>
          <w:sz w:val="21"/>
          <w:szCs w:val="21"/>
          <w:highlight w:val="none"/>
          <w:u w:color="000000"/>
          <w:lang w:val="en-US" w:eastAsia="zh-CN" w:bidi="ar"/>
        </w:rPr>
      </w:pPr>
      <w:bookmarkStart w:id="33" w:name="_Toc1549_WPSOffice_Level3"/>
      <w:bookmarkEnd w:id="33"/>
      <w:bookmarkStart w:id="34" w:name="_Toc9710"/>
      <w:r>
        <w:rPr>
          <w:rFonts w:hint="eastAsia" w:ascii="宋体" w:hAnsi="宋体" w:eastAsia="宋体" w:cs="宋体"/>
          <w:b/>
          <w:bCs w:val="0"/>
          <w:color w:val="000000"/>
          <w:kern w:val="0"/>
          <w:sz w:val="21"/>
          <w:szCs w:val="21"/>
          <w:highlight w:val="none"/>
          <w:u w:color="000000"/>
          <w:lang w:val="en-US" w:eastAsia="zh-CN" w:bidi="ar"/>
        </w:rPr>
        <w:t>19.样品</w:t>
      </w:r>
      <w:bookmarkEnd w:id="34"/>
      <w:r>
        <w:rPr>
          <w:rFonts w:hint="eastAsia" w:ascii="宋体" w:hAnsi="宋体" w:eastAsia="宋体" w:cs="宋体"/>
          <w:b/>
          <w:bCs w:val="0"/>
          <w:color w:val="000000"/>
          <w:kern w:val="0"/>
          <w:sz w:val="21"/>
          <w:szCs w:val="21"/>
          <w:highlight w:val="none"/>
          <w:u w:color="000000"/>
          <w:lang w:val="en-US" w:eastAsia="zh-CN" w:bidi="ar"/>
        </w:rPr>
        <w:t>（本项目不采用）</w:t>
      </w:r>
    </w:p>
    <w:p w14:paraId="14539248">
      <w:pPr>
        <w:spacing w:line="440" w:lineRule="exact"/>
        <w:ind w:firstLine="420" w:firstLineChars="200"/>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b w:val="0"/>
          <w:bCs/>
          <w:color w:val="000000"/>
          <w:kern w:val="0"/>
          <w:sz w:val="21"/>
          <w:szCs w:val="21"/>
          <w:highlight w:val="none"/>
          <w:u w:color="000000"/>
          <w:lang w:val="en-US" w:eastAsia="zh-CN" w:bidi="ar"/>
        </w:rPr>
        <w:t>19.1 凡需要设置样品情形时，必须明确是否需要随样品提交检测报告，并明确检测机构的要求、检测内容、成交样品封存等事项。磋商小组无法判断样品是否合格且样品需要提供给第三方权威检测机构检测的,在供应商提供采购人认可的第三方权威检测机构检测报告后，磋商小组推荐的成交候选供应商方可生效，采购人或代理机构发布中标（成交）结果公告。磋商文件中应明确样品送检方式、检测费用支付方法、供应商在规定时间内无法提供第三方权威检测机构检测报告的处理方式。</w:t>
      </w:r>
      <w:r>
        <w:rPr>
          <w:rFonts w:hint="eastAsia" w:ascii="宋体" w:hAnsi="宋体" w:eastAsia="宋体" w:cs="宋体"/>
          <w:b/>
          <w:bCs w:val="0"/>
          <w:color w:val="000000"/>
          <w:kern w:val="0"/>
          <w:sz w:val="21"/>
          <w:szCs w:val="21"/>
          <w:highlight w:val="none"/>
          <w:u w:color="000000"/>
          <w:lang w:val="en-US" w:eastAsia="zh-CN" w:bidi="ar"/>
        </w:rPr>
        <w:t>（本项目不需要提供样品）</w:t>
      </w:r>
    </w:p>
    <w:p w14:paraId="0640972A">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4C4109A7">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 投标的语言及度量衡单位</w:t>
      </w:r>
    </w:p>
    <w:p w14:paraId="0CCF493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14:paraId="12B0525B">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14:paraId="2DDD0733">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14:paraId="7966AD9F">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21.1投标文件由投标文件一（资信证明文件）、投标文件二（技术标）和投标文件三（商务标）三部分组成。</w:t>
      </w:r>
    </w:p>
    <w:p w14:paraId="1C0D16DC">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21.2投标文件的编制</w:t>
      </w:r>
    </w:p>
    <w:p w14:paraId="7A1F0BE1">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14:paraId="0AF0D6A4">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7B54ECE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14:paraId="44F28A0F">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14:paraId="220FADCD">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22.3投标报价的综合单价包括完成本项目全部供货及服务的一切费用：包括但不限于设备费、材料费（含</w:t>
      </w:r>
      <w:r>
        <w:rPr>
          <w:rFonts w:hint="eastAsia"/>
          <w:highlight w:val="none"/>
          <w:lang w:val="en-US" w:eastAsia="zh-CN"/>
        </w:rPr>
        <w:t>辅材）</w:t>
      </w:r>
      <w:r>
        <w:rPr>
          <w:rFonts w:hint="eastAsia" w:ascii="宋体" w:hAnsi="宋体" w:eastAsia="宋体" w:cs="宋体"/>
          <w:color w:val="000000"/>
          <w:kern w:val="0"/>
          <w:sz w:val="21"/>
          <w:szCs w:val="21"/>
          <w:highlight w:val="none"/>
          <w:u w:color="000000"/>
          <w:lang w:val="en-US" w:eastAsia="zh-CN" w:bidi="ar"/>
        </w:rPr>
        <w:t>、装卸费、运输费、管理费、其他费</w:t>
      </w:r>
      <w:r>
        <w:rPr>
          <w:rFonts w:hint="eastAsia" w:ascii="宋体" w:hAnsi="宋体" w:eastAsia="宋体" w:cs="宋体"/>
          <w:color w:val="auto"/>
          <w:kern w:val="0"/>
          <w:sz w:val="21"/>
          <w:szCs w:val="21"/>
          <w:highlight w:val="none"/>
          <w:u w:color="000000"/>
          <w:lang w:val="en-US" w:eastAsia="zh-CN" w:bidi="ar"/>
        </w:rPr>
        <w:t>用（如包装费、仓储费、保管费）、调试费、利润、招标代理费、专家评审费、售后服务费、税金</w:t>
      </w:r>
      <w:r>
        <w:rPr>
          <w:rFonts w:hint="eastAsia" w:ascii="宋体" w:hAnsi="宋体" w:eastAsia="宋体" w:cs="宋体"/>
          <w:color w:val="auto"/>
          <w:szCs w:val="21"/>
          <w:highlight w:val="none"/>
          <w:lang w:val="en-US" w:eastAsia="zh-CN"/>
        </w:rPr>
        <w:t>费用等，</w:t>
      </w:r>
      <w:r>
        <w:rPr>
          <w:rFonts w:hint="eastAsia" w:ascii="宋体" w:hAnsi="宋体" w:eastAsia="宋体" w:cs="宋体"/>
          <w:color w:val="auto"/>
          <w:kern w:val="0"/>
          <w:sz w:val="21"/>
          <w:szCs w:val="21"/>
          <w:highlight w:val="none"/>
          <w:u w:color="000000"/>
          <w:lang w:val="en-US" w:eastAsia="zh-CN" w:bidi="ar"/>
        </w:rPr>
        <w:t>政策性文件规定及合同包含的所有风险和责任等</w:t>
      </w:r>
      <w:r>
        <w:rPr>
          <w:rFonts w:hint="eastAsia" w:ascii="宋体" w:hAnsi="宋体" w:eastAsia="宋体" w:cs="宋体"/>
          <w:color w:val="000000"/>
          <w:kern w:val="0"/>
          <w:sz w:val="21"/>
          <w:szCs w:val="21"/>
          <w:highlight w:val="none"/>
          <w:u w:color="000000"/>
          <w:lang w:val="en-US" w:eastAsia="zh-CN" w:bidi="ar"/>
        </w:rPr>
        <w:t>、货物送至招标人指定地点前的各项应有费用，</w:t>
      </w:r>
      <w:r>
        <w:rPr>
          <w:rFonts w:hint="eastAsia" w:ascii="宋体" w:hAnsi="宋体" w:eastAsia="宋体" w:cs="宋体"/>
          <w:color w:val="000000"/>
          <w:szCs w:val="21"/>
          <w:highlight w:val="none"/>
          <w:lang w:val="en-US" w:eastAsia="zh-CN"/>
        </w:rPr>
        <w:t>采购人后期不再追加任何费用</w:t>
      </w:r>
      <w:r>
        <w:rPr>
          <w:rFonts w:hint="eastAsia" w:ascii="宋体" w:hAnsi="宋体" w:eastAsia="宋体" w:cs="宋体"/>
          <w:color w:val="000000"/>
          <w:kern w:val="0"/>
          <w:sz w:val="21"/>
          <w:szCs w:val="21"/>
          <w:highlight w:val="none"/>
          <w:u w:color="000000"/>
          <w:lang w:val="en-US" w:eastAsia="zh-CN"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5BC84B09">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22.4投标报价的价格是完成项目全部内容（包括后期的相关服务）的价格，其单价即为履行合同的固定单价。</w:t>
      </w:r>
    </w:p>
    <w:p w14:paraId="2F6A08C5">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14:paraId="3545774B">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14:paraId="1BD35B4E">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14:paraId="34219C6A">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6E72E59E">
      <w:pPr>
        <w:spacing w:line="440" w:lineRule="exact"/>
        <w:ind w:firstLine="403" w:firstLineChars="192"/>
        <w:rPr>
          <w:rFonts w:hint="eastAsia" w:ascii="宋体"/>
          <w:color w:val="000000"/>
          <w:szCs w:val="21"/>
          <w:highlight w:val="none"/>
        </w:rPr>
      </w:pPr>
      <w:r>
        <w:rPr>
          <w:rFonts w:hint="eastAsia" w:ascii="宋体"/>
          <w:szCs w:val="21"/>
          <w:highlight w:val="none"/>
        </w:rPr>
        <w:t>22.9</w:t>
      </w:r>
      <w:r>
        <w:rPr>
          <w:rFonts w:hint="eastAsia" w:ascii="宋体"/>
          <w:color w:val="000000"/>
          <w:szCs w:val="21"/>
          <w:highlight w:val="none"/>
        </w:rPr>
        <w:t>如投标文件中未列明全面实现投标货物功能而必须配置的配套或辅助设施及相应技术措施的费用，这些费用将被视为已包含在总投标价中。</w:t>
      </w:r>
    </w:p>
    <w:p w14:paraId="2E9F5F43">
      <w:pPr>
        <w:spacing w:line="440" w:lineRule="exact"/>
        <w:ind w:firstLine="403" w:firstLineChars="192"/>
        <w:rPr>
          <w:rFonts w:hint="eastAsia" w:ascii="宋体"/>
          <w:color w:val="000000"/>
          <w:szCs w:val="21"/>
          <w:highlight w:val="none"/>
        </w:rPr>
      </w:pPr>
      <w:r>
        <w:rPr>
          <w:rFonts w:hint="eastAsia" w:ascii="宋体"/>
          <w:color w:val="000000"/>
          <w:szCs w:val="21"/>
          <w:highlight w:val="none"/>
        </w:rPr>
        <w:t>2</w:t>
      </w:r>
      <w:r>
        <w:rPr>
          <w:rFonts w:hint="eastAsia" w:ascii="宋体"/>
          <w:color w:val="000000"/>
          <w:szCs w:val="21"/>
          <w:highlight w:val="none"/>
          <w:lang w:val="en-US" w:eastAsia="zh-CN"/>
        </w:rPr>
        <w:t>2</w:t>
      </w:r>
      <w:r>
        <w:rPr>
          <w:rFonts w:hint="eastAsia" w:ascii="宋体"/>
          <w:color w:val="000000"/>
          <w:szCs w:val="21"/>
          <w:highlight w:val="none"/>
        </w:rPr>
        <w:t>.1</w:t>
      </w:r>
      <w:r>
        <w:rPr>
          <w:rFonts w:hint="eastAsia" w:ascii="宋体"/>
          <w:color w:val="000000"/>
          <w:szCs w:val="21"/>
          <w:highlight w:val="none"/>
          <w:lang w:val="en-US" w:eastAsia="zh-CN"/>
        </w:rPr>
        <w:t>0</w:t>
      </w:r>
      <w:r>
        <w:rPr>
          <w:rFonts w:hint="eastAsia" w:ascii="宋体"/>
          <w:color w:val="000000"/>
          <w:szCs w:val="21"/>
          <w:highlight w:val="none"/>
        </w:rPr>
        <w:t>投标人不得对从第三方采购货物的随机备品、备件另行收费，否则在计算评标价时这部分费用将不予扣除，在授予合同时将从中标价格中扣除该部分费用。</w:t>
      </w:r>
    </w:p>
    <w:p w14:paraId="2AC0CCA3">
      <w:pPr>
        <w:spacing w:line="440" w:lineRule="exact"/>
        <w:ind w:firstLine="403" w:firstLineChars="192"/>
        <w:rPr>
          <w:rFonts w:hint="eastAsia" w:ascii="宋体" w:hAnsi="宋体" w:eastAsia="宋体" w:cs="宋体"/>
          <w:b/>
          <w:bCs w:val="0"/>
          <w:color w:val="000000"/>
          <w:kern w:val="0"/>
          <w:sz w:val="21"/>
          <w:szCs w:val="21"/>
          <w:highlight w:val="none"/>
          <w:u w:color="000000"/>
          <w:lang w:val="en-US" w:eastAsia="zh-CN" w:bidi="ar"/>
        </w:rPr>
      </w:pPr>
      <w:r>
        <w:rPr>
          <w:rFonts w:hint="eastAsia" w:ascii="宋体"/>
          <w:color w:val="000000"/>
          <w:szCs w:val="21"/>
          <w:highlight w:val="none"/>
        </w:rPr>
        <w:t>2</w:t>
      </w:r>
      <w:r>
        <w:rPr>
          <w:rFonts w:hint="eastAsia" w:ascii="宋体"/>
          <w:color w:val="000000"/>
          <w:szCs w:val="21"/>
          <w:highlight w:val="none"/>
          <w:lang w:val="en-US" w:eastAsia="zh-CN"/>
        </w:rPr>
        <w:t>2</w:t>
      </w:r>
      <w:r>
        <w:rPr>
          <w:rFonts w:hint="eastAsia" w:ascii="宋体"/>
          <w:color w:val="000000"/>
          <w:szCs w:val="21"/>
          <w:highlight w:val="none"/>
        </w:rPr>
        <w:t>.</w:t>
      </w:r>
      <w:r>
        <w:rPr>
          <w:rFonts w:hint="eastAsia" w:ascii="宋体"/>
          <w:color w:val="000000"/>
          <w:szCs w:val="21"/>
          <w:highlight w:val="none"/>
          <w:lang w:val="en-US" w:eastAsia="zh-CN"/>
        </w:rPr>
        <w:t>11</w:t>
      </w:r>
      <w:r>
        <w:rPr>
          <w:rFonts w:hint="eastAsia" w:ascii="宋体"/>
          <w:color w:val="000000"/>
          <w:szCs w:val="21"/>
          <w:highlight w:val="none"/>
        </w:rPr>
        <w:t>投标人应根据</w:t>
      </w:r>
      <w:r>
        <w:rPr>
          <w:rFonts w:hint="eastAsia" w:ascii="宋体"/>
          <w:color w:val="000000"/>
          <w:szCs w:val="21"/>
          <w:highlight w:val="none"/>
          <w:lang w:eastAsia="zh-CN"/>
        </w:rPr>
        <w:t>货物</w:t>
      </w:r>
      <w:r>
        <w:rPr>
          <w:rFonts w:hint="eastAsia" w:ascii="宋体"/>
          <w:color w:val="000000"/>
          <w:szCs w:val="21"/>
          <w:highlight w:val="none"/>
        </w:rPr>
        <w:t>的状况列出随机备品备件的清单和数量，并将该备品备件价格计入总投标价，若所提供的产品无需备件，则应在投标文件中说明；无论投标人在报价中列明随机备品备件的数量及价格多少，在</w:t>
      </w:r>
      <w:r>
        <w:rPr>
          <w:rFonts w:hint="eastAsia" w:ascii="宋体"/>
          <w:color w:val="000000"/>
          <w:szCs w:val="21"/>
          <w:highlight w:val="none"/>
          <w:lang w:eastAsia="zh-CN"/>
        </w:rPr>
        <w:t>质保</w:t>
      </w:r>
      <w:r>
        <w:rPr>
          <w:rFonts w:hint="eastAsia" w:ascii="宋体"/>
          <w:color w:val="000000"/>
          <w:szCs w:val="21"/>
          <w:highlight w:val="none"/>
        </w:rPr>
        <w:t>期内采购人均无需为维护维修保养所需的专用工具和备品备件另行支付费用。</w:t>
      </w:r>
    </w:p>
    <w:p w14:paraId="67603096">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2A34AEF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除投标人须知前附表另有规定外，投标有效期为90天。</w:t>
      </w:r>
    </w:p>
    <w:p w14:paraId="6E818FB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68C22BA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076F6762">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0C51EFE">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4C1C4D09">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5" w:name="_Toc6570_WPSOffice_Level3"/>
      <w:bookmarkEnd w:id="35"/>
      <w:bookmarkStart w:id="36"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6"/>
    </w:p>
    <w:p w14:paraId="59FD684D">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7" w:name="_Toc490"/>
      <w:bookmarkEnd w:id="37"/>
      <w:bookmarkStart w:id="38" w:name="_Toc30407_WPSOffice_Level3"/>
      <w:bookmarkEnd w:id="38"/>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05CF901A">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25.1投标文件份数：正本1份，副本2份。</w:t>
      </w:r>
    </w:p>
    <w:p w14:paraId="6F547A7A">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27EF79D7">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 投标文件的提交</w:t>
      </w:r>
    </w:p>
    <w:p w14:paraId="4B8EE1A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 投标人须在投标人须知前附表规定的投标截止时间前递交投标文件。</w:t>
      </w:r>
    </w:p>
    <w:p w14:paraId="4F9F39F1">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w:t>
      </w:r>
      <w:r>
        <w:rPr>
          <w:rFonts w:hint="eastAsia" w:ascii="宋体"/>
          <w:b/>
          <w:szCs w:val="21"/>
          <w:highlight w:val="none"/>
        </w:rPr>
        <w:t>修改与撤回</w:t>
      </w:r>
    </w:p>
    <w:p w14:paraId="58AE8821">
      <w:pPr>
        <w:spacing w:line="440" w:lineRule="exact"/>
        <w:ind w:firstLine="315" w:firstLineChars="150"/>
        <w:jc w:val="left"/>
        <w:rPr>
          <w:rFonts w:hint="eastAsia" w:ascii="宋体" w:hAnsi="宋体" w:eastAsia="宋体" w:cs="宋体"/>
          <w:color w:val="000000"/>
          <w:szCs w:val="21"/>
          <w:highlight w:val="none"/>
          <w:lang w:eastAsia="zh-CN"/>
        </w:rPr>
      </w:pPr>
      <w:r>
        <w:rPr>
          <w:rFonts w:hint="eastAsia" w:ascii="宋体" w:hAnsi="宋体" w:eastAsia="宋体" w:cs="宋体"/>
          <w:color w:val="000000"/>
          <w:kern w:val="0"/>
          <w:sz w:val="21"/>
          <w:szCs w:val="21"/>
          <w:highlight w:val="none"/>
          <w:u w:color="000000"/>
          <w:lang w:val="en-US" w:eastAsia="zh-CN" w:bidi="ar"/>
        </w:rPr>
        <w:t>27.1</w:t>
      </w:r>
      <w:r>
        <w:rPr>
          <w:rFonts w:hint="eastAsia" w:ascii="宋体" w:hAnsi="宋体" w:eastAsia="宋体" w:cs="宋体"/>
          <w:color w:val="000000"/>
          <w:szCs w:val="21"/>
          <w:highlight w:val="none"/>
        </w:rPr>
        <w:t>在投标人须知前附表规定的投标截止时间前，投标人可以修改或撤回已递交的投标文件，但应以书面形式通知招标人</w:t>
      </w:r>
      <w:r>
        <w:rPr>
          <w:rFonts w:hint="eastAsia" w:ascii="宋体" w:hAnsi="宋体" w:eastAsia="宋体" w:cs="宋体"/>
          <w:color w:val="000000"/>
          <w:szCs w:val="21"/>
          <w:highlight w:val="none"/>
          <w:lang w:eastAsia="zh-CN"/>
        </w:rPr>
        <w:t>。</w:t>
      </w:r>
    </w:p>
    <w:p w14:paraId="08972E22">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27.</w:t>
      </w:r>
      <w:r>
        <w:rPr>
          <w:rFonts w:hint="eastAsia" w:ascii="宋体" w:hAnsi="宋体" w:eastAsia="宋体" w:cs="宋体"/>
          <w:color w:val="000000"/>
          <w:szCs w:val="21"/>
          <w:highlight w:val="none"/>
        </w:rPr>
        <w:t>2 投标人修改或撤回已递交投标文件的书面通知应按照本章的要求签字或盖章。招标人收到书面通知后，投标人签到登记。</w:t>
      </w:r>
    </w:p>
    <w:p w14:paraId="1EF018C0">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27</w:t>
      </w:r>
      <w:r>
        <w:rPr>
          <w:rFonts w:hint="eastAsia" w:ascii="宋体" w:hAnsi="宋体" w:eastAsia="宋体" w:cs="宋体"/>
          <w:color w:val="000000"/>
          <w:szCs w:val="21"/>
          <w:highlight w:val="none"/>
        </w:rPr>
        <w:t>.3 投标人撤回投标文件的，招标人自收到投标人书面撤回通知之日起5日内退还已收取的投标保证金。</w:t>
      </w:r>
    </w:p>
    <w:p w14:paraId="4852BD9D">
      <w:pPr>
        <w:spacing w:line="440" w:lineRule="exact"/>
        <w:ind w:firstLine="315" w:firstLineChars="150"/>
        <w:jc w:val="left"/>
        <w:rPr>
          <w:rFonts w:hint="eastAsia" w:ascii="宋体" w:hAnsi="宋体" w:eastAsia="宋体" w:cs="Times New Roman"/>
          <w:b w:val="0"/>
          <w:bCs/>
          <w:color w:val="auto"/>
          <w:szCs w:val="21"/>
          <w:highlight w:val="none"/>
          <w:lang w:val="en-US" w:eastAsia="zh-CN"/>
        </w:rPr>
      </w:pPr>
      <w:r>
        <w:rPr>
          <w:rFonts w:hint="eastAsia" w:ascii="宋体" w:hAnsi="宋体" w:eastAsia="宋体" w:cs="宋体"/>
          <w:color w:val="000000"/>
          <w:szCs w:val="21"/>
          <w:highlight w:val="none"/>
          <w:lang w:val="en-US" w:eastAsia="zh-CN"/>
        </w:rPr>
        <w:t>27</w:t>
      </w:r>
      <w:r>
        <w:rPr>
          <w:rFonts w:hint="eastAsia" w:ascii="宋体" w:hAnsi="宋体" w:eastAsia="宋体" w:cs="宋体"/>
          <w:color w:val="000000"/>
          <w:szCs w:val="21"/>
          <w:highlight w:val="none"/>
        </w:rPr>
        <w:t>.4 修改的内容为投标文件的组成部分。修改的投标文件应按照本章第3条、第4条规定进行编制、密封、标记和递交，并标明“修改”字样。</w:t>
      </w:r>
    </w:p>
    <w:p w14:paraId="461E4E56">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6FC9FF3B">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bookmarkStart w:id="39" w:name="_Toc28864"/>
      <w:bookmarkEnd w:id="39"/>
      <w:bookmarkStart w:id="40"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14:paraId="6C770A13">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1662C5D6">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105E760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0D2F4B4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41" w:name="_Toc15542_WPSOffice_Level3"/>
      <w:bookmarkEnd w:id="41"/>
      <w:r>
        <w:rPr>
          <w:rFonts w:hint="eastAsia" w:ascii="宋体" w:hAnsi="宋体" w:eastAsia="宋体" w:cs="宋体"/>
          <w:color w:val="000000"/>
          <w:kern w:val="0"/>
          <w:sz w:val="21"/>
          <w:szCs w:val="21"/>
          <w:highlight w:val="none"/>
          <w:u w:color="000000"/>
          <w:lang w:val="en-US" w:eastAsia="zh-CN" w:bidi="ar"/>
        </w:rPr>
        <w:t>28.2.1招标人可以邀请相关监管部门参加。</w:t>
      </w:r>
    </w:p>
    <w:p w14:paraId="406913F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7D82A3FF">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安徽诚昇工程技术有限公司 </w:t>
      </w:r>
      <w:r>
        <w:rPr>
          <w:rFonts w:hint="eastAsia" w:ascii="宋体" w:hAnsi="宋体" w:eastAsia="宋体" w:cs="宋体"/>
          <w:color w:val="000000"/>
          <w:kern w:val="0"/>
          <w:sz w:val="21"/>
          <w:szCs w:val="21"/>
          <w:highlight w:val="none"/>
          <w:u w:color="000000"/>
          <w:lang w:val="en-US" w:eastAsia="zh-CN" w:bidi="ar"/>
        </w:rPr>
        <w:t>主持。</w:t>
      </w:r>
    </w:p>
    <w:p w14:paraId="05A7E6C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4A02D2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52A233A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（3）按照投标人须知前附表规定检查投标文件的密封情况；</w:t>
      </w:r>
    </w:p>
    <w:p w14:paraId="58AD1F7E">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（4）按照投标人须知前附表的规定确定并宣布投标文件开标顺序；</w:t>
      </w:r>
    </w:p>
    <w:p w14:paraId="3EF313BA">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（5）公布投标人投标报价、服务期及其他内容，并记录在案；</w:t>
      </w:r>
    </w:p>
    <w:p w14:paraId="795A08C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（6）开标结束。</w:t>
      </w:r>
    </w:p>
    <w:p w14:paraId="03F58A4C">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14:paraId="1CC3329A">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0EC7A47C">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30.评标委员会</w:t>
      </w:r>
    </w:p>
    <w:p w14:paraId="57A19F3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14:paraId="6B1BD1C7">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1D23BCA1">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0A873E7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6C6CC74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6975971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63CFE286">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4649459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3D6EBD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5853381B">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4A23073B">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14:paraId="3588AB5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章“评标办法”没有规定的方法、评审因素和标准，不作为评标依据。</w:t>
      </w:r>
    </w:p>
    <w:p w14:paraId="1EA1024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2EB482A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1822C59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42" w:name="_Toc5272_WPSOffice_Level3"/>
      <w:bookmarkEnd w:id="42"/>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33F9E7D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42E68F6E">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360B4149">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2A48424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3CDB5B99">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1D83A3A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E41FCE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6B6B6015">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3D6C149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6031489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32.重新招标 </w:t>
      </w:r>
    </w:p>
    <w:p w14:paraId="5FBFC294">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32.1有下列情形之一的，招标人将重新招标：</w:t>
      </w:r>
    </w:p>
    <w:p w14:paraId="3FB82D53">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14:paraId="1948BE34">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14:paraId="7F25BAF7">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14:paraId="64C76DE8">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40"/>
    </w:p>
    <w:p w14:paraId="7E58EF58">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33. 中标公示</w:t>
      </w:r>
    </w:p>
    <w:p w14:paraId="107361B0">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w:t>
      </w:r>
      <w:r>
        <w:rPr>
          <w:rFonts w:hint="eastAsia" w:ascii="宋体" w:hAnsi="Times New Roman" w:eastAsia="宋体" w:cs="Times New Roman"/>
          <w:color w:val="auto"/>
          <w:spacing w:val="0"/>
          <w:sz w:val="21"/>
          <w:szCs w:val="21"/>
          <w:highlight w:val="none"/>
          <w:lang w:val="en-US" w:eastAsia="zh-CN"/>
        </w:rPr>
        <w:t>1</w:t>
      </w:r>
      <w:r>
        <w:rPr>
          <w:rFonts w:hint="eastAsia" w:ascii="宋体" w:hAnsi="Times New Roman" w:eastAsia="宋体" w:cs="Times New Roman"/>
          <w:color w:val="auto"/>
          <w:spacing w:val="0"/>
          <w:sz w:val="21"/>
          <w:szCs w:val="21"/>
          <w:highlight w:val="none"/>
        </w:rPr>
        <w:t>日。</w:t>
      </w:r>
    </w:p>
    <w:p w14:paraId="747B8D44">
      <w:pPr>
        <w:keepNext w:val="0"/>
        <w:keepLines w:val="0"/>
        <w:pageBreakBefore w:val="0"/>
        <w:widowControl w:val="0"/>
        <w:numPr>
          <w:ilvl w:val="0"/>
          <w:numId w:val="0"/>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rPr>
      </w:pPr>
      <w:r>
        <w:rPr>
          <w:rFonts w:hint="eastAsia" w:ascii="宋体" w:hAnsi="Times New Roman" w:eastAsia="宋体" w:cs="Times New Roman"/>
          <w:b/>
          <w:color w:val="auto"/>
          <w:spacing w:val="0"/>
          <w:kern w:val="2"/>
          <w:sz w:val="21"/>
          <w:szCs w:val="21"/>
          <w:lang w:val="en-US" w:eastAsia="zh-CN" w:bidi="ar-SA"/>
        </w:rPr>
        <w:t>34.</w:t>
      </w:r>
      <w:r>
        <w:rPr>
          <w:rFonts w:hint="eastAsia" w:ascii="宋体" w:hAnsi="Times New Roman" w:eastAsia="宋体" w:cs="Times New Roman"/>
          <w:b/>
          <w:color w:val="auto"/>
          <w:spacing w:val="0"/>
          <w:sz w:val="21"/>
          <w:szCs w:val="21"/>
          <w:highlight w:val="none"/>
        </w:rPr>
        <w:t>评标结果异议</w:t>
      </w:r>
    </w:p>
    <w:p w14:paraId="1CFF5C32">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34.1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14:paraId="15D27CA4">
      <w:pPr>
        <w:keepNext w:val="0"/>
        <w:keepLines w:val="0"/>
        <w:pageBreakBefore w:val="0"/>
        <w:widowControl w:val="0"/>
        <w:numPr>
          <w:ilvl w:val="0"/>
          <w:numId w:val="0"/>
        </w:numPr>
        <w:kinsoku/>
        <w:overflowPunct/>
        <w:topLinePunct w:val="0"/>
        <w:autoSpaceDE/>
        <w:autoSpaceDN/>
        <w:bidi w:val="0"/>
        <w:spacing w:line="420" w:lineRule="exact"/>
        <w:ind w:firstLine="521" w:firstLineChars="247"/>
        <w:jc w:val="left"/>
        <w:textAlignment w:val="auto"/>
        <w:rPr>
          <w:rFonts w:hint="default" w:ascii="宋体" w:hAnsi="Times New Roman" w:eastAsia="宋体" w:cs="Times New Roman"/>
          <w:b/>
          <w:color w:val="auto"/>
          <w:spacing w:val="0"/>
          <w:sz w:val="21"/>
          <w:szCs w:val="21"/>
          <w:highlight w:val="none"/>
          <w:lang w:val="en-US" w:eastAsia="zh-CN"/>
        </w:rPr>
      </w:pPr>
      <w:r>
        <w:rPr>
          <w:rFonts w:hint="default" w:ascii="宋体" w:hAnsi="Times New Roman" w:eastAsia="宋体" w:cs="Times New Roman"/>
          <w:b/>
          <w:color w:val="auto"/>
          <w:spacing w:val="0"/>
          <w:kern w:val="2"/>
          <w:sz w:val="21"/>
          <w:szCs w:val="21"/>
          <w:lang w:val="en-US" w:eastAsia="zh-CN" w:bidi="ar-SA"/>
        </w:rPr>
        <w:t>3</w:t>
      </w:r>
      <w:r>
        <w:rPr>
          <w:rFonts w:hint="eastAsia" w:ascii="宋体" w:hAnsi="Times New Roman" w:eastAsia="宋体" w:cs="Times New Roman"/>
          <w:b/>
          <w:color w:val="auto"/>
          <w:spacing w:val="0"/>
          <w:kern w:val="2"/>
          <w:sz w:val="21"/>
          <w:szCs w:val="21"/>
          <w:lang w:val="en-US" w:eastAsia="zh-CN" w:bidi="ar-SA"/>
        </w:rPr>
        <w:t>5</w:t>
      </w:r>
      <w:r>
        <w:rPr>
          <w:rFonts w:hint="default" w:ascii="宋体" w:hAnsi="Times New Roman" w:eastAsia="宋体" w:cs="Times New Roman"/>
          <w:b/>
          <w:color w:val="auto"/>
          <w:spacing w:val="0"/>
          <w:kern w:val="2"/>
          <w:sz w:val="21"/>
          <w:szCs w:val="21"/>
          <w:lang w:val="en-US" w:eastAsia="zh-CN" w:bidi="ar-SA"/>
        </w:rPr>
        <w:t>.</w:t>
      </w:r>
      <w:r>
        <w:rPr>
          <w:rFonts w:hint="eastAsia" w:ascii="宋体" w:hAnsi="Times New Roman" w:eastAsia="宋体" w:cs="Times New Roman"/>
          <w:b/>
          <w:color w:val="auto"/>
          <w:spacing w:val="0"/>
          <w:sz w:val="21"/>
          <w:szCs w:val="21"/>
          <w:highlight w:val="none"/>
        </w:rPr>
        <w:t>定标</w:t>
      </w:r>
    </w:p>
    <w:p w14:paraId="0477DFE5">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35.1按照投标人须知前附表的规定，招标人或招标人授权的评标委员会依法确定中标人。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14:paraId="28EBD6E2">
      <w:pPr>
        <w:keepNext w:val="0"/>
        <w:keepLines w:val="0"/>
        <w:pageBreakBefore w:val="0"/>
        <w:widowControl w:val="0"/>
        <w:numPr>
          <w:ilvl w:val="0"/>
          <w:numId w:val="0"/>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kern w:val="2"/>
          <w:sz w:val="21"/>
          <w:szCs w:val="21"/>
          <w:lang w:val="en-US" w:eastAsia="zh-CN" w:bidi="ar-SA"/>
        </w:rPr>
        <w:t>36.</w:t>
      </w:r>
      <w:r>
        <w:rPr>
          <w:rFonts w:hint="eastAsia" w:ascii="宋体" w:hAnsi="Times New Roman" w:eastAsia="宋体" w:cs="Times New Roman"/>
          <w:b/>
          <w:color w:val="auto"/>
          <w:spacing w:val="0"/>
          <w:sz w:val="21"/>
          <w:szCs w:val="21"/>
          <w:highlight w:val="none"/>
          <w:lang w:val="en-US" w:eastAsia="zh-CN"/>
        </w:rPr>
        <w:t>中标通知</w:t>
      </w:r>
    </w:p>
    <w:p w14:paraId="6E65FF57">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highlight w:val="none"/>
        </w:rPr>
      </w:pPr>
      <w:r>
        <w:rPr>
          <w:rFonts w:hint="eastAsia" w:ascii="宋体" w:hAnsi="Times New Roman" w:eastAsia="宋体" w:cs="Times New Roman"/>
          <w:color w:val="auto"/>
          <w:spacing w:val="0"/>
          <w:sz w:val="21"/>
          <w:szCs w:val="21"/>
          <w:highlight w:val="none"/>
          <w:lang w:val="en-US" w:eastAsia="zh-CN"/>
        </w:rPr>
        <w:t>36.1在本招标文件规定的投标有效期内，招标人向中标人发出中标通知书，同时将中标结果通知未中标的投标人。</w:t>
      </w:r>
    </w:p>
    <w:p w14:paraId="7044B80B">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43" w:name="_Toc7247"/>
      <w:bookmarkEnd w:id="43"/>
      <w:r>
        <w:rPr>
          <w:rFonts w:hint="eastAsia" w:ascii="宋体" w:hAnsi="Times New Roman" w:eastAsia="宋体" w:cs="Times New Roman"/>
          <w:b/>
          <w:color w:val="auto"/>
          <w:spacing w:val="0"/>
          <w:sz w:val="21"/>
          <w:szCs w:val="21"/>
          <w:highlight w:val="none"/>
          <w:lang w:val="en-US" w:eastAsia="zh-CN"/>
        </w:rPr>
        <w:t xml:space="preserve"> 37.</w:t>
      </w:r>
      <w:bookmarkStart w:id="44" w:name="_Toc217446068"/>
      <w:r>
        <w:rPr>
          <w:rFonts w:hint="eastAsia" w:ascii="宋体" w:hAnsi="Times New Roman" w:eastAsia="宋体" w:cs="Times New Roman"/>
          <w:b/>
          <w:color w:val="auto"/>
          <w:spacing w:val="0"/>
          <w:sz w:val="21"/>
          <w:szCs w:val="21"/>
          <w:highlight w:val="none"/>
          <w:lang w:val="en-US" w:eastAsia="zh-CN"/>
        </w:rPr>
        <w:t>履约保证金</w:t>
      </w:r>
      <w:bookmarkEnd w:id="44"/>
    </w:p>
    <w:p w14:paraId="784DE7F5">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bookmarkStart w:id="45" w:name="_Toc316_WPSOffice_Level3"/>
      <w:bookmarkEnd w:id="45"/>
      <w:bookmarkStart w:id="46" w:name="_Toc23484"/>
      <w:r>
        <w:rPr>
          <w:rFonts w:hint="eastAsia" w:ascii="宋体" w:hAnsi="Times New Roman" w:eastAsia="宋体" w:cs="Times New Roman"/>
          <w:color w:val="auto"/>
          <w:spacing w:val="0"/>
          <w:sz w:val="21"/>
          <w:szCs w:val="21"/>
          <w:highlight w:val="none"/>
          <w:lang w:val="en-US" w:eastAsia="zh-CN"/>
        </w:rPr>
        <w:t>37.1</w:t>
      </w:r>
      <w:bookmarkEnd w:id="46"/>
      <w:r>
        <w:rPr>
          <w:rFonts w:hint="eastAsia" w:ascii="宋体" w:hAnsi="Times New Roman" w:eastAsia="宋体" w:cs="Times New Roman"/>
          <w:color w:val="auto"/>
          <w:spacing w:val="0"/>
          <w:sz w:val="21"/>
          <w:szCs w:val="21"/>
          <w:highlight w:val="none"/>
          <w:lang w:val="en-US" w:eastAsia="zh-CN"/>
        </w:rPr>
        <w:t>详见投标人须知前附表要求。</w:t>
      </w:r>
    </w:p>
    <w:p w14:paraId="7BB56FB8">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0F86135B">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38.对招标人的纪律要求 </w:t>
      </w:r>
    </w:p>
    <w:p w14:paraId="27A8CB53">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38.1招标人不得泄漏招标投标活动中应当保密的情况和资料，不得与投标人串通损害国家利益，社会公共利益或者他人合法权益。 </w:t>
      </w:r>
    </w:p>
    <w:p w14:paraId="3738658E">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39.对投标人的纪律要求 </w:t>
      </w:r>
    </w:p>
    <w:p w14:paraId="0F1EB4AF">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39.1投标人不得相互串通投标或者与招标人串通投标，不得向招标人或者评标委员会成员行贿谋取中标，不得以他人名义投标或者以其他方式弄虚作假骗取中标；投标人不得以任何方式干扰、影响评标工作。</w:t>
      </w:r>
    </w:p>
    <w:p w14:paraId="7F1F4CB7">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40.对评标委员会成员的纪律要求 </w:t>
      </w:r>
    </w:p>
    <w:p w14:paraId="0CAF03D1">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40.1</w:t>
      </w:r>
      <w:r>
        <w:rPr>
          <w:rFonts w:hint="eastAsia" w:ascii="宋体" w:hAnsi="Times New Roman" w:eastAsia="宋体" w:cs="Times New Roman"/>
          <w:color w:val="auto"/>
          <w:spacing w:val="0"/>
          <w:sz w:val="21"/>
          <w:szCs w:val="21"/>
          <w:highlight w:val="none"/>
          <w:lang w:val="en-US" w:eastAsia="zh-CN"/>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76F8BFC9">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41.对与评标活动有关的工作人员的纪律要求 </w:t>
      </w:r>
    </w:p>
    <w:p w14:paraId="1FC5365D">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41.1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7B72A25C">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3A06B757">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42. 投诉</w:t>
      </w:r>
    </w:p>
    <w:p w14:paraId="2CE623AC">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Times New Roman" w:eastAsia="宋体" w:cs="Times New Roman"/>
          <w:kern w:val="10"/>
          <w:szCs w:val="21"/>
          <w:highlight w:val="none"/>
          <w:lang w:val="en-US" w:eastAsia="zh-CN"/>
        </w:rPr>
        <w:t>42.1</w:t>
      </w:r>
      <w:r>
        <w:rPr>
          <w:rFonts w:hint="eastAsia" w:ascii="宋体" w:hAnsi="宋体" w:cs="宋体"/>
          <w:color w:val="000000"/>
          <w:szCs w:val="21"/>
          <w:highlight w:val="none"/>
        </w:rPr>
        <w:t>投标人或者其他利害关系人认为招标投标活动违反法律、法规和规章规定的，有权向相关行政监督部门投诉。投诉应当有明确的请求和必要的证明材料。</w:t>
      </w:r>
    </w:p>
    <w:p w14:paraId="7193DE9C">
      <w:pPr>
        <w:adjustRightInd w:val="0"/>
        <w:snapToGrid w:val="0"/>
        <w:spacing w:line="420" w:lineRule="exact"/>
        <w:ind w:firstLine="315" w:firstLineChars="150"/>
        <w:rPr>
          <w:rFonts w:hint="eastAsia" w:ascii="宋体" w:hAnsi="Times New Roman" w:eastAsia="宋体" w:cs="Times New Roman"/>
          <w:kern w:val="10"/>
          <w:szCs w:val="21"/>
          <w:highlight w:val="none"/>
        </w:rPr>
      </w:pPr>
      <w:r>
        <w:rPr>
          <w:rFonts w:hint="eastAsia" w:ascii="宋体" w:hAnsi="Times New Roman" w:eastAsia="宋体" w:cs="Times New Roman"/>
          <w:kern w:val="10"/>
          <w:szCs w:val="21"/>
          <w:highlight w:val="none"/>
          <w:lang w:val="en-US" w:eastAsia="zh-CN"/>
        </w:rPr>
        <w:t>42.2</w:t>
      </w:r>
      <w:r>
        <w:rPr>
          <w:rFonts w:hint="eastAsia" w:ascii="宋体" w:hAnsi="宋体" w:cs="宋体"/>
          <w:color w:val="000000"/>
          <w:szCs w:val="21"/>
          <w:highlight w:val="none"/>
        </w:rPr>
        <w:t>投标人和其他利害关系人对招标文件、开标和评标结果事项投诉的，应当按照投标人须知的规定先向招标人提出异议。</w:t>
      </w:r>
      <w:r>
        <w:rPr>
          <w:rFonts w:hint="eastAsia" w:ascii="宋体" w:hAnsi="Times New Roman" w:eastAsia="宋体" w:cs="Times New Roman"/>
          <w:kern w:val="10"/>
          <w:szCs w:val="21"/>
          <w:highlight w:val="none"/>
        </w:rPr>
        <w:t>异议答复期间不计算在第</w:t>
      </w:r>
      <w:r>
        <w:rPr>
          <w:rFonts w:hint="eastAsia" w:ascii="宋体" w:hAnsi="Times New Roman" w:eastAsia="宋体" w:cs="Times New Roman"/>
          <w:kern w:val="10"/>
          <w:szCs w:val="21"/>
          <w:highlight w:val="none"/>
          <w:lang w:val="en-US" w:eastAsia="zh-CN"/>
        </w:rPr>
        <w:t>34.1</w:t>
      </w:r>
      <w:r>
        <w:rPr>
          <w:rFonts w:hint="eastAsia" w:ascii="宋体" w:hAnsi="Times New Roman" w:eastAsia="宋体" w:cs="Times New Roman"/>
          <w:kern w:val="10"/>
          <w:szCs w:val="21"/>
          <w:highlight w:val="none"/>
        </w:rPr>
        <w:t>项规定的期限内。</w:t>
      </w:r>
    </w:p>
    <w:p w14:paraId="357EE2CC">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14:paraId="0A0E9584">
      <w:pPr>
        <w:rPr>
          <w:rFonts w:hint="eastAsia" w:ascii="宋体" w:hAnsi="宋体" w:eastAsia="宋体" w:cs="宋体"/>
          <w:b/>
          <w:bCs w:val="0"/>
          <w:color w:val="000000"/>
          <w:kern w:val="44"/>
          <w:sz w:val="28"/>
          <w:szCs w:val="28"/>
          <w:highlight w:val="none"/>
          <w:u w:color="000000"/>
          <w:lang w:val="en-US" w:eastAsia="zh-CN" w:bidi="ar"/>
        </w:rPr>
      </w:pPr>
      <w:r>
        <w:rPr>
          <w:rFonts w:hint="eastAsia" w:ascii="宋体" w:hAnsi="宋体" w:eastAsia="宋体" w:cs="宋体"/>
          <w:b/>
          <w:bCs w:val="0"/>
          <w:color w:val="000000"/>
          <w:kern w:val="44"/>
          <w:sz w:val="28"/>
          <w:szCs w:val="28"/>
          <w:highlight w:val="none"/>
          <w:u w:color="000000"/>
          <w:lang w:val="en-US" w:eastAsia="zh-CN" w:bidi="ar"/>
        </w:rPr>
        <w:br w:type="page"/>
      </w:r>
    </w:p>
    <w:p w14:paraId="78826FA4">
      <w:pPr>
        <w:numPr>
          <w:ilvl w:val="0"/>
          <w:numId w:val="0"/>
        </w:numPr>
        <w:spacing w:before="156" w:beforeLines="50" w:after="156" w:afterLines="50"/>
        <w:jc w:val="center"/>
        <w:outlineLvl w:val="0"/>
        <w:rPr>
          <w:rFonts w:hint="default" w:ascii="宋体" w:hAnsi="宋体" w:eastAsia="宋体" w:cs="宋体"/>
          <w:b/>
          <w:bCs w:val="0"/>
          <w:color w:val="000000"/>
          <w:kern w:val="44"/>
          <w:sz w:val="32"/>
          <w:szCs w:val="32"/>
          <w:highlight w:val="none"/>
          <w:u w:color="000000"/>
          <w:lang w:val="en-US" w:eastAsia="zh-CN" w:bidi="ar"/>
        </w:rPr>
      </w:pPr>
      <w:bookmarkStart w:id="47" w:name="_Toc29327"/>
      <w:r>
        <w:rPr>
          <w:rFonts w:hint="eastAsia" w:ascii="宋体" w:hAnsi="宋体" w:eastAsia="宋体" w:cs="宋体"/>
          <w:b/>
          <w:bCs w:val="0"/>
          <w:color w:val="000000"/>
          <w:kern w:val="44"/>
          <w:sz w:val="32"/>
          <w:szCs w:val="32"/>
          <w:highlight w:val="none"/>
          <w:u w:color="000000"/>
          <w:lang w:val="en-US" w:eastAsia="zh-CN" w:bidi="ar"/>
        </w:rPr>
        <w:t>第三章 评标办法</w:t>
      </w:r>
      <w:bookmarkEnd w:id="47"/>
      <w:r>
        <w:rPr>
          <w:rFonts w:hint="eastAsia" w:ascii="宋体" w:hAnsi="宋体" w:eastAsia="宋体" w:cs="宋体"/>
          <w:b/>
          <w:bCs w:val="0"/>
          <w:color w:val="000000"/>
          <w:kern w:val="44"/>
          <w:sz w:val="32"/>
          <w:szCs w:val="32"/>
          <w:highlight w:val="none"/>
          <w:u w:color="000000"/>
          <w:lang w:val="en-US" w:eastAsia="zh-CN" w:bidi="ar"/>
        </w:rPr>
        <w:t xml:space="preserve"> </w:t>
      </w:r>
    </w:p>
    <w:p w14:paraId="361411DC">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8"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8"/>
      <w:r>
        <w:rPr>
          <w:rFonts w:hint="eastAsia" w:ascii="宋体" w:hAnsi="宋体" w:eastAsia="宋体" w:cs="宋体"/>
          <w:b/>
          <w:bCs w:val="0"/>
          <w:color w:val="000000"/>
          <w:kern w:val="0"/>
          <w:sz w:val="24"/>
          <w:szCs w:val="24"/>
          <w:highlight w:val="none"/>
          <w:u w:color="000000"/>
          <w:lang w:val="en-US" w:eastAsia="zh-CN" w:bidi="ar"/>
        </w:rPr>
        <w:t>、总则</w:t>
      </w:r>
    </w:p>
    <w:p w14:paraId="647B6128">
      <w:pPr>
        <w:spacing w:line="440" w:lineRule="exact"/>
        <w:ind w:firstLine="422" w:firstLineChars="200"/>
        <w:jc w:val="left"/>
        <w:rPr>
          <w:rFonts w:hint="eastAsia" w:ascii="黑体" w:eastAsia="黑体"/>
          <w:b/>
          <w:color w:val="auto"/>
          <w:szCs w:val="21"/>
          <w:highlight w:val="none"/>
        </w:rPr>
      </w:pPr>
      <w:bookmarkStart w:id="49" w:name="_Toc14651"/>
      <w:bookmarkEnd w:id="49"/>
      <w:bookmarkStart w:id="50" w:name="_Toc10907_WPSOffice_Level3"/>
      <w:r>
        <w:rPr>
          <w:rFonts w:hint="eastAsia" w:ascii="黑体" w:eastAsia="黑体"/>
          <w:b/>
          <w:color w:val="auto"/>
          <w:szCs w:val="21"/>
          <w:highlight w:val="none"/>
        </w:rPr>
        <w:t>1.本次评标采用综合评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50"/>
    </w:p>
    <w:p w14:paraId="6F276DA9">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本次评标采用</w:t>
      </w:r>
      <w:r>
        <w:rPr>
          <w:rFonts w:hint="eastAsia" w:ascii="宋体" w:hAnsi="宋体" w:cs="宋体"/>
          <w:color w:val="000000"/>
          <w:szCs w:val="21"/>
          <w:highlight w:val="none"/>
          <w:lang w:val="en-US" w:eastAsia="zh-CN"/>
        </w:rPr>
        <w:t>综合评分</w:t>
      </w:r>
      <w:r>
        <w:rPr>
          <w:rFonts w:hint="eastAsia" w:ascii="宋体" w:hAnsi="宋体" w:cs="宋体"/>
          <w:color w:val="000000"/>
          <w:szCs w:val="21"/>
          <w:highlight w:val="none"/>
        </w:rPr>
        <w:t>法。评标委员会对满足招标文件实质性要求的投标文件，按照本章规定的评分标准进行打分，并按总得分由高到低顺序推荐中标候选人应当不超过3名</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本项目推荐3名中标候选人</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，并标明排序，但投标报价低于其成本的除外。如总得分相等，以投标报价低的优先，投标报价仍相等由招标人随机抽取确定排名。</w:t>
      </w:r>
    </w:p>
    <w:p w14:paraId="2C61175E">
      <w:pPr>
        <w:spacing w:line="440" w:lineRule="exact"/>
        <w:ind w:firstLine="422" w:firstLineChars="200"/>
        <w:jc w:val="left"/>
        <w:rPr>
          <w:rFonts w:hint="eastAsia" w:ascii="黑体" w:eastAsia="黑体"/>
          <w:b/>
          <w:color w:val="auto"/>
          <w:szCs w:val="21"/>
          <w:highlight w:val="none"/>
          <w:lang w:val="en-US"/>
        </w:rPr>
      </w:pPr>
      <w:r>
        <w:rPr>
          <w:rFonts w:hint="eastAsia" w:ascii="黑体" w:eastAsia="黑体"/>
          <w:b/>
          <w:color w:val="auto"/>
          <w:szCs w:val="21"/>
          <w:highlight w:val="none"/>
          <w:lang w:val="en-US" w:eastAsia="zh-CN"/>
        </w:rPr>
        <w:t>2．评标程序</w:t>
      </w:r>
    </w:p>
    <w:p w14:paraId="5761250D">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14:paraId="71945F8E">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14:paraId="3AC8F18D">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14:paraId="308E3397">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14:paraId="0FECE024">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14:paraId="7A7F8F77">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56B94A70">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14:paraId="4F210A0F">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14:paraId="6F215C17">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p>
    <w:p w14:paraId="34CF53BC">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2.4推荐中标候选人名单</w:t>
      </w:r>
    </w:p>
    <w:p w14:paraId="11F28FF0">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14:paraId="03D9561E">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14:paraId="47113C81">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14:paraId="130CDB05">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51" w:name="_Toc9092_WPSOffice_Level3"/>
      <w:bookmarkEnd w:id="51"/>
      <w:r>
        <w:rPr>
          <w:rFonts w:hint="eastAsia" w:ascii="黑体" w:hAnsi="宋体" w:eastAsia="黑体" w:cs="宋体"/>
          <w:b/>
          <w:bCs w:val="0"/>
          <w:color w:val="000000"/>
          <w:kern w:val="0"/>
          <w:sz w:val="21"/>
          <w:szCs w:val="21"/>
          <w:highlight w:val="none"/>
          <w:u w:color="000000"/>
          <w:lang w:val="en-US" w:eastAsia="zh-CN" w:bidi="ar"/>
        </w:rPr>
        <w:t>3.资格性审查</w:t>
      </w:r>
    </w:p>
    <w:p w14:paraId="05E0CDA0">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26"/>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14:paraId="5448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14:paraId="53DBFD54">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AC514C">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14:paraId="3442B7A8">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14:paraId="421C3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trPr>
        <w:tc>
          <w:tcPr>
            <w:tcW w:w="725" w:type="dxa"/>
            <w:vMerge w:val="restart"/>
            <w:tcBorders>
              <w:top w:val="single" w:color="auto" w:sz="4" w:space="0"/>
              <w:left w:val="single" w:color="auto" w:sz="4" w:space="0"/>
              <w:right w:val="single" w:color="auto" w:sz="4" w:space="0"/>
            </w:tcBorders>
            <w:shd w:val="clear" w:color="auto" w:fill="auto"/>
            <w:vAlign w:val="center"/>
          </w:tcPr>
          <w:p w14:paraId="015430E5">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vMerge w:val="restart"/>
            <w:tcBorders>
              <w:top w:val="single" w:color="auto" w:sz="4" w:space="0"/>
              <w:left w:val="single" w:color="auto" w:sz="4" w:space="0"/>
              <w:right w:val="single" w:color="auto" w:sz="4" w:space="0"/>
            </w:tcBorders>
            <w:shd w:val="clear" w:color="auto" w:fill="auto"/>
            <w:vAlign w:val="center"/>
          </w:tcPr>
          <w:p w14:paraId="6F22DC2E">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right w:val="single" w:color="auto" w:sz="4" w:space="0"/>
            </w:tcBorders>
            <w:shd w:val="clear" w:color="auto" w:fill="auto"/>
            <w:vAlign w:val="center"/>
          </w:tcPr>
          <w:p w14:paraId="6375BE09">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w:t>
            </w:r>
            <w:r>
              <w:rPr>
                <w:rFonts w:hint="default" w:ascii="Times New Roman" w:hAnsi="Times New Roman" w:eastAsia="宋体" w:cs="Times New Roman"/>
                <w:color w:val="000000"/>
                <w:kern w:val="2"/>
                <w:sz w:val="21"/>
                <w:szCs w:val="21"/>
                <w:highlight w:val="none"/>
                <w:u w:color="000000"/>
                <w:lang w:val="en-US" w:eastAsia="zh-CN" w:bidi="ar"/>
              </w:rPr>
              <w:t>1</w:t>
            </w:r>
            <w:r>
              <w:rPr>
                <w:rFonts w:hint="eastAsia" w:ascii="宋体" w:hAnsi="宋体" w:eastAsia="宋体" w:cs="宋体"/>
                <w:color w:val="000000"/>
                <w:kern w:val="2"/>
                <w:sz w:val="21"/>
                <w:szCs w:val="21"/>
                <w:highlight w:val="none"/>
                <w:u w:color="000000"/>
                <w:lang w:val="en-US" w:eastAsia="zh-CN" w:bidi="ar"/>
              </w:rPr>
              <w:t>）法定代表人身份证明和本人身份证</w:t>
            </w:r>
            <w:r>
              <w:rPr>
                <w:rFonts w:hint="default" w:ascii="Times New Roman" w:hAnsi="Times New Roman" w:eastAsia="宋体" w:cs="Times New Roman"/>
                <w:color w:val="000000"/>
                <w:kern w:val="2"/>
                <w:sz w:val="21"/>
                <w:szCs w:val="21"/>
                <w:highlight w:val="none"/>
                <w:u w:color="000000"/>
                <w:lang w:val="en-US" w:eastAsia="zh-CN" w:bidi="ar"/>
              </w:rPr>
              <w:t>(</w:t>
            </w:r>
            <w:r>
              <w:rPr>
                <w:rFonts w:hint="eastAsia" w:ascii="宋体" w:hAnsi="宋体" w:eastAsia="宋体" w:cs="宋体"/>
                <w:color w:val="000000"/>
                <w:kern w:val="2"/>
                <w:sz w:val="21"/>
                <w:szCs w:val="21"/>
                <w:highlight w:val="none"/>
                <w:u w:color="000000"/>
                <w:lang w:val="en-US" w:eastAsia="zh-CN" w:bidi="ar"/>
              </w:rPr>
              <w:t>或法定代表人授权委托书和委托代理人身份证</w:t>
            </w:r>
            <w:r>
              <w:rPr>
                <w:rFonts w:hint="default" w:ascii="Times New Roman" w:hAnsi="Times New Roman" w:eastAsia="宋体" w:cs="Times New Roman"/>
                <w:color w:val="000000"/>
                <w:kern w:val="2"/>
                <w:sz w:val="21"/>
                <w:szCs w:val="21"/>
                <w:highlight w:val="none"/>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14:paraId="51E5C1E5">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 xml:space="preserve"> </w:t>
            </w:r>
            <w:r>
              <w:rPr>
                <w:rFonts w:hint="eastAsia" w:ascii="宋体" w:hAnsi="宋体" w:eastAsia="宋体" w:cs="宋体"/>
                <w:color w:val="000000"/>
                <w:kern w:val="2"/>
                <w:sz w:val="21"/>
                <w:szCs w:val="21"/>
                <w:highlight w:val="none"/>
                <w:u w:color="000000"/>
                <w:lang w:val="en-US" w:eastAsia="zh-CN" w:bidi="ar"/>
              </w:rPr>
              <w:t>法定代表人身份证明和有效身份复印件（或授权委托书及委托代理人有效身份证复印件）</w:t>
            </w:r>
          </w:p>
        </w:tc>
      </w:tr>
      <w:tr w14:paraId="3FFB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14:paraId="4FB4A695">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14:paraId="188EC688">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14:paraId="0E612A9B">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14:paraId="61E9B936">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b/>
                <w:bCs w:val="0"/>
                <w:color w:val="000000"/>
                <w:kern w:val="2"/>
                <w:sz w:val="21"/>
                <w:szCs w:val="21"/>
                <w:highlight w:val="none"/>
                <w:u w:color="000000"/>
                <w:lang w:val="en-US" w:eastAsia="zh-CN" w:bidi="ar"/>
              </w:rPr>
            </w:pPr>
            <w:r>
              <w:rPr>
                <w:rFonts w:hint="eastAsia" w:ascii="宋体" w:hAnsi="宋体" w:eastAsia="宋体" w:cs="宋体"/>
                <w:b/>
                <w:bCs w:val="0"/>
                <w:color w:val="000000"/>
                <w:kern w:val="2"/>
                <w:sz w:val="21"/>
                <w:szCs w:val="21"/>
                <w:highlight w:val="none"/>
                <w:u w:color="000000"/>
                <w:lang w:val="en-US" w:eastAsia="zh-CN" w:bidi="ar"/>
              </w:rPr>
              <w:t>评审核验标书中的下列证书、证明材料：</w:t>
            </w:r>
          </w:p>
          <w:p w14:paraId="3CCF7EAA">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投标人有效的营业执照、税务登记证、组织机构码证（或“三证合一证书”）复印件加盖投标人公章</w:t>
            </w:r>
          </w:p>
        </w:tc>
      </w:tr>
      <w:tr w14:paraId="13A8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725" w:type="dxa"/>
            <w:vMerge w:val="continue"/>
            <w:tcBorders>
              <w:left w:val="single" w:color="auto" w:sz="4" w:space="0"/>
              <w:right w:val="single" w:color="auto" w:sz="4" w:space="0"/>
            </w:tcBorders>
            <w:shd w:val="clear" w:color="auto" w:fill="auto"/>
            <w:vAlign w:val="center"/>
          </w:tcPr>
          <w:p w14:paraId="27F83588">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14:paraId="5F500A7B">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14:paraId="1274EB23">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color w:val="000000"/>
                <w:szCs w:val="21"/>
                <w:highlight w:val="none"/>
                <w:lang w:val="en-US" w:eastAsia="zh-CN"/>
              </w:rPr>
              <w:t>（3）</w:t>
            </w:r>
            <w:r>
              <w:rPr>
                <w:rFonts w:hint="eastAsia" w:ascii="宋体" w:hAnsi="宋体" w:eastAsia="宋体" w:cs="宋体"/>
                <w:color w:val="000000"/>
                <w:kern w:val="2"/>
                <w:sz w:val="21"/>
                <w:szCs w:val="21"/>
                <w:highlight w:val="none"/>
                <w:u w:color="000000"/>
                <w:lang w:val="en-US" w:eastAsia="zh-CN" w:bidi="ar"/>
              </w:rPr>
              <w:t>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14:paraId="24550C17">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评审核验标书中的下述文件：</w:t>
            </w:r>
          </w:p>
          <w:p w14:paraId="5C9EB124">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诚信投标承诺书，核验标书 </w:t>
            </w:r>
          </w:p>
        </w:tc>
      </w:tr>
    </w:tbl>
    <w:p w14:paraId="6814245C">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14:paraId="7B9B586A">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52" w:name="_Toc4660368"/>
      <w:bookmarkEnd w:id="52"/>
      <w:r>
        <w:rPr>
          <w:rFonts w:hint="eastAsia" w:ascii="宋体" w:hAnsi="宋体" w:eastAsia="宋体" w:cs="宋体"/>
          <w:color w:val="000000"/>
          <w:kern w:val="0"/>
          <w:sz w:val="21"/>
          <w:szCs w:val="21"/>
          <w:highlight w:val="none"/>
          <w:u w:color="000000"/>
          <w:lang w:val="en-US" w:eastAsia="zh-CN" w:bidi="ar"/>
        </w:rPr>
        <w:t>4.1评审细则</w:t>
      </w:r>
    </w:p>
    <w:tbl>
      <w:tblPr>
        <w:tblStyle w:val="26"/>
        <w:tblW w:w="8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14:paraId="0357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3FA2F31">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298077">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5BA55139">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14:paraId="323F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7BEAA38">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3BC49C">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15C23A42">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4EBDC355">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签字、盖章符合要求。</w:t>
            </w:r>
          </w:p>
        </w:tc>
      </w:tr>
      <w:tr w14:paraId="119A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8A6333">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DC8CCF">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395E2CC8">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6B4D819B">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只能有一个方案投标。</w:t>
            </w:r>
          </w:p>
        </w:tc>
      </w:tr>
      <w:tr w14:paraId="2E9FF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3DA08D">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D8FBA2">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1C8CB9C5">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644D4044">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highlight w:val="none"/>
                <w:u w:color="000000"/>
                <w:lang w:val="en-US" w:eastAsia="zh-CN" w:bidi="ar"/>
              </w:rPr>
              <w:t>。</w:t>
            </w:r>
          </w:p>
        </w:tc>
      </w:tr>
      <w:tr w14:paraId="3A0E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B53022">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9333ED">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318452E6">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1EC54D1A">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完全响应。</w:t>
            </w:r>
          </w:p>
        </w:tc>
      </w:tr>
      <w:tr w14:paraId="7275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5DDE66D">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C990A5">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542C40CC">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59F02FB7">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符合招标文件要求。</w:t>
            </w:r>
          </w:p>
        </w:tc>
      </w:tr>
      <w:tr w14:paraId="37E2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FA65E8">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95079C">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3FD4FDA6">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sz w:val="21"/>
                <w:szCs w:val="24"/>
                <w:highlight w:val="none"/>
                <w:lang w:val="en-US" w:eastAsia="zh-CN" w:bidi="ar-SA"/>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6D85A8AC">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sz w:val="21"/>
                <w:szCs w:val="24"/>
                <w:highlight w:val="none"/>
                <w:lang w:val="en-US" w:eastAsia="zh-CN" w:bidi="ar-SA"/>
              </w:rPr>
            </w:pPr>
            <w:r>
              <w:rPr>
                <w:rFonts w:hint="eastAsia" w:ascii="宋体" w:hAnsi="宋体" w:eastAsia="宋体" w:cs="宋体"/>
                <w:color w:val="000000"/>
                <w:kern w:val="2"/>
                <w:sz w:val="21"/>
                <w:szCs w:val="21"/>
                <w:highlight w:val="none"/>
                <w:u w:color="000000"/>
                <w:lang w:val="en-US" w:eastAsia="zh-CN" w:bidi="ar"/>
              </w:rPr>
              <w:t>投标文件内容清晰、齐全无遗漏。</w:t>
            </w:r>
          </w:p>
        </w:tc>
      </w:tr>
      <w:tr w14:paraId="6620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67" w:type="dxa"/>
            <w:vMerge w:val="restart"/>
            <w:tcBorders>
              <w:top w:val="single" w:color="auto" w:sz="4" w:space="0"/>
              <w:left w:val="single" w:color="auto" w:sz="4" w:space="0"/>
              <w:right w:val="single" w:color="auto" w:sz="4" w:space="0"/>
            </w:tcBorders>
            <w:shd w:val="clear" w:color="auto" w:fill="auto"/>
            <w:vAlign w:val="center"/>
          </w:tcPr>
          <w:p w14:paraId="175F39D1">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w:t>
            </w:r>
          </w:p>
        </w:tc>
        <w:tc>
          <w:tcPr>
            <w:tcW w:w="1000" w:type="dxa"/>
            <w:vMerge w:val="restart"/>
            <w:tcBorders>
              <w:top w:val="single" w:color="auto" w:sz="4" w:space="0"/>
              <w:left w:val="single" w:color="auto" w:sz="4" w:space="0"/>
              <w:right w:val="single" w:color="auto" w:sz="4" w:space="0"/>
            </w:tcBorders>
            <w:shd w:val="clear" w:color="auto" w:fill="auto"/>
            <w:vAlign w:val="center"/>
          </w:tcPr>
          <w:p w14:paraId="6F5D696D">
            <w:pPr>
              <w:keepNext w:val="0"/>
              <w:keepLines w:val="0"/>
              <w:widowControl/>
              <w:suppressLineNumbers w:val="0"/>
              <w:spacing w:before="0" w:beforeAutospacing="0" w:after="0" w:afterAutospacing="0" w:line="440" w:lineRule="exact"/>
              <w:ind w:left="0" w:right="0"/>
              <w:jc w:val="center"/>
              <w:rPr>
                <w:rFonts w:hint="default" w:ascii="宋体" w:hAnsi="宋体" w:eastAsia="宋体" w:cs="宋体"/>
                <w:kern w:val="2"/>
                <w:highlight w:val="none"/>
                <w:lang w:val="en-US"/>
              </w:rPr>
            </w:pPr>
            <w:r>
              <w:rPr>
                <w:rFonts w:hint="default" w:ascii="宋体" w:hAnsi="宋体" w:eastAsia="宋体" w:cs="宋体"/>
                <w:kern w:val="2"/>
                <w:highlight w:val="none"/>
                <w:lang w:val="en-US"/>
              </w:rPr>
              <w:t>标书的响应程度</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102D05B9">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（7）技术参数响应程度</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6DABA659">
            <w:pPr>
              <w:keepNext w:val="0"/>
              <w:keepLines w:val="0"/>
              <w:widowControl/>
              <w:suppressLineNumbers w:val="0"/>
              <w:spacing w:before="0" w:beforeAutospacing="0" w:after="0" w:afterAutospacing="0" w:line="440" w:lineRule="exact"/>
              <w:ind w:left="0" w:right="0"/>
              <w:jc w:val="both"/>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 xml:space="preserve">最大限度满足招标文件要求。 </w:t>
            </w:r>
          </w:p>
        </w:tc>
      </w:tr>
      <w:tr w14:paraId="0F87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67" w:type="dxa"/>
            <w:vMerge w:val="continue"/>
            <w:tcBorders>
              <w:left w:val="single" w:color="auto" w:sz="4" w:space="0"/>
              <w:bottom w:val="single" w:color="auto" w:sz="4" w:space="0"/>
              <w:right w:val="single" w:color="auto" w:sz="4" w:space="0"/>
            </w:tcBorders>
            <w:shd w:val="clear" w:color="auto" w:fill="auto"/>
            <w:vAlign w:val="center"/>
          </w:tcPr>
          <w:p w14:paraId="4D6CA1EC">
            <w:pPr>
              <w:keepNext w:val="0"/>
              <w:keepLines w:val="0"/>
              <w:widowControl/>
              <w:suppressLineNumbers w:val="0"/>
              <w:spacing w:before="0" w:beforeAutospacing="0" w:after="0" w:afterAutospacing="0" w:line="440" w:lineRule="exact"/>
              <w:ind w:left="0" w:right="0"/>
              <w:jc w:val="center"/>
              <w:rPr>
                <w:rFonts w:hint="default" w:ascii="宋体" w:hAnsi="宋体" w:eastAsia="宋体" w:cs="宋体"/>
                <w:kern w:val="2"/>
                <w:highlight w:val="none"/>
                <w:lang w:val="en-US"/>
              </w:rPr>
            </w:pPr>
          </w:p>
        </w:tc>
        <w:tc>
          <w:tcPr>
            <w:tcW w:w="1000" w:type="dxa"/>
            <w:vMerge w:val="continue"/>
            <w:tcBorders>
              <w:left w:val="single" w:color="auto" w:sz="4" w:space="0"/>
              <w:bottom w:val="single" w:color="auto" w:sz="4" w:space="0"/>
              <w:right w:val="single" w:color="auto" w:sz="4" w:space="0"/>
            </w:tcBorders>
            <w:shd w:val="clear" w:color="auto" w:fill="auto"/>
            <w:vAlign w:val="center"/>
          </w:tcPr>
          <w:p w14:paraId="5B0CB9CE">
            <w:pPr>
              <w:keepNext w:val="0"/>
              <w:keepLines w:val="0"/>
              <w:widowControl/>
              <w:suppressLineNumbers w:val="0"/>
              <w:spacing w:before="0" w:beforeAutospacing="0" w:after="0" w:afterAutospacing="0" w:line="440" w:lineRule="exact"/>
              <w:ind w:left="0" w:right="0"/>
              <w:jc w:val="center"/>
              <w:rPr>
                <w:rFonts w:hint="default" w:ascii="宋体" w:hAnsi="宋体" w:eastAsia="宋体" w:cs="宋体"/>
                <w:kern w:val="2"/>
                <w:highlight w:val="none"/>
                <w:lang w:val="en-US"/>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474FD1F4">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sz w:val="21"/>
                <w:szCs w:val="24"/>
                <w:highlight w:val="none"/>
                <w:lang w:val="en-US" w:eastAsia="zh-CN" w:bidi="ar-SA"/>
              </w:rPr>
            </w:pPr>
            <w:r>
              <w:rPr>
                <w:rFonts w:hint="eastAsia" w:ascii="宋体" w:hAnsi="宋体" w:eastAsia="宋体" w:cs="仿宋_GB2312"/>
                <w:color w:val="000000"/>
                <w:kern w:val="2"/>
                <w:sz w:val="21"/>
                <w:szCs w:val="21"/>
                <w:highlight w:val="none"/>
                <w:u w:color="000000"/>
                <w:lang w:val="en-US" w:eastAsia="zh-CN" w:bidi="ar"/>
              </w:rPr>
              <w:t>（8）商务条款响应程度</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14:paraId="23C87E45">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sz w:val="21"/>
                <w:szCs w:val="24"/>
                <w:highlight w:val="none"/>
                <w:lang w:val="en-US" w:eastAsia="zh-CN" w:bidi="ar-SA"/>
              </w:rPr>
            </w:pPr>
            <w:r>
              <w:rPr>
                <w:rFonts w:hint="eastAsia" w:ascii="宋体" w:hAnsi="宋体" w:eastAsia="宋体" w:cs="仿宋_GB2312"/>
                <w:color w:val="000000"/>
                <w:kern w:val="2"/>
                <w:sz w:val="21"/>
                <w:szCs w:val="21"/>
                <w:highlight w:val="none"/>
                <w:u w:color="000000"/>
                <w:lang w:val="en-US" w:eastAsia="zh-CN" w:bidi="ar"/>
              </w:rPr>
              <w:t>最大限度满足招标文件要求。不满足者按评分细则进行评审评分。</w:t>
            </w:r>
          </w:p>
        </w:tc>
      </w:tr>
    </w:tbl>
    <w:p w14:paraId="1E7E4697">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14:paraId="500D5C8B">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14:paraId="73B41B6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14:paraId="4A487F52">
      <w:pPr>
        <w:widowControl w:val="0"/>
        <w:numPr>
          <w:ilvl w:val="0"/>
          <w:numId w:val="3"/>
        </w:numPr>
        <w:snapToGrid w:val="0"/>
        <w:spacing w:before="156" w:beforeLines="50" w:after="156" w:afterLines="50" w:line="440" w:lineRule="exact"/>
        <w:jc w:val="center"/>
        <w:outlineLvl w:val="1"/>
        <w:rPr>
          <w:rFonts w:hint="eastAsia" w:ascii="宋体"/>
          <w:b/>
          <w:color w:val="auto"/>
          <w:sz w:val="24"/>
          <w:szCs w:val="24"/>
          <w:highlight w:val="none"/>
        </w:rPr>
      </w:pPr>
      <w:r>
        <w:rPr>
          <w:rFonts w:hint="eastAsia" w:ascii="宋体"/>
          <w:b/>
          <w:color w:val="auto"/>
          <w:sz w:val="24"/>
          <w:szCs w:val="24"/>
          <w:highlight w:val="none"/>
        </w:rPr>
        <w:t>比较与评价</w:t>
      </w:r>
    </w:p>
    <w:p w14:paraId="727842F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b/>
          <w:szCs w:val="21"/>
          <w:highlight w:val="none"/>
        </w:rPr>
      </w:pPr>
      <w:r>
        <w:rPr>
          <w:rFonts w:hint="eastAsia" w:ascii="宋体" w:hAnsi="宋体"/>
          <w:b/>
          <w:szCs w:val="21"/>
          <w:highlight w:val="none"/>
          <w:lang w:val="en-US" w:eastAsia="zh-CN"/>
        </w:rPr>
        <w:t>5.</w:t>
      </w: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lang w:val="en-US" w:eastAsia="zh-CN"/>
        </w:rPr>
        <w:t>资信和</w:t>
      </w:r>
      <w:r>
        <w:rPr>
          <w:rFonts w:hint="eastAsia" w:ascii="宋体" w:hAnsi="宋体"/>
          <w:b/>
          <w:szCs w:val="21"/>
          <w:highlight w:val="none"/>
        </w:rPr>
        <w:t>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14:paraId="68625FA2">
      <w:pPr>
        <w:spacing w:line="440" w:lineRule="exact"/>
        <w:ind w:right="36" w:rightChars="17" w:firstLine="417" w:firstLineChars="198"/>
        <w:jc w:val="left"/>
        <w:rPr>
          <w:rFonts w:hint="eastAsia" w:ascii="宋体" w:hAnsi="宋体" w:eastAsia="宋体" w:cs="宋体"/>
          <w:b/>
          <w:color w:val="auto"/>
          <w:sz w:val="21"/>
          <w:szCs w:val="21"/>
          <w:highlight w:val="none"/>
        </w:rPr>
      </w:pPr>
      <w:r>
        <w:rPr>
          <w:rFonts w:hint="eastAsia" w:ascii="宋体" w:hAnsi="宋体"/>
          <w:b/>
          <w:color w:val="auto"/>
          <w:szCs w:val="21"/>
          <w:highlight w:val="none"/>
          <w:lang w:val="en-US" w:eastAsia="zh-CN"/>
        </w:rPr>
        <w:t>5.1</w:t>
      </w:r>
      <w:r>
        <w:rPr>
          <w:rFonts w:hint="eastAsia" w:ascii="宋体" w:hAnsi="宋体" w:eastAsia="宋体" w:cs="宋体"/>
          <w:b/>
          <w:color w:val="auto"/>
          <w:sz w:val="21"/>
          <w:szCs w:val="21"/>
          <w:highlight w:val="none"/>
        </w:rPr>
        <w:t>资信标评审细则（</w:t>
      </w: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rPr>
        <w:t>分）</w:t>
      </w:r>
    </w:p>
    <w:tbl>
      <w:tblPr>
        <w:tblStyle w:val="26"/>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218"/>
        <w:gridCol w:w="780"/>
        <w:gridCol w:w="6508"/>
      </w:tblGrid>
      <w:tr w14:paraId="5F5D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6A809464">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序号</w:t>
            </w:r>
          </w:p>
        </w:tc>
        <w:tc>
          <w:tcPr>
            <w:tcW w:w="1218" w:type="dxa"/>
            <w:noWrap w:val="0"/>
            <w:vAlign w:val="center"/>
          </w:tcPr>
          <w:p w14:paraId="05647D6F">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评分因素</w:t>
            </w:r>
          </w:p>
        </w:tc>
        <w:tc>
          <w:tcPr>
            <w:tcW w:w="780" w:type="dxa"/>
            <w:noWrap w:val="0"/>
            <w:vAlign w:val="center"/>
          </w:tcPr>
          <w:p w14:paraId="512B4160">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分值</w:t>
            </w:r>
          </w:p>
        </w:tc>
        <w:tc>
          <w:tcPr>
            <w:tcW w:w="6508" w:type="dxa"/>
            <w:noWrap w:val="0"/>
            <w:vAlign w:val="center"/>
          </w:tcPr>
          <w:p w14:paraId="1A150C48">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评审细则</w:t>
            </w:r>
          </w:p>
        </w:tc>
      </w:tr>
      <w:tr w14:paraId="0F30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43035F9C">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1</w:t>
            </w:r>
          </w:p>
        </w:tc>
        <w:tc>
          <w:tcPr>
            <w:tcW w:w="1218" w:type="dxa"/>
            <w:noWrap w:val="0"/>
            <w:vAlign w:val="center"/>
          </w:tcPr>
          <w:p w14:paraId="5C5CD0B0">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企业业绩</w:t>
            </w:r>
          </w:p>
        </w:tc>
        <w:tc>
          <w:tcPr>
            <w:tcW w:w="780" w:type="dxa"/>
            <w:noWrap w:val="0"/>
            <w:vAlign w:val="center"/>
          </w:tcPr>
          <w:p w14:paraId="268E524E">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10分</w:t>
            </w:r>
          </w:p>
        </w:tc>
        <w:tc>
          <w:tcPr>
            <w:tcW w:w="6508" w:type="dxa"/>
            <w:noWrap w:val="0"/>
            <w:vAlign w:val="center"/>
          </w:tcPr>
          <w:p w14:paraId="43A95B84">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2022年1月1日以来至投标截止时间，投标单位具有供货业绩（业绩内容需含漂流艇）的，每提供一个得5分，本项最高得10分。</w:t>
            </w:r>
          </w:p>
          <w:p w14:paraId="217EC56F">
            <w:pPr>
              <w:keepNext w:val="0"/>
              <w:keepLines w:val="0"/>
              <w:suppressLineNumbers w:val="0"/>
              <w:spacing w:before="0" w:beforeAutospacing="0" w:after="0" w:afterAutospacing="0" w:line="440" w:lineRule="exact"/>
              <w:ind w:left="0" w:right="0"/>
              <w:jc w:val="both"/>
              <w:rPr>
                <w:rFonts w:hint="eastAsia" w:ascii="宋体" w:hAnsi="Times New Roman" w:eastAsia="宋体" w:cs="Times New Roman"/>
                <w:b/>
                <w:bCs/>
                <w:color w:val="auto"/>
                <w:szCs w:val="21"/>
                <w:highlight w:val="none"/>
                <w:lang w:val="en-US" w:eastAsia="zh-CN"/>
              </w:rPr>
            </w:pPr>
            <w:r>
              <w:rPr>
                <w:rFonts w:hint="eastAsia" w:ascii="宋体" w:hAnsi="宋体" w:eastAsia="宋体" w:cs="宋体"/>
                <w:b/>
                <w:bCs/>
                <w:color w:val="auto"/>
                <w:szCs w:val="21"/>
                <w:highlight w:val="none"/>
                <w:lang w:val="en-US" w:eastAsia="zh-CN"/>
              </w:rPr>
              <w:t>注：投标文件中须提供业绩合同扫描件和供货记录或收款记录，若业绩合同中体现不出合同签订时间、金额或服务内容等评审因素，还须另外提供业绩合同甲方出具的证明材料，否则不予认可。</w:t>
            </w:r>
          </w:p>
        </w:tc>
      </w:tr>
      <w:tr w14:paraId="2B14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46" w:type="dxa"/>
            <w:noWrap w:val="0"/>
            <w:vAlign w:val="center"/>
          </w:tcPr>
          <w:p w14:paraId="72CFDA79">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2</w:t>
            </w:r>
          </w:p>
        </w:tc>
        <w:tc>
          <w:tcPr>
            <w:tcW w:w="1218" w:type="dxa"/>
            <w:noWrap w:val="0"/>
            <w:vAlign w:val="center"/>
          </w:tcPr>
          <w:p w14:paraId="3644AFD1">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企认体系</w:t>
            </w:r>
          </w:p>
        </w:tc>
        <w:tc>
          <w:tcPr>
            <w:tcW w:w="780" w:type="dxa"/>
            <w:noWrap w:val="0"/>
            <w:vAlign w:val="center"/>
          </w:tcPr>
          <w:p w14:paraId="6E0F7790">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6分</w:t>
            </w:r>
          </w:p>
        </w:tc>
        <w:tc>
          <w:tcPr>
            <w:tcW w:w="6508" w:type="dxa"/>
            <w:noWrap w:val="0"/>
            <w:vAlign w:val="center"/>
          </w:tcPr>
          <w:p w14:paraId="1D7358FD">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投标人所投产品的制造商具有经国家认证认可监督管理委员会认证机构颁发的有效下列证书：</w:t>
            </w:r>
          </w:p>
          <w:p w14:paraId="5C6CD933">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1.质量管理体系认证；</w:t>
            </w:r>
          </w:p>
          <w:p w14:paraId="5BA3E1EF">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2.知识产权管理体系；</w:t>
            </w:r>
          </w:p>
          <w:p w14:paraId="2AC8DECF">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3.工业化和信息化融合管理体系认证；</w:t>
            </w:r>
          </w:p>
          <w:p w14:paraId="73BFFAAA">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 xml:space="preserve">每提供一个得2分，满分 6分。 </w:t>
            </w:r>
          </w:p>
          <w:p w14:paraId="232C6DD0">
            <w:pPr>
              <w:keepNext w:val="0"/>
              <w:keepLines w:val="0"/>
              <w:suppressLineNumbers w:val="0"/>
              <w:spacing w:before="0" w:beforeAutospacing="0" w:after="0" w:afterAutospacing="0" w:line="440" w:lineRule="exact"/>
              <w:ind w:left="0" w:right="0"/>
              <w:jc w:val="both"/>
              <w:rPr>
                <w:rFonts w:hint="eastAsia" w:ascii="宋体" w:hAnsi="宋体" w:eastAsia="宋体" w:cs="宋体"/>
                <w:b/>
                <w:bCs/>
                <w:color w:val="auto"/>
                <w:szCs w:val="21"/>
                <w:highlight w:val="none"/>
                <w:lang w:val="en-US" w:eastAsia="zh-CN"/>
              </w:rPr>
            </w:pPr>
            <w:r>
              <w:rPr>
                <w:rFonts w:hint="eastAsia" w:ascii="宋体" w:hAnsi="宋体" w:eastAsia="宋体" w:cs="宋体"/>
                <w:b w:val="0"/>
                <w:bCs/>
                <w:color w:val="auto"/>
                <w:sz w:val="21"/>
                <w:szCs w:val="21"/>
                <w:highlight w:val="none"/>
                <w:lang w:val="en-US" w:eastAsia="zh-CN"/>
              </w:rPr>
              <w:t xml:space="preserve">注：投标文件中需提供有效的证书复印件以及全国认证认可信息公共服务平台证书信息查询截图（官网查询截图和供应商所提供的认证证书一致，否则不得分）。 </w:t>
            </w:r>
          </w:p>
        </w:tc>
      </w:tr>
      <w:tr w14:paraId="3DBEE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46" w:type="dxa"/>
            <w:noWrap w:val="0"/>
            <w:vAlign w:val="center"/>
          </w:tcPr>
          <w:p w14:paraId="218A8708">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3</w:t>
            </w:r>
          </w:p>
        </w:tc>
        <w:tc>
          <w:tcPr>
            <w:tcW w:w="1218" w:type="dxa"/>
            <w:noWrap w:val="0"/>
            <w:vAlign w:val="center"/>
          </w:tcPr>
          <w:p w14:paraId="079BA9DA">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企业实力</w:t>
            </w:r>
          </w:p>
        </w:tc>
        <w:tc>
          <w:tcPr>
            <w:tcW w:w="780" w:type="dxa"/>
            <w:noWrap w:val="0"/>
            <w:vAlign w:val="center"/>
          </w:tcPr>
          <w:p w14:paraId="20D821E1">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4分</w:t>
            </w:r>
          </w:p>
        </w:tc>
        <w:tc>
          <w:tcPr>
            <w:tcW w:w="6508" w:type="dxa"/>
            <w:noWrap w:val="0"/>
            <w:vAlign w:val="center"/>
          </w:tcPr>
          <w:p w14:paraId="0589337D">
            <w:pPr>
              <w:keepNext w:val="0"/>
              <w:keepLines w:val="0"/>
              <w:numPr>
                <w:ilvl w:val="0"/>
                <w:numId w:val="4"/>
              </w:numPr>
              <w:suppressLineNumbers w:val="0"/>
              <w:spacing w:before="0" w:beforeAutospacing="0" w:after="0" w:afterAutospacing="0" w:line="440" w:lineRule="exact"/>
              <w:ind w:left="0" w:right="0"/>
              <w:rPr>
                <w:rFonts w:hint="eastAsia" w:ascii="宋体" w:hAnsi="宋体" w:cs="宋体"/>
                <w:szCs w:val="21"/>
                <w:highlight w:val="none"/>
              </w:rPr>
            </w:pPr>
            <w:r>
              <w:rPr>
                <w:rFonts w:hint="eastAsia" w:ascii="Times New Roman" w:hAnsi="Times New Roman" w:eastAsia="宋体" w:cs="Times New Roman"/>
                <w:b w:val="0"/>
                <w:bCs/>
                <w:color w:val="auto"/>
                <w:szCs w:val="21"/>
                <w:highlight w:val="none"/>
                <w:lang w:val="en-US" w:eastAsia="zh-CN"/>
              </w:rPr>
              <w:t>供应商自2022年1月1日</w:t>
            </w:r>
            <w:r>
              <w:rPr>
                <w:rFonts w:hint="eastAsia" w:ascii="宋体" w:hAnsi="宋体" w:cs="宋体"/>
                <w:szCs w:val="21"/>
                <w:highlight w:val="none"/>
              </w:rPr>
              <w:t>至投标截止日</w:t>
            </w:r>
            <w:r>
              <w:rPr>
                <w:rFonts w:hint="eastAsia" w:ascii="Times New Roman" w:hAnsi="Times New Roman" w:eastAsia="宋体" w:cs="Times New Roman"/>
                <w:b w:val="0"/>
                <w:bCs/>
                <w:color w:val="auto"/>
                <w:szCs w:val="21"/>
                <w:highlight w:val="none"/>
                <w:lang w:val="en-US" w:eastAsia="zh-CN"/>
              </w:rPr>
              <w:t>（以颁发时间为准），获得省级及以上行政主管部门颁发的荣誉或奖项的，</w:t>
            </w:r>
            <w:r>
              <w:rPr>
                <w:rFonts w:hint="eastAsia" w:ascii="宋体" w:hAnsi="宋体" w:cs="宋体"/>
                <w:szCs w:val="21"/>
                <w:highlight w:val="none"/>
              </w:rPr>
              <w:t>每提供一个得2分，最高得</w:t>
            </w:r>
            <w:r>
              <w:rPr>
                <w:rFonts w:hint="eastAsia" w:ascii="宋体" w:hAnsi="宋体" w:cs="宋体"/>
                <w:szCs w:val="21"/>
                <w:highlight w:val="none"/>
                <w:lang w:val="en-US" w:eastAsia="zh-CN"/>
              </w:rPr>
              <w:t>2</w:t>
            </w:r>
            <w:r>
              <w:rPr>
                <w:rFonts w:hint="eastAsia" w:ascii="宋体" w:hAnsi="宋体" w:cs="宋体"/>
                <w:szCs w:val="21"/>
                <w:highlight w:val="none"/>
              </w:rPr>
              <w:t>分。</w:t>
            </w:r>
          </w:p>
          <w:p w14:paraId="0FAE177E">
            <w:pPr>
              <w:keepNext w:val="0"/>
              <w:keepLines w:val="0"/>
              <w:suppressLineNumbers w:val="0"/>
              <w:spacing w:before="0" w:beforeAutospacing="0" w:after="0" w:afterAutospacing="0" w:line="440" w:lineRule="exact"/>
              <w:ind w:left="0" w:right="0"/>
              <w:jc w:val="left"/>
              <w:rPr>
                <w:rFonts w:hint="eastAsia" w:ascii="Times New Roman" w:hAnsi="Times New Roman" w:eastAsia="宋体" w:cs="Times New Roman"/>
                <w:b w:val="0"/>
                <w:bCs/>
                <w:color w:val="auto"/>
                <w:szCs w:val="21"/>
                <w:highlight w:val="none"/>
                <w:lang w:val="en-US" w:eastAsia="zh-CN"/>
              </w:rPr>
            </w:pPr>
            <w:r>
              <w:rPr>
                <w:rFonts w:hint="eastAsia" w:ascii="宋体" w:hAnsi="宋体" w:cs="宋体"/>
                <w:szCs w:val="21"/>
                <w:highlight w:val="none"/>
                <w:lang w:val="en-US" w:eastAsia="zh-CN"/>
              </w:rPr>
              <w:t>2.</w:t>
            </w:r>
            <w:r>
              <w:rPr>
                <w:rFonts w:hint="eastAsia" w:ascii="宋体" w:hAnsi="宋体" w:cs="宋体"/>
                <w:szCs w:val="21"/>
                <w:highlight w:val="none"/>
              </w:rPr>
              <w:t>供应商承诺中标后具有售后服务部门，可提供上门维修服务</w:t>
            </w:r>
            <w:r>
              <w:rPr>
                <w:rFonts w:hint="eastAsia" w:ascii="Times New Roman" w:hAnsi="Times New Roman" w:eastAsia="宋体" w:cs="Times New Roman"/>
                <w:b w:val="0"/>
                <w:bCs/>
                <w:color w:val="auto"/>
                <w:szCs w:val="21"/>
                <w:highlight w:val="none"/>
                <w:lang w:val="en-US" w:eastAsia="zh-CN"/>
              </w:rPr>
              <w:t>的得2分。</w:t>
            </w:r>
            <w:r>
              <w:rPr>
                <w:rFonts w:hint="eastAsia" w:ascii="Times New Roman" w:hAnsi="Times New Roman" w:eastAsia="宋体" w:cs="Times New Roman"/>
                <w:b/>
                <w:bCs w:val="0"/>
                <w:color w:val="auto"/>
                <w:szCs w:val="21"/>
                <w:highlight w:val="none"/>
                <w:lang w:val="en-US" w:eastAsia="zh-CN"/>
              </w:rPr>
              <w:t>(承诺函格式自拟，未提供的不得分）</w:t>
            </w:r>
          </w:p>
          <w:p w14:paraId="6326E1B9">
            <w:pPr>
              <w:keepNext w:val="0"/>
              <w:keepLines w:val="0"/>
              <w:suppressLineNumbers w:val="0"/>
              <w:spacing w:before="0" w:beforeAutospacing="0" w:after="0" w:afterAutospacing="0" w:line="440" w:lineRule="exact"/>
              <w:ind w:left="0" w:right="0"/>
              <w:jc w:val="both"/>
              <w:rPr>
                <w:rFonts w:hint="eastAsia"/>
                <w:highlight w:val="none"/>
                <w:lang w:val="en-US" w:eastAsia="zh-CN"/>
              </w:rPr>
            </w:pPr>
            <w:r>
              <w:rPr>
                <w:rFonts w:hint="eastAsia" w:ascii="Times New Roman" w:hAnsi="Times New Roman" w:eastAsia="宋体" w:cs="Times New Roman"/>
                <w:b w:val="0"/>
                <w:bCs/>
                <w:color w:val="auto"/>
                <w:szCs w:val="21"/>
                <w:highlight w:val="none"/>
                <w:lang w:val="en-US" w:eastAsia="zh-CN"/>
              </w:rPr>
              <w:t>注:上述评分项最多提供一个荣誉或奖项，按照排列顺序从首个荣誉或奖项开始评审至对应数量，超出部分不进行评审。有效时间以荣誉证书文件颁发时间为准。</w:t>
            </w:r>
          </w:p>
        </w:tc>
      </w:tr>
    </w:tbl>
    <w:p w14:paraId="5C5728BF">
      <w:pPr>
        <w:spacing w:line="440" w:lineRule="exact"/>
        <w:ind w:firstLine="422" w:firstLineChars="200"/>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6.2技术标评审细则（50分）</w:t>
      </w:r>
    </w:p>
    <w:tbl>
      <w:tblPr>
        <w:tblStyle w:val="26"/>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383"/>
        <w:gridCol w:w="886"/>
        <w:gridCol w:w="6237"/>
      </w:tblGrid>
      <w:tr w14:paraId="60F99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575CE5B7">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序号</w:t>
            </w:r>
          </w:p>
        </w:tc>
        <w:tc>
          <w:tcPr>
            <w:tcW w:w="1383" w:type="dxa"/>
            <w:noWrap w:val="0"/>
            <w:vAlign w:val="center"/>
          </w:tcPr>
          <w:p w14:paraId="3F3ADF22">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评分因素</w:t>
            </w:r>
          </w:p>
        </w:tc>
        <w:tc>
          <w:tcPr>
            <w:tcW w:w="886" w:type="dxa"/>
            <w:noWrap w:val="0"/>
            <w:vAlign w:val="center"/>
          </w:tcPr>
          <w:p w14:paraId="0D69DE6A">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分值</w:t>
            </w:r>
          </w:p>
        </w:tc>
        <w:tc>
          <w:tcPr>
            <w:tcW w:w="6237" w:type="dxa"/>
            <w:noWrap w:val="0"/>
            <w:vAlign w:val="center"/>
          </w:tcPr>
          <w:p w14:paraId="6408EE11">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评审细则</w:t>
            </w:r>
          </w:p>
        </w:tc>
      </w:tr>
      <w:tr w14:paraId="4907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0B6D6E99">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1</w:t>
            </w:r>
          </w:p>
        </w:tc>
        <w:tc>
          <w:tcPr>
            <w:tcW w:w="1383" w:type="dxa"/>
            <w:noWrap w:val="0"/>
            <w:vAlign w:val="center"/>
          </w:tcPr>
          <w:p w14:paraId="5AE65DDC">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技术参数响应</w:t>
            </w:r>
          </w:p>
        </w:tc>
        <w:tc>
          <w:tcPr>
            <w:tcW w:w="886" w:type="dxa"/>
            <w:noWrap w:val="0"/>
            <w:vAlign w:val="center"/>
          </w:tcPr>
          <w:p w14:paraId="30E5B665">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cs="Times New Roman"/>
                <w:b/>
                <w:bCs/>
                <w:color w:val="auto"/>
                <w:szCs w:val="21"/>
                <w:highlight w:val="none"/>
                <w:lang w:val="en-US" w:eastAsia="zh-CN"/>
              </w:rPr>
              <w:t>35</w:t>
            </w:r>
            <w:r>
              <w:rPr>
                <w:rFonts w:hint="eastAsia" w:ascii="宋体" w:hAnsi="Times New Roman" w:eastAsia="宋体" w:cs="Times New Roman"/>
                <w:b/>
                <w:bCs/>
                <w:color w:val="auto"/>
                <w:szCs w:val="21"/>
                <w:highlight w:val="none"/>
                <w:lang w:val="en-US" w:eastAsia="zh-CN"/>
              </w:rPr>
              <w:t>分</w:t>
            </w:r>
          </w:p>
        </w:tc>
        <w:tc>
          <w:tcPr>
            <w:tcW w:w="6237" w:type="dxa"/>
            <w:noWrap w:val="0"/>
            <w:vAlign w:val="center"/>
          </w:tcPr>
          <w:p w14:paraId="0118F352">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1、技术参数中标注“★”的须全部满足，任何一项不响应或负偏离按无效标处理。</w:t>
            </w:r>
          </w:p>
          <w:p w14:paraId="5280445E">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2、技术参数中标注“▲”的每满足或优于一项指标的加5分，共7项，满分35分。</w:t>
            </w:r>
          </w:p>
          <w:p w14:paraId="5513F2B5">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3、未标符号的为一般参数，投标文件中无需列明，但在合同签订后将作为履约验收的依据，投标人在投标文件中提供相关承诺函扫描件，承诺函格式自拟，但须明确体现上述内容，否则投标无效；</w:t>
            </w:r>
          </w:p>
          <w:p w14:paraId="5F9F70FD">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注：（1）如某项标识中包含多条技术参数或要求，则该项标识所含内容均需满足或优于招标文件要求，否则不予认可。</w:t>
            </w:r>
          </w:p>
          <w:p w14:paraId="2C2ACC9F">
            <w:pPr>
              <w:keepNext w:val="0"/>
              <w:keepLines w:val="0"/>
              <w:suppressLineNumbers w:val="0"/>
              <w:spacing w:before="0" w:beforeAutospacing="0" w:after="0" w:afterAutospacing="0" w:line="440" w:lineRule="exact"/>
              <w:ind w:left="0" w:right="0"/>
              <w:jc w:val="both"/>
              <w:rPr>
                <w:rFonts w:hint="eastAsia" w:ascii="宋体" w:hAnsi="Times New Roman" w:eastAsia="宋体" w:cs="Times New Roman"/>
                <w:b/>
                <w:bCs/>
                <w:color w:val="auto"/>
                <w:szCs w:val="21"/>
                <w:highlight w:val="none"/>
                <w:lang w:val="en-US" w:eastAsia="zh-CN"/>
              </w:rPr>
            </w:pPr>
            <w:r>
              <w:rPr>
                <w:rFonts w:hint="eastAsia" w:ascii="宋体" w:hAnsi="宋体" w:eastAsia="宋体" w:cs="宋体"/>
                <w:b w:val="0"/>
                <w:bCs w:val="0"/>
                <w:color w:val="auto"/>
                <w:szCs w:val="21"/>
                <w:highlight w:val="none"/>
                <w:lang w:val="en-US" w:eastAsia="zh-CN"/>
              </w:rPr>
              <w:t>（2）以技术参数响应表、货物的详细配置清单中要求提供的证明材料作为评审依据。技术参数响应情况投标人须依据所投产品如实填写，若自填响应或正偏离，供货时实际产品不响应或负偏离，弄虚作假谋取中标资格的，采购人有权上报相关部门。</w:t>
            </w:r>
          </w:p>
        </w:tc>
      </w:tr>
      <w:tr w14:paraId="09B3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1A8E1380">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2</w:t>
            </w:r>
          </w:p>
        </w:tc>
        <w:tc>
          <w:tcPr>
            <w:tcW w:w="1383" w:type="dxa"/>
            <w:noWrap w:val="0"/>
            <w:vAlign w:val="center"/>
          </w:tcPr>
          <w:p w14:paraId="41CC03CB">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供货及安装方案</w:t>
            </w:r>
          </w:p>
        </w:tc>
        <w:tc>
          <w:tcPr>
            <w:tcW w:w="886" w:type="dxa"/>
            <w:noWrap w:val="0"/>
            <w:vAlign w:val="center"/>
          </w:tcPr>
          <w:p w14:paraId="094D781B">
            <w:pPr>
              <w:keepNext w:val="0"/>
              <w:keepLines w:val="0"/>
              <w:suppressLineNumbers w:val="0"/>
              <w:spacing w:before="0" w:beforeAutospacing="0" w:after="0" w:afterAutospacing="0" w:line="440" w:lineRule="exact"/>
              <w:ind w:left="0" w:right="0"/>
              <w:jc w:val="center"/>
              <w:rPr>
                <w:rFonts w:hint="default" w:ascii="宋体" w:hAnsi="Times New Roman" w:cs="Times New Roman"/>
                <w:b/>
                <w:bCs/>
                <w:color w:val="auto"/>
                <w:szCs w:val="21"/>
                <w:highlight w:val="none"/>
                <w:lang w:val="en-US" w:eastAsia="zh-CN"/>
              </w:rPr>
            </w:pPr>
            <w:r>
              <w:rPr>
                <w:rFonts w:hint="eastAsia" w:ascii="宋体" w:hAnsi="Times New Roman" w:cs="Times New Roman"/>
                <w:b/>
                <w:bCs/>
                <w:color w:val="auto"/>
                <w:szCs w:val="21"/>
                <w:highlight w:val="none"/>
                <w:lang w:val="en-US" w:eastAsia="zh-CN"/>
              </w:rPr>
              <w:t>5分</w:t>
            </w:r>
          </w:p>
        </w:tc>
        <w:tc>
          <w:tcPr>
            <w:tcW w:w="6237" w:type="dxa"/>
            <w:noWrap w:val="0"/>
            <w:vAlign w:val="top"/>
          </w:tcPr>
          <w:p w14:paraId="21544A62">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根据投标人投标文件中提供的供货及安装方案，由评标委员会进行综合评审：</w:t>
            </w:r>
          </w:p>
          <w:p w14:paraId="0D887EE6">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（1）对本项目特点理解准确，优于本项目采购需求，完整详细，可行性、实用性、针对性强，得 5 分；</w:t>
            </w:r>
          </w:p>
          <w:p w14:paraId="1354A3F1">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（2）对本项目特点理解基本准确，适合本项目采购需求，完整详细，具有可行性、实用性和针对性，得 3 分；</w:t>
            </w:r>
          </w:p>
          <w:p w14:paraId="01269022">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（3）对本项目特点和难点理解有待提升，基本适合本项目采购需求，可行性、实用性、针对性有待改善，得 1 分；</w:t>
            </w:r>
          </w:p>
          <w:p w14:paraId="6F0D488A">
            <w:pPr>
              <w:keepNext w:val="0"/>
              <w:keepLines w:val="0"/>
              <w:suppressLineNumbers w:val="0"/>
              <w:spacing w:before="0" w:beforeAutospacing="0" w:after="0" w:afterAutospacing="0" w:line="440" w:lineRule="exact"/>
              <w:ind w:left="0" w:right="0"/>
              <w:jc w:val="both"/>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（4）方案不可行或者未提供得 0 分。</w:t>
            </w:r>
          </w:p>
        </w:tc>
      </w:tr>
      <w:tr w14:paraId="5678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08B5A375">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3</w:t>
            </w:r>
          </w:p>
        </w:tc>
        <w:tc>
          <w:tcPr>
            <w:tcW w:w="1383" w:type="dxa"/>
            <w:noWrap w:val="0"/>
            <w:vAlign w:val="center"/>
          </w:tcPr>
          <w:p w14:paraId="4EBFE220">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售后服务方案</w:t>
            </w:r>
          </w:p>
        </w:tc>
        <w:tc>
          <w:tcPr>
            <w:tcW w:w="886" w:type="dxa"/>
            <w:noWrap w:val="0"/>
            <w:vAlign w:val="center"/>
          </w:tcPr>
          <w:p w14:paraId="2AB2726F">
            <w:pPr>
              <w:keepNext w:val="0"/>
              <w:keepLines w:val="0"/>
              <w:suppressLineNumbers w:val="0"/>
              <w:spacing w:before="0" w:beforeAutospacing="0" w:after="0" w:afterAutospacing="0" w:line="440" w:lineRule="exact"/>
              <w:ind w:left="0" w:right="0"/>
              <w:jc w:val="center"/>
              <w:rPr>
                <w:rFonts w:hint="eastAsia" w:ascii="宋体" w:hAnsi="Times New Roman" w:cs="Times New Roman"/>
                <w:b/>
                <w:bCs/>
                <w:color w:val="auto"/>
                <w:kern w:val="2"/>
                <w:sz w:val="21"/>
                <w:szCs w:val="21"/>
                <w:highlight w:val="none"/>
                <w:lang w:val="en-US" w:eastAsia="zh-CN" w:bidi="ar-SA"/>
              </w:rPr>
            </w:pPr>
            <w:r>
              <w:rPr>
                <w:rFonts w:hint="eastAsia" w:ascii="宋体" w:hAnsi="Times New Roman" w:cs="Times New Roman"/>
                <w:b/>
                <w:bCs/>
                <w:color w:val="auto"/>
                <w:szCs w:val="21"/>
                <w:highlight w:val="none"/>
                <w:lang w:val="en-US" w:eastAsia="zh-CN"/>
              </w:rPr>
              <w:t>5分</w:t>
            </w:r>
          </w:p>
        </w:tc>
        <w:tc>
          <w:tcPr>
            <w:tcW w:w="6237" w:type="dxa"/>
            <w:noWrap w:val="0"/>
            <w:vAlign w:val="top"/>
          </w:tcPr>
          <w:p w14:paraId="3C213CF9">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根据投标人投标文件中提供的售后服务方案，由评标委员会进行综合评审：</w:t>
            </w:r>
          </w:p>
          <w:p w14:paraId="0A18FF7B">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（1）方案体系完备、有针对性地提出服务理念、方法，有创新举措、服务响应或故障排除及时得 5 分；</w:t>
            </w:r>
          </w:p>
          <w:p w14:paraId="46C640B0">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（2）方案体系较完备，服务理念、方法适合，服务响应或故障排除方案有待改善，得 3 分；</w:t>
            </w:r>
          </w:p>
          <w:p w14:paraId="553D9C75">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（3）方案体系、服务理念、方法一般，服务响应或故障排除方案不全面，得 1分；</w:t>
            </w:r>
          </w:p>
          <w:p w14:paraId="7ADB0E8E">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（4）方案不可行或者未提供得 0 分。</w:t>
            </w:r>
          </w:p>
        </w:tc>
      </w:tr>
      <w:tr w14:paraId="5029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643235C2">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4</w:t>
            </w:r>
          </w:p>
        </w:tc>
        <w:tc>
          <w:tcPr>
            <w:tcW w:w="1383" w:type="dxa"/>
            <w:noWrap w:val="0"/>
            <w:vAlign w:val="center"/>
          </w:tcPr>
          <w:p w14:paraId="2B05DA92">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培训方案</w:t>
            </w:r>
          </w:p>
        </w:tc>
        <w:tc>
          <w:tcPr>
            <w:tcW w:w="886" w:type="dxa"/>
            <w:noWrap w:val="0"/>
            <w:vAlign w:val="center"/>
          </w:tcPr>
          <w:p w14:paraId="623C2B1C">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cs="Times New Roman"/>
                <w:b/>
                <w:bCs/>
                <w:color w:val="auto"/>
                <w:szCs w:val="21"/>
                <w:highlight w:val="none"/>
                <w:lang w:val="en-US" w:eastAsia="zh-CN"/>
              </w:rPr>
              <w:t>5分</w:t>
            </w:r>
          </w:p>
        </w:tc>
        <w:tc>
          <w:tcPr>
            <w:tcW w:w="6237" w:type="dxa"/>
            <w:noWrap w:val="0"/>
            <w:vAlign w:val="top"/>
          </w:tcPr>
          <w:p w14:paraId="775F82CB">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根据投标人投标文件中提供的培训方案，由评标委员会进行综合评审：</w:t>
            </w:r>
          </w:p>
          <w:p w14:paraId="27F7C179">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（1）培训方案内容完整，团队水平资深，课程内容丰富，贴合日常使用及维护，实用性强的，得 5 分；</w:t>
            </w:r>
          </w:p>
          <w:p w14:paraId="4C3A8252">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（2）培训方案内容基本完整，团队水平较好，课程内容常规，对日常使用及维护有一定作用，实用性一般，得 3 分；</w:t>
            </w:r>
          </w:p>
          <w:p w14:paraId="25DA2D3B">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（3）培训方案内容简单，团队水平一般，课程内容较少，对日常使用及维护无指导作用，实用性差的，得 1 分；</w:t>
            </w:r>
          </w:p>
          <w:p w14:paraId="7204A9E6">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（4）方案不可行或者未提供得 0 分。</w:t>
            </w:r>
          </w:p>
        </w:tc>
      </w:tr>
    </w:tbl>
    <w:p w14:paraId="7790B95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1" w:firstLineChars="100"/>
        <w:textAlignment w:val="auto"/>
        <w:rPr>
          <w:rFonts w:hint="eastAsia" w:ascii="宋体" w:hAnsi="宋体"/>
          <w:b/>
          <w:color w:val="auto"/>
          <w:szCs w:val="21"/>
          <w:highlight w:val="none"/>
          <w:lang w:val="en-US" w:eastAsia="zh-CN"/>
        </w:rPr>
      </w:pPr>
    </w:p>
    <w:p w14:paraId="43A96C7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1" w:firstLineChars="100"/>
        <w:textAlignment w:val="auto"/>
        <w:rPr>
          <w:rFonts w:hint="eastAsia" w:ascii="宋体" w:hAnsi="宋体"/>
          <w:b/>
          <w:color w:val="auto"/>
          <w:szCs w:val="21"/>
          <w:highlight w:val="none"/>
        </w:rPr>
      </w:pPr>
      <w:r>
        <w:rPr>
          <w:rFonts w:hint="eastAsia" w:ascii="宋体" w:hAnsi="宋体"/>
          <w:b/>
          <w:color w:val="auto"/>
          <w:szCs w:val="21"/>
          <w:highlight w:val="none"/>
          <w:lang w:val="en-US" w:eastAsia="zh-CN"/>
        </w:rPr>
        <w:t>5.2</w:t>
      </w:r>
      <w:r>
        <w:rPr>
          <w:rFonts w:hint="eastAsia" w:ascii="宋体" w:hAnsi="宋体"/>
          <w:b/>
          <w:color w:val="auto"/>
          <w:szCs w:val="21"/>
          <w:highlight w:val="none"/>
        </w:rPr>
        <w:t>商务标评审细则</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30</w:t>
      </w:r>
      <w:r>
        <w:rPr>
          <w:rFonts w:hint="eastAsia" w:ascii="宋体" w:hAnsi="宋体"/>
          <w:b/>
          <w:color w:val="auto"/>
          <w:szCs w:val="21"/>
          <w:highlight w:val="none"/>
        </w:rPr>
        <w:t>分</w:t>
      </w:r>
      <w:r>
        <w:rPr>
          <w:rFonts w:hint="eastAsia" w:ascii="宋体" w:hAnsi="宋体"/>
          <w:b/>
          <w:color w:val="auto"/>
          <w:szCs w:val="21"/>
          <w:highlight w:val="none"/>
          <w:lang w:eastAsia="zh-CN"/>
        </w:rPr>
        <w:t>）</w:t>
      </w:r>
    </w:p>
    <w:tbl>
      <w:tblPr>
        <w:tblStyle w:val="26"/>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383"/>
        <w:gridCol w:w="886"/>
        <w:gridCol w:w="6237"/>
      </w:tblGrid>
      <w:tr w14:paraId="17CE2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47729432">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序号</w:t>
            </w:r>
          </w:p>
        </w:tc>
        <w:tc>
          <w:tcPr>
            <w:tcW w:w="1383" w:type="dxa"/>
            <w:noWrap w:val="0"/>
            <w:vAlign w:val="center"/>
          </w:tcPr>
          <w:p w14:paraId="048C5511">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评分因素</w:t>
            </w:r>
          </w:p>
        </w:tc>
        <w:tc>
          <w:tcPr>
            <w:tcW w:w="886" w:type="dxa"/>
            <w:noWrap w:val="0"/>
            <w:vAlign w:val="center"/>
          </w:tcPr>
          <w:p w14:paraId="439D8DD7">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分值</w:t>
            </w:r>
          </w:p>
        </w:tc>
        <w:tc>
          <w:tcPr>
            <w:tcW w:w="6237" w:type="dxa"/>
            <w:noWrap w:val="0"/>
            <w:vAlign w:val="center"/>
          </w:tcPr>
          <w:p w14:paraId="3AEB383E">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评审细则</w:t>
            </w:r>
          </w:p>
        </w:tc>
      </w:tr>
      <w:tr w14:paraId="1A59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6D700D74">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1</w:t>
            </w:r>
          </w:p>
        </w:tc>
        <w:tc>
          <w:tcPr>
            <w:tcW w:w="1383" w:type="dxa"/>
            <w:noWrap w:val="0"/>
            <w:vAlign w:val="center"/>
          </w:tcPr>
          <w:p w14:paraId="22FB8A90">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报价</w:t>
            </w:r>
          </w:p>
        </w:tc>
        <w:tc>
          <w:tcPr>
            <w:tcW w:w="886" w:type="dxa"/>
            <w:noWrap w:val="0"/>
            <w:vAlign w:val="center"/>
          </w:tcPr>
          <w:p w14:paraId="5AD68D7B">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30分</w:t>
            </w:r>
          </w:p>
        </w:tc>
        <w:tc>
          <w:tcPr>
            <w:tcW w:w="6237" w:type="dxa"/>
            <w:noWrap w:val="0"/>
            <w:vAlign w:val="center"/>
          </w:tcPr>
          <w:p w14:paraId="763358D9">
            <w:pPr>
              <w:keepNext w:val="0"/>
              <w:keepLines w:val="0"/>
              <w:suppressLineNumbers w:val="0"/>
              <w:spacing w:before="0" w:beforeAutospacing="0" w:after="0" w:afterAutospacing="0" w:line="440" w:lineRule="exact"/>
              <w:ind w:left="0" w:right="0"/>
              <w:jc w:val="both"/>
              <w:rPr>
                <w:rFonts w:hint="eastAsia" w:ascii="宋体" w:hAnsi="宋体"/>
                <w:color w:val="auto"/>
                <w:szCs w:val="21"/>
                <w:highlight w:val="none"/>
              </w:rPr>
            </w:pPr>
            <w:r>
              <w:rPr>
                <w:rFonts w:hint="eastAsia" w:ascii="宋体" w:hAnsi="宋体"/>
                <w:color w:val="auto"/>
                <w:szCs w:val="21"/>
                <w:highlight w:val="none"/>
                <w:lang w:val="en-US" w:eastAsia="zh-CN"/>
              </w:rPr>
              <w:t>采购人</w:t>
            </w:r>
            <w:r>
              <w:rPr>
                <w:rFonts w:hint="eastAsia" w:ascii="宋体" w:hAnsi="宋体"/>
                <w:color w:val="auto"/>
                <w:szCs w:val="21"/>
                <w:highlight w:val="none"/>
              </w:rPr>
              <w:t>设置投标报价最高限价，各投标人有效报价不得高于最高限价，否则，其投标文件按无效标处理。</w:t>
            </w:r>
          </w:p>
          <w:p w14:paraId="75FC94F0">
            <w:pPr>
              <w:keepNext w:val="0"/>
              <w:keepLines w:val="0"/>
              <w:suppressLineNumbers w:val="0"/>
              <w:spacing w:before="0" w:beforeAutospacing="0" w:after="0" w:afterAutospacing="0" w:line="440" w:lineRule="exact"/>
              <w:ind w:left="0" w:right="0"/>
              <w:jc w:val="both"/>
              <w:rPr>
                <w:rFonts w:hint="eastAsia" w:ascii="宋体" w:hAnsi="宋体"/>
                <w:color w:val="auto"/>
                <w:szCs w:val="21"/>
                <w:highlight w:val="none"/>
              </w:rPr>
            </w:pPr>
            <w:r>
              <w:rPr>
                <w:rFonts w:hint="eastAsia" w:ascii="宋体" w:hAnsi="宋体"/>
                <w:color w:val="auto"/>
                <w:szCs w:val="21"/>
                <w:highlight w:val="none"/>
              </w:rPr>
              <w:t>1.评审基准价=所有有效投标人的最低报价；其得分为满分；</w:t>
            </w:r>
          </w:p>
          <w:p w14:paraId="3BDD7C8D">
            <w:pPr>
              <w:keepNext w:val="0"/>
              <w:keepLines w:val="0"/>
              <w:suppressLineNumbers w:val="0"/>
              <w:spacing w:before="0" w:beforeAutospacing="0" w:after="0" w:afterAutospacing="0" w:line="440" w:lineRule="exact"/>
              <w:ind w:left="0" w:right="0"/>
              <w:jc w:val="both"/>
              <w:rPr>
                <w:rFonts w:hint="eastAsia" w:ascii="宋体" w:hAnsi="宋体"/>
                <w:color w:val="auto"/>
                <w:szCs w:val="21"/>
                <w:highlight w:val="none"/>
              </w:rPr>
            </w:pPr>
            <w:r>
              <w:rPr>
                <w:rFonts w:hint="eastAsia" w:ascii="宋体" w:hAnsi="宋体"/>
                <w:color w:val="auto"/>
                <w:szCs w:val="21"/>
                <w:highlight w:val="none"/>
              </w:rPr>
              <w:t>2.其它报价得分=评审基准价/投标报价*满分，小数点后保留两位小数，第三位四舍五入；</w:t>
            </w:r>
          </w:p>
          <w:p w14:paraId="6993DFB4">
            <w:pPr>
              <w:keepNext w:val="0"/>
              <w:keepLines w:val="0"/>
              <w:suppressLineNumbers w:val="0"/>
              <w:spacing w:before="0" w:beforeAutospacing="0" w:after="0" w:afterAutospacing="0" w:line="440" w:lineRule="exact"/>
              <w:ind w:left="0" w:right="0"/>
              <w:jc w:val="both"/>
              <w:rPr>
                <w:rFonts w:hint="eastAsia" w:ascii="宋体" w:hAnsi="Times New Roman" w:eastAsia="宋体" w:cs="Times New Roman"/>
                <w:b/>
                <w:bCs/>
                <w:color w:val="auto"/>
                <w:szCs w:val="21"/>
                <w:highlight w:val="none"/>
                <w:lang w:val="en-US" w:eastAsia="zh-CN"/>
              </w:rPr>
            </w:pPr>
            <w:r>
              <w:rPr>
                <w:rFonts w:hint="eastAsia" w:ascii="宋体" w:hAnsi="宋体"/>
                <w:color w:val="auto"/>
                <w:szCs w:val="21"/>
                <w:highlight w:val="none"/>
              </w:rPr>
              <w:t>3.本项分值由评审委员会负责组织计算。</w:t>
            </w:r>
          </w:p>
        </w:tc>
      </w:tr>
    </w:tbl>
    <w:p w14:paraId="5987963E">
      <w:pPr>
        <w:spacing w:line="440" w:lineRule="exact"/>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特别说明：</w:t>
      </w:r>
    </w:p>
    <w:p w14:paraId="1D90433D">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1.评标专家检验投标文件的上述材料，如果由于投标人自身原因导致评标专家无法查看并检验投标文件中以上相关资料的，后果有投标人自行承担。</w:t>
      </w:r>
    </w:p>
    <w:p w14:paraId="2D7B1136">
      <w:pPr>
        <w:spacing w:line="40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2.以上分值均保留二位小数，小数点后第三位四舍五入。</w:t>
      </w:r>
    </w:p>
    <w:p w14:paraId="35A92C1D">
      <w:pPr>
        <w:spacing w:line="400" w:lineRule="exact"/>
        <w:ind w:firstLine="422" w:firstLineChars="200"/>
        <w:rPr>
          <w:rFonts w:hint="eastAsia"/>
          <w:b/>
          <w:color w:val="auto"/>
          <w:szCs w:val="21"/>
          <w:highlight w:val="none"/>
        </w:rPr>
      </w:pPr>
      <w:r>
        <w:rPr>
          <w:rFonts w:hint="eastAsia" w:ascii="Times New Roman" w:hAnsi="Times New Roman" w:eastAsia="宋体" w:cs="Times New Roman"/>
          <w:b/>
          <w:color w:val="auto"/>
          <w:szCs w:val="21"/>
          <w:highlight w:val="none"/>
          <w:lang w:val="en-US" w:eastAsia="zh-CN"/>
        </w:rPr>
        <w:t>注：1.</w:t>
      </w:r>
      <w:r>
        <w:rPr>
          <w:rFonts w:hint="eastAsia" w:ascii="Times New Roman" w:hAnsi="Times New Roman" w:eastAsia="宋体" w:cs="Times New Roman"/>
          <w:b/>
          <w:color w:val="auto"/>
          <w:szCs w:val="21"/>
          <w:highlight w:val="none"/>
        </w:rPr>
        <w:t>提</w:t>
      </w:r>
      <w:r>
        <w:rPr>
          <w:rFonts w:hint="eastAsia"/>
          <w:b/>
          <w:color w:val="auto"/>
          <w:szCs w:val="21"/>
          <w:highlight w:val="none"/>
        </w:rPr>
        <w:t>供的项目业绩只计算评标分值对应的项目数量，按照排列顺序从首个业绩开始评审至对应数量，超出部分不进行评审。对应数量内业绩不符合招标文件要求不得分的，不再补充评审超出部分业绩。如：提供2个业绩即得满分的，按照投标文件排序评审第一、第二项业绩，其余超出部分不再评审。</w:t>
      </w:r>
    </w:p>
    <w:p w14:paraId="55C07871">
      <w:pPr>
        <w:pStyle w:val="2"/>
        <w:keepNext w:val="0"/>
        <w:keepLines w:val="0"/>
        <w:pageBreakBefore w:val="0"/>
        <w:kinsoku/>
        <w:wordWrap/>
        <w:overflowPunct/>
        <w:topLinePunct w:val="0"/>
        <w:autoSpaceDE/>
        <w:autoSpaceDN/>
        <w:bidi w:val="0"/>
        <w:spacing w:line="320" w:lineRule="exact"/>
        <w:ind w:left="0" w:leftChars="0" w:firstLine="0" w:firstLineChars="0"/>
        <w:jc w:val="left"/>
        <w:textAlignment w:val="auto"/>
        <w:rPr>
          <w:rFonts w:hint="eastAsia"/>
        </w:rPr>
      </w:pPr>
    </w:p>
    <w:p w14:paraId="0D193987">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四、推荐中标候选人</w:t>
      </w:r>
    </w:p>
    <w:p w14:paraId="63EAB5FA">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7.评标委员会按资信标和商务标得分之和，从高到低按顺序推荐3名中标候选人。</w:t>
      </w:r>
    </w:p>
    <w:p w14:paraId="7326BE8C">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7.1如总得分相等，以投标报价低的优先，投标报价仍相等由招标人随机抽取确定排名。</w:t>
      </w:r>
    </w:p>
    <w:p w14:paraId="1350C251">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8.无效投标条款</w:t>
      </w:r>
    </w:p>
    <w:p w14:paraId="7B6CB508">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8.1投标人存在下列情形的招标人将拒收投标文件：</w:t>
      </w:r>
    </w:p>
    <w:p w14:paraId="26EC8A60">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 未在投标截止时间前递交投标文件的，投标将被拒绝。</w:t>
      </w:r>
    </w:p>
    <w:p w14:paraId="6AE22387">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8.2其他无效投标情况：</w:t>
      </w:r>
    </w:p>
    <w:p w14:paraId="35D8CD96">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2BCEDF96">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（2）投标人有串通投标、视为串通投标、弄虚作假、行贿等违法行为。</w:t>
      </w:r>
    </w:p>
    <w:p w14:paraId="7CD4BAAF">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（3）投标文件没有对招标文件的实质性要求和条件作出响应。</w:t>
      </w:r>
    </w:p>
    <w:p w14:paraId="6789FD08">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（4）未按规定的格式填写导致实质性内容不全以及实质上不响应，或者关键字迹模糊、无法辨认。</w:t>
      </w:r>
    </w:p>
    <w:p w14:paraId="6A2D73D6">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（5）同一投标人提交两个以上不同的投标文件或者投标报价，但招标文件规定提交备选投标的除外。</w:t>
      </w:r>
    </w:p>
    <w:p w14:paraId="7CD11D80">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（6）投标文件中存在招标人不能接受的其他实质性条件。</w:t>
      </w:r>
    </w:p>
    <w:p w14:paraId="44810CBF">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（7）投标人拒不按照要求对投标文件进行澄清、说明、补正的，或评标委员会根据招标文件的规定对招标文件的计算错误进行修正后，投标人不接受修正的投标报价的。</w:t>
      </w:r>
    </w:p>
    <w:p w14:paraId="43EB71E5">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（8）投标人单方面出现其他投标人材料。</w:t>
      </w:r>
    </w:p>
    <w:p w14:paraId="77BA61E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（9）法律、法规规定的其他情形。</w:t>
      </w:r>
    </w:p>
    <w:p w14:paraId="65E4015F">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9.投标文件的澄清和补正</w:t>
      </w:r>
    </w:p>
    <w:p w14:paraId="597CB9BC">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0348556D">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9.2澄清、说明和补正不得改变投标文件的实质性内容（算术性错误修正的除外）。投标人的书面澄清、说明和补正属于投标文件的组成部分。</w:t>
      </w:r>
    </w:p>
    <w:p w14:paraId="6B27589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9.3评标委员会对投标人提交的澄清、说明和补正有疑问的，可以要求投标人进一步澄清、说明或补正、直至满足评标委员会的要求。</w:t>
      </w:r>
    </w:p>
    <w:p w14:paraId="7DACDEA9">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按照投标文件规定进行澄清、补正后的投标报价经投标人的法定代表人或其委托代理人确认后即为该投标人的最终投标报价。投标人一旦中标，此报价即为中标价。</w:t>
      </w:r>
    </w:p>
    <w:p w14:paraId="7D9CD7B8">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9.4评委会修正错误的原则：</w:t>
      </w:r>
    </w:p>
    <w:p w14:paraId="3283676F">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9.4.1如果数字表示的金额和用文字表示的金额不一致时，以文字表示的金额为准；当投标数量与招标数量不一致时，以招标数量为准；当分项报价清单、投标函的总报价与开标一览表不一致时，以开标一览表为准。</w:t>
      </w:r>
    </w:p>
    <w:p w14:paraId="47490214">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9.4.2如果单价与数量的乘积和总价不一致，以单价为准，修正总价及开标一览表；当单价小数点有明显的错位时，评委会将以总价为准，并修正其单价；投标的数量与招标的数量不一致时，以招标数量为准。</w:t>
      </w:r>
    </w:p>
    <w:p w14:paraId="22DAF80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bookmarkStart w:id="53" w:name="_Toc95223440"/>
      <w:r>
        <w:rPr>
          <w:rFonts w:hint="eastAsia" w:ascii="宋体"/>
          <w:color w:val="auto"/>
          <w:szCs w:val="21"/>
          <w:highlight w:val="none"/>
          <w:lang w:val="en-US" w:eastAsia="zh-CN"/>
        </w:rPr>
        <w:t>10.评分标准</w:t>
      </w:r>
      <w:bookmarkEnd w:id="53"/>
    </w:p>
    <w:p w14:paraId="3A570B1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10.1评分标准：见资信、商务评分表。</w:t>
      </w:r>
    </w:p>
    <w:p w14:paraId="48A8DAF7">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11.评审结果</w:t>
      </w:r>
    </w:p>
    <w:p w14:paraId="0A1DB055">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11.1评标委员会按照总得分由高到低顺序推荐中标候选人。</w:t>
      </w:r>
    </w:p>
    <w:p w14:paraId="4D6A2D70">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11.2评标委员会完成评标后，应当向招标人提交书面评标报告。评标报告应当如实记载以下内容：</w:t>
      </w:r>
    </w:p>
    <w:p w14:paraId="3D13D4B9">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（1）基本情况和数据表。</w:t>
      </w:r>
    </w:p>
    <w:p w14:paraId="17B2C233">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（2）评标委员会成员名单。</w:t>
      </w:r>
    </w:p>
    <w:p w14:paraId="733C26A4">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（3）开标记录。</w:t>
      </w:r>
    </w:p>
    <w:p w14:paraId="787B27BC">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（4）符合要求的投标人一览表。</w:t>
      </w:r>
    </w:p>
    <w:p w14:paraId="30930ADF">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（5）否决投标情况说明。</w:t>
      </w:r>
    </w:p>
    <w:p w14:paraId="3A74D5EB">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（6）评标标准、评标方法或者评标因素。</w:t>
      </w:r>
    </w:p>
    <w:p w14:paraId="744CF4AA">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（7）评标情况一览表。</w:t>
      </w:r>
    </w:p>
    <w:p w14:paraId="000B5CB9">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（8）经评审的投标人排序。</w:t>
      </w:r>
    </w:p>
    <w:p w14:paraId="3D2BE023">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（9）推荐的中标候选人名单与签订合同前要处理的事宜。</w:t>
      </w:r>
    </w:p>
    <w:p w14:paraId="62F4F9CD">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（10）澄清、说明、补正事项纪要。</w:t>
      </w:r>
    </w:p>
    <w:p w14:paraId="23AB3748">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90E5B4D">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12.其他</w:t>
      </w:r>
    </w:p>
    <w:p w14:paraId="1AA4C107">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投标人提供的与投标文件有关的各类证书、证明、文件、资料等的真实性、合法性由投标人负全责。</w:t>
      </w:r>
    </w:p>
    <w:p w14:paraId="657D72B8">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0"/>
        <w:rPr>
          <w:rFonts w:hint="eastAsia" w:ascii="宋体" w:cs="宋体"/>
          <w:b/>
          <w:bCs/>
          <w:color w:val="auto"/>
          <w:sz w:val="32"/>
          <w:szCs w:val="32"/>
          <w:highlight w:val="none"/>
        </w:rPr>
      </w:pPr>
      <w:bookmarkStart w:id="54" w:name="_Toc10480"/>
    </w:p>
    <w:p w14:paraId="73802FAF">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0"/>
        <w:rPr>
          <w:rFonts w:hint="eastAsia" w:eastAsiaTheme="minorEastAsia"/>
          <w:sz w:val="32"/>
          <w:szCs w:val="32"/>
          <w:highlight w:val="none"/>
          <w:lang w:eastAsia="zh-CN"/>
        </w:rPr>
      </w:pPr>
      <w:r>
        <w:rPr>
          <w:rFonts w:hint="eastAsia" w:ascii="宋体" w:cs="宋体"/>
          <w:b/>
          <w:bCs/>
          <w:color w:val="auto"/>
          <w:sz w:val="32"/>
          <w:szCs w:val="32"/>
          <w:highlight w:val="none"/>
        </w:rPr>
        <w:t>第</w:t>
      </w:r>
      <w:r>
        <w:rPr>
          <w:rFonts w:hint="eastAsia" w:ascii="宋体" w:cs="宋体"/>
          <w:b/>
          <w:bCs/>
          <w:color w:val="auto"/>
          <w:sz w:val="32"/>
          <w:szCs w:val="32"/>
          <w:highlight w:val="none"/>
          <w:lang w:val="en-US" w:eastAsia="zh-CN"/>
        </w:rPr>
        <w:t>四</w:t>
      </w:r>
      <w:r>
        <w:rPr>
          <w:rFonts w:hint="eastAsia" w:ascii="宋体" w:cs="宋体"/>
          <w:b/>
          <w:bCs/>
          <w:color w:val="auto"/>
          <w:sz w:val="32"/>
          <w:szCs w:val="32"/>
          <w:highlight w:val="none"/>
        </w:rPr>
        <w:t xml:space="preserve">章  </w:t>
      </w:r>
      <w:r>
        <w:rPr>
          <w:rFonts w:hint="eastAsia" w:ascii="宋体" w:cs="宋体"/>
          <w:b/>
          <w:bCs/>
          <w:color w:val="auto"/>
          <w:sz w:val="32"/>
          <w:szCs w:val="32"/>
          <w:highlight w:val="none"/>
          <w:lang w:eastAsia="zh-CN"/>
        </w:rPr>
        <w:t>采购需求</w:t>
      </w:r>
      <w:bookmarkEnd w:id="54"/>
    </w:p>
    <w:p w14:paraId="40A6CF75">
      <w:pPr>
        <w:keepNext w:val="0"/>
        <w:keepLines w:val="0"/>
        <w:pageBreakBefore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一、项目概况</w:t>
      </w:r>
    </w:p>
    <w:p w14:paraId="10F143A9">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本项目为2025年琅琊山森林漂流皮划艇采购项目（二次），所有产品均须符合相关国家标准。</w:t>
      </w:r>
    </w:p>
    <w:p w14:paraId="2729A779">
      <w:pPr>
        <w:keepNext w:val="0"/>
        <w:keepLines w:val="0"/>
        <w:pageBreakBefore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二、采购需求清单</w:t>
      </w:r>
    </w:p>
    <w:tbl>
      <w:tblPr>
        <w:tblStyle w:val="26"/>
        <w:tblW w:w="8918" w:type="dxa"/>
        <w:tblInd w:w="-2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0"/>
        <w:gridCol w:w="1484"/>
        <w:gridCol w:w="5007"/>
        <w:gridCol w:w="832"/>
        <w:gridCol w:w="845"/>
      </w:tblGrid>
      <w:tr w14:paraId="5A052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50" w:type="dxa"/>
            <w:tcBorders>
              <w:top w:val="single" w:color="000000" w:sz="4" w:space="0"/>
              <w:left w:val="single" w:color="000000" w:sz="4" w:space="0"/>
              <w:bottom w:val="single" w:color="000000" w:sz="4" w:space="0"/>
              <w:right w:val="single" w:color="000000" w:sz="4" w:space="0"/>
            </w:tcBorders>
            <w:noWrap/>
            <w:vAlign w:val="center"/>
          </w:tcPr>
          <w:p w14:paraId="081F56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484" w:type="dxa"/>
            <w:tcBorders>
              <w:top w:val="single" w:color="000000" w:sz="4" w:space="0"/>
              <w:left w:val="single" w:color="000000" w:sz="4" w:space="0"/>
              <w:bottom w:val="single" w:color="000000" w:sz="4" w:space="0"/>
              <w:right w:val="single" w:color="000000" w:sz="4" w:space="0"/>
            </w:tcBorders>
            <w:noWrap/>
            <w:vAlign w:val="center"/>
          </w:tcPr>
          <w:p w14:paraId="3B47FF6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sz w:val="21"/>
                <w:szCs w:val="21"/>
                <w:u w:val="none"/>
                <w:lang w:val="en-US" w:eastAsia="zh-CN"/>
              </w:rPr>
            </w:pPr>
            <w:r>
              <w:rPr>
                <w:rFonts w:hint="eastAsia" w:ascii="宋体" w:hAnsi="宋体" w:eastAsia="宋体" w:cs="宋体"/>
                <w:b/>
                <w:bCs/>
                <w:i w:val="0"/>
                <w:iCs w:val="0"/>
                <w:color w:val="auto"/>
                <w:sz w:val="21"/>
                <w:szCs w:val="21"/>
                <w:u w:val="none"/>
                <w:lang w:val="en-US" w:eastAsia="zh-CN"/>
              </w:rPr>
              <w:t>器材名称</w:t>
            </w:r>
          </w:p>
        </w:tc>
        <w:tc>
          <w:tcPr>
            <w:tcW w:w="5007" w:type="dxa"/>
            <w:tcBorders>
              <w:top w:val="single" w:color="000000" w:sz="4" w:space="0"/>
              <w:left w:val="single" w:color="000000" w:sz="4" w:space="0"/>
              <w:bottom w:val="single" w:color="000000" w:sz="4" w:space="0"/>
              <w:right w:val="single" w:color="000000" w:sz="4" w:space="0"/>
            </w:tcBorders>
            <w:noWrap/>
            <w:vAlign w:val="center"/>
          </w:tcPr>
          <w:p w14:paraId="326A34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规格参数</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7C9881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845" w:type="dxa"/>
            <w:tcBorders>
              <w:top w:val="single" w:color="000000" w:sz="4" w:space="0"/>
              <w:left w:val="single" w:color="000000" w:sz="4" w:space="0"/>
              <w:bottom w:val="single" w:color="000000" w:sz="4" w:space="0"/>
              <w:right w:val="single" w:color="000000" w:sz="4" w:space="0"/>
            </w:tcBorders>
            <w:noWrap/>
            <w:vAlign w:val="center"/>
          </w:tcPr>
          <w:p w14:paraId="741400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w:t>
            </w:r>
          </w:p>
        </w:tc>
      </w:tr>
      <w:tr w14:paraId="58258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3" w:hRule="atLeast"/>
        </w:trPr>
        <w:tc>
          <w:tcPr>
            <w:tcW w:w="750" w:type="dxa"/>
            <w:tcBorders>
              <w:top w:val="single" w:color="000000" w:sz="4" w:space="0"/>
              <w:left w:val="single" w:color="000000" w:sz="4" w:space="0"/>
              <w:bottom w:val="single" w:color="000000" w:sz="4" w:space="0"/>
              <w:right w:val="single" w:color="000000" w:sz="4" w:space="0"/>
            </w:tcBorders>
            <w:noWrap/>
            <w:vAlign w:val="center"/>
          </w:tcPr>
          <w:p w14:paraId="50CBB5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1</w:t>
            </w:r>
          </w:p>
        </w:tc>
        <w:tc>
          <w:tcPr>
            <w:tcW w:w="1484" w:type="dxa"/>
            <w:tcBorders>
              <w:top w:val="single" w:color="000000" w:sz="4" w:space="0"/>
              <w:left w:val="single" w:color="000000" w:sz="4" w:space="0"/>
              <w:bottom w:val="single" w:color="000000" w:sz="4" w:space="0"/>
              <w:right w:val="single" w:color="000000" w:sz="4" w:space="0"/>
            </w:tcBorders>
            <w:noWrap/>
            <w:vAlign w:val="center"/>
          </w:tcPr>
          <w:p w14:paraId="692408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双人皮艇</w:t>
            </w:r>
          </w:p>
        </w:tc>
        <w:tc>
          <w:tcPr>
            <w:tcW w:w="5007" w:type="dxa"/>
            <w:tcBorders>
              <w:top w:val="single" w:color="000000" w:sz="4" w:space="0"/>
              <w:left w:val="single" w:color="000000" w:sz="4" w:space="0"/>
              <w:bottom w:val="single" w:color="000000" w:sz="4" w:space="0"/>
              <w:right w:val="single" w:color="000000" w:sz="4" w:space="0"/>
            </w:tcBorders>
            <w:noWrap/>
            <w:vAlign w:val="center"/>
          </w:tcPr>
          <w:p w14:paraId="7C54FEA4">
            <w:pPr>
              <w:pStyle w:val="62"/>
              <w:keepNext w:val="0"/>
              <w:keepLines w:val="0"/>
              <w:pageBreakBefore w:val="0"/>
              <w:suppressLineNumbers w:val="0"/>
              <w:kinsoku/>
              <w:wordWrap/>
              <w:overflowPunct/>
              <w:topLinePunct w:val="0"/>
              <w:autoSpaceDE/>
              <w:autoSpaceDN/>
              <w:bidi w:val="0"/>
              <w:adjustRightInd/>
              <w:snapToGrid/>
              <w:spacing w:before="71" w:beforeAutospacing="0" w:after="0" w:afterAutospacing="0" w:line="300" w:lineRule="exact"/>
              <w:ind w:left="0" w:right="103"/>
              <w:jc w:val="left"/>
              <w:rPr>
                <w:rFonts w:hint="eastAsia" w:ascii="宋体" w:hAnsi="宋体" w:eastAsia="宋体" w:cs="宋体"/>
                <w:b w:val="0"/>
                <w:bCs w:val="0"/>
                <w:color w:val="auto"/>
                <w:sz w:val="21"/>
                <w:szCs w:val="21"/>
                <w:highlight w:val="none"/>
                <w:lang w:eastAsia="zh-CN"/>
              </w:rPr>
            </w:pPr>
            <w:r>
              <w:rPr>
                <w:rFonts w:hint="eastAsia" w:ascii="宋体" w:hAnsi="Times New Roman" w:eastAsia="宋体" w:cs="Times New Roman"/>
                <w:b w:val="0"/>
                <w:bCs w:val="0"/>
                <w:color w:val="auto"/>
                <w:szCs w:val="21"/>
                <w:highlight w:val="none"/>
                <w:lang w:val="en-US" w:eastAsia="zh-CN"/>
              </w:rPr>
              <w:t>★</w:t>
            </w:r>
            <w:r>
              <w:rPr>
                <w:rFonts w:hint="eastAsia" w:ascii="宋体" w:hAnsi="宋体" w:eastAsia="宋体" w:cs="宋体"/>
                <w:b w:val="0"/>
                <w:bCs w:val="0"/>
                <w:i w:val="0"/>
                <w:iCs w:val="0"/>
                <w:color w:val="auto"/>
                <w:sz w:val="21"/>
                <w:szCs w:val="21"/>
                <w:highlight w:val="none"/>
                <w:u w:val="none"/>
                <w:lang w:val="en-US" w:eastAsia="zh-CN"/>
              </w:rPr>
              <w:t>定制型加强玻璃漂河道漂尺寸：</w:t>
            </w:r>
            <w:r>
              <w:rPr>
                <w:rFonts w:hint="eastAsia" w:cs="宋体"/>
                <w:b w:val="0"/>
                <w:bCs w:val="0"/>
                <w:i w:val="0"/>
                <w:iCs w:val="0"/>
                <w:color w:val="auto"/>
                <w:sz w:val="21"/>
                <w:szCs w:val="21"/>
                <w:highlight w:val="none"/>
                <w:u w:val="none"/>
                <w:lang w:val="en-US" w:eastAsia="zh-CN"/>
              </w:rPr>
              <w:t>长</w:t>
            </w:r>
            <w:r>
              <w:rPr>
                <w:rFonts w:hint="eastAsia" w:ascii="宋体" w:hAnsi="宋体" w:eastAsia="宋体" w:cs="宋体"/>
                <w:b w:val="0"/>
                <w:bCs w:val="0"/>
                <w:color w:val="auto"/>
                <w:spacing w:val="-4"/>
                <w:sz w:val="21"/>
                <w:szCs w:val="21"/>
                <w:highlight w:val="none"/>
              </w:rPr>
              <w:t>23</w:t>
            </w:r>
            <w:r>
              <w:rPr>
                <w:rFonts w:hint="eastAsia" w:ascii="宋体" w:hAnsi="宋体" w:eastAsia="宋体" w:cs="宋体"/>
                <w:b w:val="0"/>
                <w:bCs w:val="0"/>
                <w:color w:val="auto"/>
                <w:spacing w:val="-4"/>
                <w:sz w:val="21"/>
                <w:szCs w:val="21"/>
                <w:highlight w:val="none"/>
                <w:lang w:val="en-US" w:eastAsia="zh-CN"/>
              </w:rPr>
              <w:t>5</w:t>
            </w:r>
            <w:r>
              <w:rPr>
                <w:rFonts w:hint="eastAsia" w:ascii="宋体" w:hAnsi="宋体" w:eastAsia="宋体" w:cs="宋体"/>
                <w:b w:val="0"/>
                <w:bCs w:val="0"/>
                <w:color w:val="auto"/>
                <w:spacing w:val="-4"/>
                <w:sz w:val="21"/>
                <w:szCs w:val="21"/>
                <w:highlight w:val="none"/>
              </w:rPr>
              <w:t>0*</w:t>
            </w:r>
            <w:r>
              <w:rPr>
                <w:rFonts w:hint="eastAsia" w:cs="宋体"/>
                <w:b w:val="0"/>
                <w:bCs w:val="0"/>
                <w:color w:val="auto"/>
                <w:spacing w:val="-4"/>
                <w:sz w:val="21"/>
                <w:szCs w:val="21"/>
                <w:highlight w:val="none"/>
                <w:lang w:val="en-US" w:eastAsia="zh-CN"/>
              </w:rPr>
              <w:t>宽</w:t>
            </w:r>
            <w:r>
              <w:rPr>
                <w:rFonts w:hint="eastAsia" w:ascii="宋体" w:hAnsi="宋体" w:eastAsia="宋体" w:cs="宋体"/>
                <w:b w:val="0"/>
                <w:bCs w:val="0"/>
                <w:color w:val="auto"/>
                <w:spacing w:val="-4"/>
                <w:sz w:val="21"/>
                <w:szCs w:val="21"/>
                <w:highlight w:val="none"/>
              </w:rPr>
              <w:t>1</w:t>
            </w:r>
            <w:r>
              <w:rPr>
                <w:rFonts w:hint="eastAsia" w:cs="宋体"/>
                <w:b w:val="0"/>
                <w:bCs w:val="0"/>
                <w:color w:val="auto"/>
                <w:spacing w:val="-4"/>
                <w:sz w:val="21"/>
                <w:szCs w:val="21"/>
                <w:highlight w:val="none"/>
                <w:lang w:val="en-US" w:eastAsia="zh-CN"/>
              </w:rPr>
              <w:t>20</w:t>
            </w:r>
            <w:r>
              <w:rPr>
                <w:rFonts w:hint="eastAsia" w:ascii="宋体" w:hAnsi="宋体" w:eastAsia="宋体" w:cs="宋体"/>
                <w:b w:val="0"/>
                <w:bCs w:val="0"/>
                <w:color w:val="auto"/>
                <w:spacing w:val="-4"/>
                <w:sz w:val="21"/>
                <w:szCs w:val="21"/>
                <w:highlight w:val="none"/>
              </w:rPr>
              <w:t>0*</w:t>
            </w:r>
            <w:r>
              <w:rPr>
                <w:rFonts w:hint="eastAsia" w:ascii="宋体" w:hAnsi="宋体" w:eastAsia="宋体" w:cs="宋体"/>
                <w:b w:val="0"/>
                <w:bCs w:val="0"/>
                <w:color w:val="auto"/>
                <w:spacing w:val="5"/>
                <w:sz w:val="21"/>
                <w:szCs w:val="21"/>
                <w:highlight w:val="none"/>
                <w:lang w:val="en-US" w:eastAsia="zh-CN"/>
              </w:rPr>
              <w:t>深</w:t>
            </w:r>
            <w:r>
              <w:rPr>
                <w:rFonts w:hint="eastAsia" w:ascii="宋体" w:hAnsi="宋体" w:eastAsia="宋体" w:cs="宋体"/>
                <w:b w:val="0"/>
                <w:bCs w:val="0"/>
                <w:color w:val="auto"/>
                <w:spacing w:val="-6"/>
                <w:sz w:val="21"/>
                <w:szCs w:val="21"/>
                <w:highlight w:val="none"/>
              </w:rPr>
              <w:t>350</w:t>
            </w:r>
            <w:r>
              <w:rPr>
                <w:rFonts w:hint="eastAsia" w:cs="宋体"/>
                <w:b w:val="0"/>
                <w:bCs w:val="0"/>
                <w:color w:val="auto"/>
                <w:spacing w:val="-6"/>
                <w:sz w:val="21"/>
                <w:szCs w:val="21"/>
                <w:highlight w:val="none"/>
                <w:lang w:val="en-US" w:eastAsia="zh-CN"/>
              </w:rPr>
              <w:t>mm</w:t>
            </w:r>
            <w:r>
              <w:rPr>
                <w:rFonts w:hint="eastAsia" w:cs="宋体"/>
                <w:b w:val="0"/>
                <w:bCs w:val="0"/>
                <w:color w:val="auto"/>
                <w:spacing w:val="-6"/>
                <w:sz w:val="21"/>
                <w:szCs w:val="21"/>
                <w:highlight w:val="none"/>
                <w:lang w:eastAsia="zh-CN"/>
              </w:rPr>
              <w:t>（</w:t>
            </w:r>
            <w:r>
              <w:rPr>
                <w:rFonts w:hint="eastAsia" w:cs="宋体"/>
                <w:b w:val="0"/>
                <w:bCs w:val="0"/>
                <w:color w:val="auto"/>
                <w:spacing w:val="-4"/>
                <w:sz w:val="21"/>
                <w:szCs w:val="21"/>
                <w:highlight w:val="none"/>
                <w:lang w:val="en-US" w:eastAsia="zh-CN"/>
              </w:rPr>
              <w:t>±50</w:t>
            </w:r>
            <w:r>
              <w:rPr>
                <w:rFonts w:hint="eastAsia" w:cs="宋体"/>
                <w:b w:val="0"/>
                <w:bCs w:val="0"/>
                <w:color w:val="auto"/>
                <w:spacing w:val="-6"/>
                <w:sz w:val="21"/>
                <w:szCs w:val="21"/>
                <w:highlight w:val="none"/>
                <w:lang w:val="en-US" w:eastAsia="zh-CN"/>
              </w:rPr>
              <w:t>mm，具体尺寸在中标后，到现场进行实地测量后，与招标单位共同确认为准</w:t>
            </w:r>
            <w:r>
              <w:rPr>
                <w:rFonts w:hint="eastAsia" w:cs="宋体"/>
                <w:b w:val="0"/>
                <w:bCs w:val="0"/>
                <w:color w:val="auto"/>
                <w:spacing w:val="-6"/>
                <w:sz w:val="21"/>
                <w:szCs w:val="21"/>
                <w:highlight w:val="none"/>
                <w:lang w:eastAsia="zh-CN"/>
              </w:rPr>
              <w:t>）</w:t>
            </w:r>
          </w:p>
          <w:p w14:paraId="0ED65C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Times New Roman" w:eastAsia="宋体" w:cs="Times New Roman"/>
                <w:b w:val="0"/>
                <w:bCs w:val="0"/>
                <w:color w:val="auto"/>
                <w:szCs w:val="21"/>
                <w:highlight w:val="none"/>
                <w:lang w:val="en-US" w:eastAsia="zh-CN"/>
              </w:rPr>
              <w:t>★</w:t>
            </w:r>
            <w:r>
              <w:rPr>
                <w:rFonts w:hint="eastAsia" w:ascii="宋体" w:hAnsi="宋体" w:eastAsia="宋体" w:cs="宋体"/>
                <w:b w:val="0"/>
                <w:bCs w:val="0"/>
                <w:i w:val="0"/>
                <w:iCs w:val="0"/>
                <w:color w:val="auto"/>
                <w:sz w:val="21"/>
                <w:szCs w:val="21"/>
                <w:highlight w:val="none"/>
                <w:u w:val="none"/>
                <w:lang w:val="en-US" w:eastAsia="zh-CN"/>
              </w:rPr>
              <w:t>气室：2个</w:t>
            </w:r>
          </w:p>
          <w:p w14:paraId="378341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Times New Roman" w:eastAsia="宋体" w:cs="Times New Roman"/>
                <w:b w:val="0"/>
                <w:bCs w:val="0"/>
                <w:color w:val="auto"/>
                <w:szCs w:val="21"/>
                <w:highlight w:val="none"/>
                <w:lang w:val="en-US" w:eastAsia="zh-CN"/>
              </w:rPr>
              <w:t>★</w:t>
            </w:r>
            <w:r>
              <w:rPr>
                <w:rFonts w:hint="eastAsia" w:ascii="宋体" w:hAnsi="宋体" w:eastAsia="宋体" w:cs="宋体"/>
                <w:b w:val="0"/>
                <w:bCs w:val="0"/>
                <w:i w:val="0"/>
                <w:iCs w:val="0"/>
                <w:color w:val="auto"/>
                <w:sz w:val="21"/>
                <w:szCs w:val="21"/>
                <w:highlight w:val="none"/>
                <w:u w:val="none"/>
                <w:lang w:val="en-US" w:eastAsia="zh-CN"/>
              </w:rPr>
              <w:t>额定乘员：2人</w:t>
            </w:r>
          </w:p>
          <w:p w14:paraId="47239E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color w:val="auto"/>
                <w:sz w:val="21"/>
                <w:szCs w:val="21"/>
                <w:highlight w:val="yellow"/>
                <w:lang w:val="en-US" w:eastAsia="zh-CN"/>
              </w:rPr>
            </w:pPr>
            <w:r>
              <w:rPr>
                <w:rFonts w:hint="eastAsia" w:ascii="宋体" w:hAnsi="Times New Roman" w:eastAsia="宋体" w:cs="Times New Roman"/>
                <w:b w:val="0"/>
                <w:bCs w:val="0"/>
                <w:color w:val="auto"/>
                <w:szCs w:val="21"/>
                <w:highlight w:val="none"/>
                <w:lang w:val="en-US" w:eastAsia="zh-CN"/>
              </w:rPr>
              <w:t>★</w:t>
            </w:r>
            <w:r>
              <w:rPr>
                <w:rFonts w:hint="eastAsia" w:ascii="宋体" w:hAnsi="宋体" w:eastAsia="宋体" w:cs="宋体"/>
                <w:b w:val="0"/>
                <w:bCs w:val="0"/>
                <w:color w:val="auto"/>
                <w:sz w:val="21"/>
                <w:szCs w:val="21"/>
                <w:highlight w:val="yellow"/>
                <w:lang w:val="en-US" w:eastAsia="zh-CN"/>
              </w:rPr>
              <w:t>颜色、Logo根据客户要求定制</w:t>
            </w:r>
          </w:p>
          <w:p w14:paraId="6E6783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default" w:ascii="宋体" w:hAnsi="宋体" w:eastAsia="宋体" w:cs="宋体"/>
                <w:b/>
                <w:bCs/>
                <w:color w:val="auto"/>
                <w:sz w:val="21"/>
                <w:szCs w:val="21"/>
                <w:highlight w:val="none"/>
                <w:lang w:val="en-US" w:eastAsia="zh-CN"/>
              </w:rPr>
            </w:pPr>
            <w:r>
              <w:rPr>
                <w:rFonts w:hint="eastAsia" w:ascii="宋体" w:hAnsi="Times New Roman" w:eastAsia="宋体" w:cs="Times New Roman"/>
                <w:b w:val="0"/>
                <w:bCs w:val="0"/>
                <w:color w:val="auto"/>
                <w:szCs w:val="21"/>
                <w:highlight w:val="none"/>
                <w:lang w:val="en-US" w:eastAsia="zh-CN"/>
              </w:rPr>
              <w:t>★</w:t>
            </w:r>
            <w:r>
              <w:rPr>
                <w:rFonts w:hint="eastAsia" w:ascii="宋体" w:hAnsi="宋体" w:eastAsia="宋体" w:cs="宋体"/>
                <w:b w:val="0"/>
                <w:bCs w:val="0"/>
                <w:color w:val="auto"/>
                <w:sz w:val="21"/>
                <w:szCs w:val="21"/>
                <w:highlight w:val="none"/>
                <w:lang w:val="en-US" w:eastAsia="zh-CN"/>
              </w:rPr>
              <w:t>含船桨（木质杆、塑料桨）2只、安全头盔2顶、救生衣2件；</w:t>
            </w:r>
            <w:r>
              <w:rPr>
                <w:rFonts w:hint="eastAsia" w:ascii="宋体" w:hAnsi="宋体" w:eastAsia="宋体" w:cs="宋体"/>
                <w:b/>
                <w:bCs/>
                <w:color w:val="auto"/>
                <w:sz w:val="21"/>
                <w:szCs w:val="21"/>
                <w:highlight w:val="none"/>
                <w:lang w:val="en-US" w:eastAsia="zh-CN"/>
              </w:rPr>
              <w:t>（无需证明材料）</w:t>
            </w:r>
          </w:p>
          <w:p w14:paraId="639C7B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▲主材：0.9mmPVC、复合织材</w:t>
            </w:r>
          </w:p>
          <w:p w14:paraId="639AB6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▲阀门：铜质专用止回阀</w:t>
            </w:r>
          </w:p>
          <w:p w14:paraId="03871F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▲一、坐垫：EVA泡棉直型</w:t>
            </w:r>
          </w:p>
          <w:p w14:paraId="788AE2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防磨材料：亮光增滑专用防磨条，防磨强度高。</w:t>
            </w:r>
          </w:p>
          <w:p w14:paraId="4767AB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安全绳：直径不小于8mm涤纶多股绳，在30min内，承受800-1200N拉力，结实耐用。</w:t>
            </w:r>
          </w:p>
          <w:p w14:paraId="235DE6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▲二、安全把手：采用柔软合成纤维材料，宽度20-30mm，30min内，承受800-1200N拉力</w:t>
            </w:r>
          </w:p>
          <w:p w14:paraId="19E590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▲底部处理：长形聚氯聚乙烯泡沫坐垫（聚乙烯泡沫需提供表观密度、吸水率、硬度、抗压强度数据）</w:t>
            </w:r>
          </w:p>
          <w:p w14:paraId="0127AA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kern w:val="2"/>
                <w:sz w:val="21"/>
                <w:szCs w:val="21"/>
                <w:highlight w:val="none"/>
                <w:u w:val="none"/>
                <w:lang w:val="en-US" w:eastAsia="zh-CN" w:bidi="ar-SA"/>
              </w:rPr>
            </w:pPr>
            <w:r>
              <w:rPr>
                <w:rFonts w:hint="eastAsia" w:ascii="宋体" w:hAnsi="宋体" w:eastAsia="宋体" w:cs="宋体"/>
                <w:b w:val="0"/>
                <w:bCs w:val="0"/>
                <w:i w:val="0"/>
                <w:iCs w:val="0"/>
                <w:color w:val="auto"/>
                <w:sz w:val="21"/>
                <w:szCs w:val="21"/>
                <w:highlight w:val="none"/>
                <w:u w:val="none"/>
                <w:lang w:val="en-US" w:eastAsia="zh-CN"/>
              </w:rPr>
              <w:t>▲</w:t>
            </w:r>
            <w:r>
              <w:rPr>
                <w:rFonts w:hint="eastAsia" w:ascii="宋体" w:hAnsi="宋体" w:eastAsia="宋体" w:cs="宋体"/>
                <w:b w:val="0"/>
                <w:bCs w:val="0"/>
                <w:i w:val="0"/>
                <w:iCs w:val="0"/>
                <w:color w:val="auto"/>
                <w:kern w:val="2"/>
                <w:sz w:val="21"/>
                <w:szCs w:val="21"/>
                <w:highlight w:val="none"/>
                <w:u w:val="none"/>
                <w:lang w:val="en-US" w:eastAsia="zh-CN" w:bidi="ar-SA"/>
              </w:rPr>
              <w:t>检测机构：中国船级社</w:t>
            </w:r>
          </w:p>
          <w:p w14:paraId="60AAC2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kern w:val="2"/>
                <w:sz w:val="21"/>
                <w:szCs w:val="21"/>
                <w:highlight w:val="none"/>
                <w:u w:val="none"/>
                <w:lang w:val="en-US" w:eastAsia="zh-CN" w:bidi="ar-SA"/>
              </w:rPr>
            </w:pPr>
            <w:r>
              <w:rPr>
                <w:rFonts w:hint="eastAsia" w:ascii="宋体" w:hAnsi="宋体" w:eastAsia="宋体" w:cs="宋体"/>
                <w:b w:val="0"/>
                <w:bCs w:val="0"/>
                <w:i w:val="0"/>
                <w:iCs w:val="0"/>
                <w:color w:val="auto"/>
                <w:kern w:val="2"/>
                <w:sz w:val="21"/>
                <w:szCs w:val="21"/>
                <w:highlight w:val="none"/>
                <w:u w:val="none"/>
                <w:lang w:val="en-US" w:eastAsia="zh-CN" w:bidi="ar-SA"/>
              </w:rPr>
              <w:t>（需提供产品证书、型式认可证书）</w:t>
            </w:r>
          </w:p>
          <w:p w14:paraId="39803FB8">
            <w:pPr>
              <w:pStyle w:val="2"/>
              <w:keepNext w:val="0"/>
              <w:keepLines w:val="0"/>
              <w:pageBreakBefore w:val="0"/>
              <w:kinsoku/>
              <w:wordWrap/>
              <w:overflowPunct/>
              <w:topLinePunct w:val="0"/>
              <w:autoSpaceDE/>
              <w:autoSpaceDN/>
              <w:bidi w:val="0"/>
              <w:adjustRightInd/>
              <w:snapToGrid/>
              <w:spacing w:line="300" w:lineRule="exact"/>
              <w:ind w:left="0" w:leftChars="0" w:firstLine="0" w:firstLineChars="0"/>
              <w:rPr>
                <w:rFonts w:hint="eastAsia"/>
                <w:color w:val="auto"/>
                <w:highlight w:val="none"/>
              </w:rPr>
            </w:pPr>
            <w:r>
              <w:rPr>
                <w:rFonts w:hint="eastAsia" w:ascii="宋体" w:hAnsi="宋体" w:eastAsia="宋体" w:cs="宋体"/>
                <w:b w:val="0"/>
                <w:bCs w:val="0"/>
                <w:i w:val="0"/>
                <w:iCs w:val="0"/>
                <w:color w:val="auto"/>
                <w:sz w:val="21"/>
                <w:szCs w:val="21"/>
                <w:highlight w:val="none"/>
                <w:u w:val="none"/>
                <w:lang w:val="en-US" w:eastAsia="zh-CN"/>
              </w:rPr>
              <w:t>▲</w:t>
            </w:r>
            <w:r>
              <w:rPr>
                <w:rFonts w:hint="eastAsia"/>
                <w:color w:val="auto"/>
                <w:highlight w:val="none"/>
              </w:rPr>
              <w:t>生产工艺</w:t>
            </w:r>
            <w:r>
              <w:rPr>
                <w:rFonts w:hint="eastAsia"/>
                <w:color w:val="auto"/>
                <w:highlight w:val="none"/>
                <w:lang w:eastAsia="zh-CN"/>
              </w:rPr>
              <w:t>：</w:t>
            </w:r>
            <w:r>
              <w:rPr>
                <w:rFonts w:hint="eastAsia"/>
                <w:color w:val="auto"/>
                <w:highlight w:val="none"/>
              </w:rPr>
              <w:t>采用高温熔接+专用胶水粘合工艺，专用胶水大大优于普通胶水，剥离强度、耐高温、耐水解等性能大大增强，阳光暴晒下，艇连接部位牢固性能</w:t>
            </w:r>
            <w:r>
              <w:rPr>
                <w:rFonts w:hint="eastAsia"/>
                <w:color w:val="auto"/>
                <w:highlight w:val="none"/>
                <w:lang w:val="en-US" w:eastAsia="zh-CN"/>
              </w:rPr>
              <w:t>完好</w:t>
            </w:r>
            <w:r>
              <w:rPr>
                <w:rFonts w:hint="eastAsia"/>
                <w:color w:val="auto"/>
                <w:highlight w:val="none"/>
              </w:rPr>
              <w:t>。</w:t>
            </w:r>
          </w:p>
          <w:p w14:paraId="097B7EF3">
            <w:pPr>
              <w:keepNext w:val="0"/>
              <w:keepLines w:val="0"/>
              <w:suppressLineNumbers w:val="0"/>
              <w:spacing w:before="0" w:beforeAutospacing="0" w:after="0" w:afterAutospacing="0"/>
              <w:ind w:left="0" w:right="0"/>
              <w:rPr>
                <w:rFonts w:hint="eastAsia"/>
                <w:color w:val="auto"/>
              </w:rPr>
            </w:pPr>
            <w:r>
              <w:rPr>
                <w:rFonts w:hint="default" w:ascii="宋体" w:hAnsi="宋体" w:cs="宋体"/>
                <w:b/>
                <w:color w:val="auto"/>
                <w:szCs w:val="21"/>
                <w:highlight w:val="none"/>
              </w:rPr>
              <w:t>注：上述要求</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标注不需要的除外）</w:t>
            </w:r>
            <w:r>
              <w:rPr>
                <w:rFonts w:hint="default" w:ascii="宋体" w:hAnsi="宋体" w:cs="宋体"/>
                <w:b/>
                <w:color w:val="auto"/>
                <w:szCs w:val="21"/>
                <w:highlight w:val="none"/>
              </w:rPr>
              <w:t>，须在投标文件</w:t>
            </w:r>
            <w:r>
              <w:rPr>
                <w:rFonts w:hint="eastAsia" w:ascii="宋体" w:hAnsi="宋体" w:cs="宋体"/>
                <w:b/>
                <w:color w:val="auto"/>
                <w:szCs w:val="21"/>
                <w:highlight w:val="none"/>
                <w:lang w:val="en-US" w:eastAsia="zh-CN"/>
              </w:rPr>
              <w:t>提供的证明材料</w:t>
            </w:r>
            <w:r>
              <w:rPr>
                <w:rFonts w:hint="default" w:ascii="宋体" w:hAnsi="宋体" w:cs="宋体"/>
                <w:b/>
                <w:color w:val="auto"/>
                <w:szCs w:val="21"/>
                <w:highlight w:val="none"/>
              </w:rPr>
              <w:t>中体现。</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3431C9C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200</w:t>
            </w:r>
          </w:p>
        </w:tc>
        <w:tc>
          <w:tcPr>
            <w:tcW w:w="845" w:type="dxa"/>
            <w:tcBorders>
              <w:top w:val="single" w:color="000000" w:sz="4" w:space="0"/>
              <w:left w:val="single" w:color="000000" w:sz="4" w:space="0"/>
              <w:bottom w:val="single" w:color="000000" w:sz="4" w:space="0"/>
              <w:right w:val="single" w:color="000000" w:sz="4" w:space="0"/>
            </w:tcBorders>
            <w:noWrap/>
            <w:vAlign w:val="center"/>
          </w:tcPr>
          <w:p w14:paraId="4F8D85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条</w:t>
            </w:r>
          </w:p>
        </w:tc>
      </w:tr>
      <w:tr w14:paraId="0CA62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8" w:hRule="atLeast"/>
        </w:trPr>
        <w:tc>
          <w:tcPr>
            <w:tcW w:w="750" w:type="dxa"/>
            <w:tcBorders>
              <w:top w:val="single" w:color="000000" w:sz="4" w:space="0"/>
              <w:left w:val="single" w:color="000000" w:sz="4" w:space="0"/>
              <w:bottom w:val="single" w:color="000000" w:sz="4" w:space="0"/>
              <w:right w:val="single" w:color="000000" w:sz="4" w:space="0"/>
            </w:tcBorders>
            <w:noWrap/>
            <w:vAlign w:val="center"/>
          </w:tcPr>
          <w:p w14:paraId="50EBC4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u w:color="000000"/>
                <w:lang w:val="en-US" w:eastAsia="zh-CN" w:bidi="ar"/>
              </w:rPr>
            </w:pPr>
            <w:bookmarkStart w:id="55" w:name="_Toc17330"/>
            <w:r>
              <w:rPr>
                <w:rFonts w:hint="eastAsia" w:ascii="Times New Roman" w:hAnsi="Times New Roman" w:eastAsia="宋体" w:cs="Times New Roman"/>
                <w:color w:val="auto"/>
                <w:kern w:val="0"/>
                <w:sz w:val="21"/>
                <w:szCs w:val="21"/>
                <w:highlight w:val="none"/>
                <w:u w:color="000000"/>
                <w:lang w:val="en-US" w:eastAsia="zh-CN" w:bidi="ar"/>
              </w:rPr>
              <w:t>2</w:t>
            </w:r>
          </w:p>
        </w:tc>
        <w:tc>
          <w:tcPr>
            <w:tcW w:w="1484" w:type="dxa"/>
            <w:tcBorders>
              <w:top w:val="single" w:color="000000" w:sz="4" w:space="0"/>
              <w:left w:val="single" w:color="000000" w:sz="4" w:space="0"/>
              <w:bottom w:val="single" w:color="000000" w:sz="4" w:space="0"/>
              <w:right w:val="single" w:color="000000" w:sz="4" w:space="0"/>
            </w:tcBorders>
            <w:noWrap/>
            <w:vAlign w:val="center"/>
          </w:tcPr>
          <w:p w14:paraId="305E687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highlight w:val="yellow"/>
                <w:u w:color="000000"/>
                <w:lang w:val="en-US" w:eastAsia="zh-CN" w:bidi="ar"/>
              </w:rPr>
            </w:pPr>
            <w:r>
              <w:rPr>
                <w:rFonts w:hint="eastAsia" w:ascii="Times New Roman" w:hAnsi="Times New Roman" w:eastAsia="宋体" w:cs="Times New Roman"/>
                <w:color w:val="auto"/>
                <w:kern w:val="0"/>
                <w:sz w:val="21"/>
                <w:szCs w:val="21"/>
                <w:highlight w:val="yellow"/>
                <w:u w:color="000000"/>
                <w:lang w:val="en-US" w:eastAsia="zh-CN" w:bidi="ar"/>
              </w:rPr>
              <w:t>儿童救生衣</w:t>
            </w:r>
          </w:p>
        </w:tc>
        <w:tc>
          <w:tcPr>
            <w:tcW w:w="5007" w:type="dxa"/>
            <w:tcBorders>
              <w:top w:val="single" w:color="000000" w:sz="4" w:space="0"/>
              <w:left w:val="single" w:color="000000" w:sz="4" w:space="0"/>
              <w:bottom w:val="single" w:color="000000" w:sz="4" w:space="0"/>
              <w:right w:val="single" w:color="000000" w:sz="4" w:space="0"/>
            </w:tcBorders>
            <w:noWrap/>
            <w:vAlign w:val="center"/>
          </w:tcPr>
          <w:p w14:paraId="7F1E2BFC">
            <w:pPr>
              <w:keepNext w:val="0"/>
              <w:keepLines w:val="0"/>
              <w:suppressLineNumbers w:val="0"/>
              <w:spacing w:before="0" w:beforeAutospacing="0" w:after="0" w:afterAutospacing="0"/>
              <w:ind w:left="0" w:right="0"/>
              <w:rPr>
                <w:rFonts w:hint="eastAsia"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质量须符合国家强制标准</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755A14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255</w:t>
            </w:r>
          </w:p>
        </w:tc>
        <w:tc>
          <w:tcPr>
            <w:tcW w:w="845" w:type="dxa"/>
            <w:tcBorders>
              <w:top w:val="single" w:color="000000" w:sz="4" w:space="0"/>
              <w:left w:val="single" w:color="000000" w:sz="4" w:space="0"/>
              <w:bottom w:val="single" w:color="000000" w:sz="4" w:space="0"/>
              <w:right w:val="single" w:color="000000" w:sz="4" w:space="0"/>
            </w:tcBorders>
            <w:noWrap/>
            <w:vAlign w:val="center"/>
          </w:tcPr>
          <w:p w14:paraId="200ACEC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件</w:t>
            </w:r>
          </w:p>
        </w:tc>
      </w:tr>
      <w:tr w14:paraId="17D4E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2" w:hRule="atLeast"/>
        </w:trPr>
        <w:tc>
          <w:tcPr>
            <w:tcW w:w="750" w:type="dxa"/>
            <w:tcBorders>
              <w:top w:val="single" w:color="000000" w:sz="4" w:space="0"/>
              <w:left w:val="single" w:color="000000" w:sz="4" w:space="0"/>
              <w:bottom w:val="single" w:color="000000" w:sz="4" w:space="0"/>
              <w:right w:val="single" w:color="000000" w:sz="4" w:space="0"/>
            </w:tcBorders>
            <w:noWrap/>
            <w:vAlign w:val="center"/>
          </w:tcPr>
          <w:p w14:paraId="4D9C57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3</w:t>
            </w:r>
          </w:p>
        </w:tc>
        <w:tc>
          <w:tcPr>
            <w:tcW w:w="1484" w:type="dxa"/>
            <w:tcBorders>
              <w:top w:val="single" w:color="000000" w:sz="4" w:space="0"/>
              <w:left w:val="single" w:color="000000" w:sz="4" w:space="0"/>
              <w:bottom w:val="single" w:color="000000" w:sz="4" w:space="0"/>
              <w:right w:val="single" w:color="000000" w:sz="4" w:space="0"/>
            </w:tcBorders>
            <w:noWrap/>
            <w:vAlign w:val="center"/>
          </w:tcPr>
          <w:p w14:paraId="6650E24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highlight w:val="yellow"/>
                <w:u w:color="000000"/>
                <w:lang w:val="en-US" w:eastAsia="zh-CN" w:bidi="ar"/>
              </w:rPr>
            </w:pPr>
            <w:r>
              <w:rPr>
                <w:rFonts w:hint="eastAsia" w:ascii="Times New Roman" w:hAnsi="Times New Roman" w:eastAsia="宋体" w:cs="Times New Roman"/>
                <w:color w:val="auto"/>
                <w:kern w:val="0"/>
                <w:sz w:val="21"/>
                <w:szCs w:val="21"/>
                <w:highlight w:val="yellow"/>
                <w:u w:color="000000"/>
                <w:lang w:val="en-US" w:eastAsia="zh-CN" w:bidi="ar"/>
              </w:rPr>
              <w:t>儿童安全头盔</w:t>
            </w:r>
          </w:p>
        </w:tc>
        <w:tc>
          <w:tcPr>
            <w:tcW w:w="5007" w:type="dxa"/>
            <w:tcBorders>
              <w:top w:val="single" w:color="000000" w:sz="4" w:space="0"/>
              <w:left w:val="single" w:color="000000" w:sz="4" w:space="0"/>
              <w:bottom w:val="single" w:color="000000" w:sz="4" w:space="0"/>
              <w:right w:val="single" w:color="000000" w:sz="4" w:space="0"/>
            </w:tcBorders>
            <w:noWrap/>
            <w:vAlign w:val="center"/>
          </w:tcPr>
          <w:p w14:paraId="6D7580C7">
            <w:pPr>
              <w:keepNext w:val="0"/>
              <w:keepLines w:val="0"/>
              <w:suppressLineNumbers w:val="0"/>
              <w:spacing w:before="0" w:beforeAutospacing="0" w:after="0" w:afterAutospacing="0"/>
              <w:ind w:left="0" w:right="0"/>
              <w:rPr>
                <w:rFonts w:hint="default" w:ascii="Times New Roman" w:hAnsi="Times New Roman" w:eastAsia="宋体" w:cs="Times New Roman"/>
                <w:color w:val="auto"/>
                <w:kern w:val="0"/>
                <w:sz w:val="21"/>
                <w:szCs w:val="21"/>
                <w:highlight w:val="none"/>
                <w:u w:color="000000"/>
                <w:lang w:val="en-US" w:eastAsia="zh-CN" w:bidi="ar"/>
              </w:rPr>
            </w:pPr>
            <w:r>
              <w:rPr>
                <w:rFonts w:hint="default" w:ascii="Times New Roman" w:hAnsi="Times New Roman" w:eastAsia="宋体" w:cs="Times New Roman"/>
                <w:color w:val="auto"/>
                <w:kern w:val="0"/>
                <w:sz w:val="21"/>
                <w:szCs w:val="21"/>
                <w:highlight w:val="none"/>
                <w:u w:color="000000"/>
                <w:lang w:val="en-US" w:eastAsia="zh-CN" w:bidi="ar"/>
              </w:rPr>
              <w:t>头围48-60</w:t>
            </w:r>
            <w:r>
              <w:rPr>
                <w:rFonts w:hint="eastAsia" w:ascii="Times New Roman" w:hAnsi="Times New Roman" w:eastAsia="宋体" w:cs="Times New Roman"/>
                <w:color w:val="auto"/>
                <w:kern w:val="0"/>
                <w:sz w:val="21"/>
                <w:szCs w:val="21"/>
                <w:highlight w:val="none"/>
                <w:u w:color="000000"/>
                <w:lang w:val="en-US" w:eastAsia="zh-CN" w:bidi="ar"/>
              </w:rPr>
              <w:t>，质量须符合国家强制标准</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7F86F9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260</w:t>
            </w:r>
          </w:p>
        </w:tc>
        <w:tc>
          <w:tcPr>
            <w:tcW w:w="845" w:type="dxa"/>
            <w:tcBorders>
              <w:top w:val="single" w:color="000000" w:sz="4" w:space="0"/>
              <w:left w:val="single" w:color="000000" w:sz="4" w:space="0"/>
              <w:bottom w:val="single" w:color="000000" w:sz="4" w:space="0"/>
              <w:right w:val="single" w:color="000000" w:sz="4" w:space="0"/>
            </w:tcBorders>
            <w:noWrap/>
            <w:vAlign w:val="center"/>
          </w:tcPr>
          <w:p w14:paraId="2203281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顶</w:t>
            </w:r>
          </w:p>
        </w:tc>
      </w:tr>
      <w:tr w14:paraId="6EA55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750" w:type="dxa"/>
            <w:tcBorders>
              <w:top w:val="single" w:color="000000" w:sz="4" w:space="0"/>
              <w:left w:val="single" w:color="000000" w:sz="4" w:space="0"/>
              <w:bottom w:val="single" w:color="000000" w:sz="4" w:space="0"/>
              <w:right w:val="single" w:color="000000" w:sz="4" w:space="0"/>
            </w:tcBorders>
            <w:noWrap/>
            <w:vAlign w:val="center"/>
          </w:tcPr>
          <w:p w14:paraId="15661F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4</w:t>
            </w:r>
          </w:p>
        </w:tc>
        <w:tc>
          <w:tcPr>
            <w:tcW w:w="1484" w:type="dxa"/>
            <w:tcBorders>
              <w:top w:val="single" w:color="000000" w:sz="4" w:space="0"/>
              <w:left w:val="single" w:color="000000" w:sz="4" w:space="0"/>
              <w:bottom w:val="single" w:color="000000" w:sz="4" w:space="0"/>
              <w:right w:val="single" w:color="000000" w:sz="4" w:space="0"/>
            </w:tcBorders>
            <w:noWrap/>
            <w:vAlign w:val="center"/>
          </w:tcPr>
          <w:p w14:paraId="02F9DDD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highlight w:val="yellow"/>
                <w:u w:color="000000"/>
                <w:lang w:val="en-US" w:eastAsia="zh-CN" w:bidi="ar"/>
              </w:rPr>
            </w:pPr>
            <w:r>
              <w:rPr>
                <w:rFonts w:hint="eastAsia" w:ascii="Times New Roman" w:hAnsi="Times New Roman" w:eastAsia="宋体" w:cs="Times New Roman"/>
                <w:color w:val="auto"/>
                <w:kern w:val="0"/>
                <w:sz w:val="21"/>
                <w:szCs w:val="21"/>
                <w:highlight w:val="yellow"/>
                <w:u w:color="000000"/>
                <w:lang w:val="en-US" w:eastAsia="zh-CN" w:bidi="ar"/>
              </w:rPr>
              <w:t>船桨</w:t>
            </w:r>
          </w:p>
        </w:tc>
        <w:tc>
          <w:tcPr>
            <w:tcW w:w="5007" w:type="dxa"/>
            <w:tcBorders>
              <w:top w:val="single" w:color="000000" w:sz="4" w:space="0"/>
              <w:left w:val="single" w:color="000000" w:sz="4" w:space="0"/>
              <w:bottom w:val="single" w:color="000000" w:sz="4" w:space="0"/>
              <w:right w:val="single" w:color="000000" w:sz="4" w:space="0"/>
            </w:tcBorders>
            <w:noWrap/>
            <w:vAlign w:val="center"/>
          </w:tcPr>
          <w:p w14:paraId="71D8B6AB">
            <w:pPr>
              <w:keepNext w:val="0"/>
              <w:keepLines w:val="0"/>
              <w:suppressLineNumbers w:val="0"/>
              <w:spacing w:before="0" w:beforeAutospacing="0" w:after="0" w:afterAutospacing="0"/>
              <w:ind w:left="0" w:right="0"/>
              <w:rPr>
                <w:rFonts w:hint="default"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船桨（木质杆、塑料桨）</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224A74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550</w:t>
            </w:r>
          </w:p>
        </w:tc>
        <w:tc>
          <w:tcPr>
            <w:tcW w:w="845" w:type="dxa"/>
            <w:tcBorders>
              <w:top w:val="single" w:color="000000" w:sz="4" w:space="0"/>
              <w:left w:val="single" w:color="000000" w:sz="4" w:space="0"/>
              <w:bottom w:val="single" w:color="000000" w:sz="4" w:space="0"/>
              <w:right w:val="single" w:color="000000" w:sz="4" w:space="0"/>
            </w:tcBorders>
            <w:noWrap/>
            <w:vAlign w:val="center"/>
          </w:tcPr>
          <w:p w14:paraId="28F16D3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highlight w:val="none"/>
                <w:u w:color="000000"/>
                <w:lang w:val="en-US" w:eastAsia="zh-CN" w:bidi="ar"/>
              </w:rPr>
            </w:pPr>
            <w:r>
              <w:rPr>
                <w:rFonts w:hint="eastAsia" w:ascii="Times New Roman" w:hAnsi="Times New Roman" w:eastAsia="宋体" w:cs="Times New Roman"/>
                <w:color w:val="auto"/>
                <w:kern w:val="0"/>
                <w:sz w:val="21"/>
                <w:szCs w:val="21"/>
                <w:highlight w:val="none"/>
                <w:u w:color="000000"/>
                <w:lang w:val="en-US" w:eastAsia="zh-CN" w:bidi="ar"/>
              </w:rPr>
              <w:t>副</w:t>
            </w:r>
          </w:p>
        </w:tc>
      </w:tr>
    </w:tbl>
    <w:p w14:paraId="03068D74">
      <w:pPr>
        <w:pStyle w:val="2"/>
        <w:keepNext w:val="0"/>
        <w:keepLines w:val="0"/>
        <w:pageBreakBefore w:val="0"/>
        <w:kinsoku/>
        <w:wordWrap/>
        <w:overflowPunct/>
        <w:topLinePunct w:val="0"/>
        <w:autoSpaceDE/>
        <w:autoSpaceDN/>
        <w:bidi w:val="0"/>
        <w:adjustRightInd/>
        <w:snapToGrid/>
        <w:spacing w:line="440" w:lineRule="exact"/>
        <w:ind w:left="0" w:leftChars="0" w:firstLine="0" w:firstLineChars="0"/>
        <w:jc w:val="left"/>
        <w:rPr>
          <w:rFonts w:hint="eastAsia" w:ascii="宋体" w:hAnsi="宋体" w:eastAsia="宋体" w:cs="宋体"/>
          <w:b/>
          <w:color w:val="auto"/>
          <w:sz w:val="21"/>
          <w:szCs w:val="21"/>
          <w:highlight w:val="none"/>
          <w:lang w:val="en-US" w:eastAsia="zh-CN"/>
        </w:rPr>
      </w:pPr>
    </w:p>
    <w:p w14:paraId="46B849BF">
      <w:pPr>
        <w:pStyle w:val="2"/>
        <w:keepNext w:val="0"/>
        <w:keepLines w:val="0"/>
        <w:pageBreakBefore w:val="0"/>
        <w:kinsoku/>
        <w:wordWrap/>
        <w:overflowPunct/>
        <w:topLinePunct w:val="0"/>
        <w:autoSpaceDE/>
        <w:autoSpaceDN/>
        <w:bidi w:val="0"/>
        <w:adjustRightInd/>
        <w:snapToGrid/>
        <w:spacing w:line="440" w:lineRule="exact"/>
        <w:ind w:left="0" w:leftChars="0" w:firstLine="0" w:firstLineChars="0"/>
        <w:jc w:val="left"/>
        <w:rPr>
          <w:rFonts w:hint="eastAsia"/>
          <w:lang w:val="en-US" w:eastAsia="zh-CN"/>
        </w:rPr>
      </w:pPr>
      <w:r>
        <w:rPr>
          <w:rFonts w:hint="eastAsia" w:ascii="宋体" w:hAnsi="宋体" w:eastAsia="宋体" w:cs="宋体"/>
          <w:b/>
          <w:color w:val="auto"/>
          <w:sz w:val="21"/>
          <w:szCs w:val="21"/>
          <w:highlight w:val="none"/>
          <w:lang w:val="en-US" w:eastAsia="zh-CN"/>
        </w:rPr>
        <w:t>二</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商务要求</w:t>
      </w:r>
    </w:p>
    <w:p w14:paraId="5FC2A52B">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（一）货物的生产、维修、检验、验收等按照以下原则执行：有国家标准的执行国家标准；无国家标准的执行行业标准；无行业标准的执行地方标准；无地方标准的执行企业标准。</w:t>
      </w:r>
    </w:p>
    <w:p w14:paraId="018E4741">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二）招标人如果在技术参数或配置中标明了品牌或产地，则仅供参考，并非指定，投标人可选用推荐品牌或不低于推荐牌性能、技术水平、质量标准的其它品牌，如采用其它品牌的，应在投标文件中注明并提供相关技术参数、业绩等供评标委员会评审，未提供相关技术参数、业绩的或经评标委员会评审未通过的，中标后只能从招标人推荐品牌中进行选择，价格不予调整；招标人选择推荐品牌之外的除外。</w:t>
      </w:r>
    </w:p>
    <w:p w14:paraId="74133A3C">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 xml:space="preserve"> 对于招标人推荐品牌的材料，投标人如认为招标人推荐的品牌有限定性、唯一性、明显不在同一档次等级的或者其他异议的，应在疑问提出的截止时间前通过交易中心电子交易平台提交。</w:t>
      </w:r>
    </w:p>
    <w:p w14:paraId="040E4783">
      <w:pPr>
        <w:spacing w:line="440" w:lineRule="exact"/>
        <w:ind w:firstLine="420" w:firstLineChars="200"/>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 xml:space="preserve">（三）供货时所有货物（包括零部件）须为全新的、未使用过的原装正品，并完全符合国家质量标准，提供厂家出具的合格证书、有国家强制性认证要求的产品须提供相应证书，货物的技术参数及配置情况必须由投标人提供国家相关检测机构出具的检验报告、生产厂家公开发布的印刷资料等技术资料予以支持。没有技术资料支持的技术参数及配置不能视为响应。 </w:t>
      </w:r>
      <w:r>
        <w:rPr>
          <w:rFonts w:hint="eastAsia" w:ascii="宋体" w:hAnsi="Times New Roman" w:eastAsia="宋体" w:cs="Times New Roman"/>
          <w:b/>
          <w:bCs/>
          <w:color w:val="auto"/>
          <w:szCs w:val="21"/>
          <w:highlight w:val="none"/>
          <w:lang w:val="en-US" w:eastAsia="zh-CN"/>
        </w:rPr>
        <w:t>(厂家出具的合格证书供货时提供)</w:t>
      </w:r>
    </w:p>
    <w:p w14:paraId="42FFFAA2">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（四）技术支持</w:t>
      </w:r>
    </w:p>
    <w:p w14:paraId="0A4DB8AE">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1.中标人应向采购人提供全方位、及时而有效的技术支持和服务。</w:t>
      </w:r>
    </w:p>
    <w:p w14:paraId="3D2037EC">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2.中标人负责供货。</w:t>
      </w:r>
    </w:p>
    <w:p w14:paraId="00CD6286">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3.中标人负责将货物的全部有关技术文件（外文应提供中文翻译资料，下同）、施工图纸、资料、测试、验收报告等汇集成册交付采购人，涉及进口的产品或部件配件软件等须提供中国海关进口货物报关单、完税证明及商检证明等材料。</w:t>
      </w:r>
    </w:p>
    <w:p w14:paraId="4316DD79">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（五）质保及售后服务：</w:t>
      </w:r>
    </w:p>
    <w:p w14:paraId="5CAAFDA7">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1.中标人须提供至少3年的免费质保服务，所有质保费用均已包含在投标报价中，质保期满后，应提供优先的有偿售后服务及按不高于投标文件中主要配件、易损件清单所报价格供应原厂零配件等。</w:t>
      </w:r>
    </w:p>
    <w:p w14:paraId="6F389D66">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2..中标人须设有维修服务电话，负责解答用户在货物使用中遇到的问题，及时提出解决问题的建议和操作方法。</w:t>
      </w:r>
    </w:p>
    <w:p w14:paraId="28C4D7C1">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 xml:space="preserve">3.售后服务响应时间：如货物出现故障，电话响应无法解决，中标人必须在接报修电话 24 小时内到现场并解决问题。 </w:t>
      </w:r>
    </w:p>
    <w:p w14:paraId="159EE58D">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（六）交货期:合同签订并接到供货通知后，须在合同约定期限内供完毕。</w:t>
      </w:r>
    </w:p>
    <w:p w14:paraId="3328AFD1">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（七）交货地点： 货物运至招标人指定地点。</w:t>
      </w:r>
    </w:p>
    <w:p w14:paraId="1FFFF542">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八）验收，若中标人提供的货物验收不合格，招标人有权取消其中标候选人资格（投标人在货物验收时合同签订前需提供设备生产厂家或具有授权权限的代理商针对本项目的授权代理证明文件及售后服务承诺书供招标人审核，否则招标人有权取消其中标候选人资格）；</w:t>
      </w:r>
    </w:p>
    <w:p w14:paraId="1271B67B">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采购人和相关部门按照国家规定标准验收，没有国家标准的按行业标准验收，无行业标准的按地方或企业标准验收，中标人予以配合。涉及安全、消防、环保等其他需要由质检或行业主管部门验收的项目，采购人须约请相关部门和专家参加项目验收。</w:t>
      </w:r>
    </w:p>
    <w:p w14:paraId="60C7C372">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2.货物在验收时，投标人应提供发票、制造厂家出具的产品合格证书、装箱清单等, 涉及进口的产品、部件、配件等须提供中国海关进口货物报关单、完税证明及商检证明等材料；提供有关货物的操作规程和使用说明书，维护手册、保养修理所需的各种随机工具及相关设计、制造、检验、技术性指导等文件和应由投标人提供的必要文件。</w:t>
      </w:r>
    </w:p>
    <w:p w14:paraId="451E2C29">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（九）付款方式：见投标人须知前附表。</w:t>
      </w:r>
    </w:p>
    <w:p w14:paraId="77C99274">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2D00D2FC">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252664FB">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379FAEE9">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434FFF1E">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3AE17CCB">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6B3DDF91">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372109F7">
      <w:pPr>
        <w:pStyle w:val="2"/>
        <w:rPr>
          <w:rFonts w:hint="eastAsia" w:ascii="宋体" w:hAnsi="Times New Roman" w:eastAsia="宋体" w:cs="Times New Roman"/>
          <w:b/>
          <w:bCs w:val="0"/>
          <w:color w:val="auto"/>
          <w:kern w:val="2"/>
          <w:sz w:val="32"/>
          <w:szCs w:val="32"/>
          <w:highlight w:val="none"/>
          <w:lang w:val="en-US" w:eastAsia="zh-CN" w:bidi="ar-SA"/>
        </w:rPr>
      </w:pPr>
    </w:p>
    <w:p w14:paraId="665A3223">
      <w:pPr>
        <w:rPr>
          <w:rFonts w:hint="eastAsia" w:ascii="宋体" w:hAnsi="Times New Roman" w:eastAsia="宋体" w:cs="Times New Roman"/>
          <w:b/>
          <w:bCs w:val="0"/>
          <w:color w:val="auto"/>
          <w:kern w:val="2"/>
          <w:sz w:val="32"/>
          <w:szCs w:val="32"/>
          <w:highlight w:val="none"/>
          <w:lang w:val="en-US" w:eastAsia="zh-CN" w:bidi="ar-SA"/>
        </w:rPr>
      </w:pPr>
    </w:p>
    <w:p w14:paraId="03EB2C4E">
      <w:pPr>
        <w:pStyle w:val="2"/>
        <w:rPr>
          <w:rFonts w:hint="eastAsia" w:ascii="宋体" w:hAnsi="Times New Roman" w:eastAsia="宋体" w:cs="Times New Roman"/>
          <w:b/>
          <w:bCs w:val="0"/>
          <w:color w:val="auto"/>
          <w:kern w:val="2"/>
          <w:sz w:val="32"/>
          <w:szCs w:val="32"/>
          <w:highlight w:val="none"/>
          <w:lang w:val="en-US" w:eastAsia="zh-CN" w:bidi="ar-SA"/>
        </w:rPr>
      </w:pPr>
    </w:p>
    <w:p w14:paraId="28FF927E">
      <w:pPr>
        <w:rPr>
          <w:rFonts w:hint="eastAsia" w:ascii="宋体" w:hAnsi="Times New Roman" w:eastAsia="宋体" w:cs="Times New Roman"/>
          <w:b/>
          <w:bCs w:val="0"/>
          <w:color w:val="auto"/>
          <w:kern w:val="2"/>
          <w:sz w:val="32"/>
          <w:szCs w:val="32"/>
          <w:highlight w:val="none"/>
          <w:lang w:val="en-US" w:eastAsia="zh-CN" w:bidi="ar-SA"/>
        </w:rPr>
      </w:pPr>
    </w:p>
    <w:p w14:paraId="7C2D70DB">
      <w:pPr>
        <w:pStyle w:val="2"/>
        <w:rPr>
          <w:rFonts w:hint="eastAsia" w:ascii="宋体" w:hAnsi="Times New Roman" w:eastAsia="宋体" w:cs="Times New Roman"/>
          <w:b/>
          <w:bCs w:val="0"/>
          <w:color w:val="auto"/>
          <w:kern w:val="2"/>
          <w:sz w:val="32"/>
          <w:szCs w:val="32"/>
          <w:highlight w:val="none"/>
          <w:lang w:val="en-US" w:eastAsia="zh-CN" w:bidi="ar-SA"/>
        </w:rPr>
      </w:pPr>
    </w:p>
    <w:p w14:paraId="51CCCDBD">
      <w:pPr>
        <w:rPr>
          <w:rFonts w:hint="eastAsia"/>
          <w:lang w:val="en-US" w:eastAsia="zh-CN"/>
        </w:rPr>
      </w:pPr>
    </w:p>
    <w:p w14:paraId="67F7087D">
      <w:pPr>
        <w:jc w:val="center"/>
        <w:outlineLvl w:val="0"/>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第五章  合同条款及格式</w:t>
      </w:r>
      <w:bookmarkEnd w:id="55"/>
    </w:p>
    <w:p w14:paraId="58707B4F">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eastAsia" w:ascii="宋体" w:hAnsi="宋体" w:cs="宋体"/>
          <w:b/>
          <w:color w:val="auto"/>
          <w:sz w:val="30"/>
          <w:szCs w:val="30"/>
          <w:highlight w:val="none"/>
        </w:rPr>
      </w:pPr>
      <w:r>
        <w:rPr>
          <w:rFonts w:hint="default" w:ascii="宋体" w:hAnsi="宋体" w:eastAsia="宋体" w:cs="宋体"/>
          <w:b/>
          <w:color w:val="auto"/>
          <w:kern w:val="2"/>
          <w:sz w:val="30"/>
          <w:szCs w:val="30"/>
          <w:lang w:val="en-US" w:eastAsia="zh-CN" w:bidi="ar-SA"/>
        </w:rPr>
        <w:t>一</w:t>
      </w:r>
      <w:r>
        <w:rPr>
          <w:rFonts w:hint="eastAsia" w:ascii="宋体" w:hAnsi="宋体" w:cs="宋体"/>
          <w:b/>
          <w:color w:val="auto"/>
          <w:sz w:val="28"/>
          <w:szCs w:val="28"/>
          <w:highlight w:val="none"/>
        </w:rPr>
        <w:t xml:space="preserve">  合同协议书（格式</w:t>
      </w:r>
      <w:r>
        <w:rPr>
          <w:rFonts w:hint="eastAsia" w:ascii="宋体" w:hAnsi="宋体" w:cs="宋体"/>
          <w:b/>
          <w:color w:val="auto"/>
          <w:sz w:val="28"/>
          <w:szCs w:val="28"/>
          <w:highlight w:val="none"/>
          <w:lang w:val="en-US" w:eastAsia="zh-CN"/>
        </w:rPr>
        <w:t>仅供参考</w:t>
      </w:r>
      <w:r>
        <w:rPr>
          <w:rFonts w:hint="eastAsia" w:ascii="宋体" w:hAnsi="宋体" w:cs="宋体"/>
          <w:b/>
          <w:color w:val="auto"/>
          <w:sz w:val="28"/>
          <w:szCs w:val="28"/>
          <w:highlight w:val="none"/>
        </w:rPr>
        <w:t>）</w:t>
      </w:r>
    </w:p>
    <w:p w14:paraId="566D7A86">
      <w:pPr>
        <w:pageBreakBefore w:val="0"/>
        <w:kinsoku/>
        <w:wordWrap/>
        <w:overflowPunct/>
        <w:topLinePunct w:val="0"/>
        <w:autoSpaceDE/>
        <w:autoSpaceDN/>
        <w:bidi w:val="0"/>
        <w:adjustRightInd/>
        <w:spacing w:line="36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14:paraId="3121E427">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买    方：                                   卖    方：</w:t>
      </w:r>
    </w:p>
    <w:p w14:paraId="3770D5AD">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14:paraId="1A8FC4F3">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14:paraId="2B449E9F">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为中标人。按照《中华人民共和国民法典》的规定，买卖双方同意按照下述的条款和条件，签署本合同。</w:t>
      </w:r>
    </w:p>
    <w:p w14:paraId="68600907">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14:paraId="444165B5">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14:paraId="29D200E1">
      <w:pPr>
        <w:pageBreakBefore w:val="0"/>
        <w:numPr>
          <w:ilvl w:val="0"/>
          <w:numId w:val="5"/>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14:paraId="67A5E82F">
      <w:pPr>
        <w:pageBreakBefore w:val="0"/>
        <w:numPr>
          <w:ilvl w:val="0"/>
          <w:numId w:val="5"/>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14:paraId="52A6D779">
      <w:pPr>
        <w:pageBreakBefore w:val="0"/>
        <w:numPr>
          <w:ilvl w:val="0"/>
          <w:numId w:val="5"/>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14:paraId="14A24A8B">
      <w:pPr>
        <w:pageBreakBefore w:val="0"/>
        <w:kinsoku/>
        <w:wordWrap/>
        <w:overflowPunct/>
        <w:topLinePunct w:val="0"/>
        <w:autoSpaceDE/>
        <w:autoSpaceDN/>
        <w:bidi w:val="0"/>
        <w:adjustRightInd/>
        <w:spacing w:line="36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14:paraId="769A20F9">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2、采购标的、数量、质量要求</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分项报价清单详见附件。</w:t>
      </w:r>
    </w:p>
    <w:p w14:paraId="1910FBF9">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3、合同总价</w:t>
      </w:r>
    </w:p>
    <w:p w14:paraId="3230CFBB">
      <w:pPr>
        <w:pageBreakBefore w:val="0"/>
        <w:kinsoku/>
        <w:wordWrap/>
        <w:overflowPunct/>
        <w:topLinePunct w:val="0"/>
        <w:autoSpaceDE/>
        <w:autoSpaceDN/>
        <w:bidi w:val="0"/>
        <w:adjustRightInd/>
        <w:spacing w:line="3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p>
    <w:p w14:paraId="5E8F591B">
      <w:pPr>
        <w:pageBreakBefore w:val="0"/>
        <w:kinsoku/>
        <w:wordWrap/>
        <w:overflowPunct/>
        <w:topLinePunct w:val="0"/>
        <w:autoSpaceDE/>
        <w:autoSpaceDN/>
        <w:bidi w:val="0"/>
        <w:adjustRightInd/>
        <w:snapToGrid w:val="0"/>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付款方式：</w:t>
      </w:r>
    </w:p>
    <w:p w14:paraId="37F40C79">
      <w:pPr>
        <w:pageBreakBefore w:val="0"/>
        <w:widowControl w:val="0"/>
        <w:kinsoku/>
        <w:wordWrap/>
        <w:overflowPunct/>
        <w:topLinePunct w:val="0"/>
        <w:autoSpaceDE/>
        <w:autoSpaceDN/>
        <w:bidi w:val="0"/>
        <w:adjustRightInd/>
        <w:snapToGrid/>
        <w:spacing w:line="38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、合同供货期：</w:t>
      </w:r>
    </w:p>
    <w:p w14:paraId="1A3B0157">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交货</w:t>
      </w:r>
      <w:r>
        <w:rPr>
          <w:rFonts w:hint="eastAsia" w:ascii="宋体" w:hAnsi="宋体" w:cs="宋体"/>
          <w:color w:val="auto"/>
          <w:szCs w:val="21"/>
          <w:highlight w:val="none"/>
        </w:rPr>
        <w:t>地点：</w:t>
      </w:r>
      <w:r>
        <w:rPr>
          <w:rFonts w:hint="eastAsia" w:ascii="宋体" w:hAnsi="宋体" w:eastAsia="宋体" w:cs="宋体"/>
          <w:color w:val="000000"/>
          <w:szCs w:val="21"/>
          <w:highlight w:val="none"/>
          <w:lang w:val="en-US" w:eastAsia="zh-CN"/>
        </w:rPr>
        <w:t>招标人指定地点。</w:t>
      </w:r>
    </w:p>
    <w:p w14:paraId="082AB7C5">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检验、测试和验收</w:t>
      </w:r>
      <w:r>
        <w:rPr>
          <w:rFonts w:hint="eastAsia" w:ascii="宋体" w:hAnsi="宋体" w:eastAsia="宋体" w:cs="宋体"/>
          <w:color w:val="auto"/>
          <w:szCs w:val="21"/>
          <w:highlight w:val="none"/>
        </w:rPr>
        <w:t>及违约责任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14:paraId="245E915B">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cs="宋体"/>
          <w:color w:val="auto"/>
          <w:szCs w:val="21"/>
          <w:highlight w:val="none"/>
        </w:rPr>
        <w:t>违约责任及解决争议方法</w:t>
      </w:r>
      <w:r>
        <w:rPr>
          <w:rFonts w:hint="eastAsia" w:ascii="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14:paraId="18D96BDB">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、合同的生效</w:t>
      </w:r>
    </w:p>
    <w:p w14:paraId="2E35CB1F">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14:paraId="344DF0C7">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14:paraId="2DB62316">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买  方：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卖  方：</w:t>
      </w:r>
    </w:p>
    <w:p w14:paraId="0B1E5F1E">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14:paraId="2ADDB481">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14:paraId="785E4DDD">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（签字）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（签字）</w:t>
      </w:r>
    </w:p>
    <w:p w14:paraId="504CC90B">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地    址：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地    址：</w:t>
      </w:r>
    </w:p>
    <w:p w14:paraId="6F67975F">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邮政编码：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邮政编码：</w:t>
      </w:r>
    </w:p>
    <w:p w14:paraId="009F505D">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电    话：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电    话：</w:t>
      </w:r>
    </w:p>
    <w:p w14:paraId="5AFF90F5">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开户银行：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开户银行：</w:t>
      </w:r>
    </w:p>
    <w:p w14:paraId="6559A1C4">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 xml:space="preserve">帐    号：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帐    号：</w:t>
      </w:r>
    </w:p>
    <w:p w14:paraId="4522FDB3">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r>
        <w:rPr>
          <w:rFonts w:hint="eastAsia" w:ascii="宋体" w:hAnsi="宋体" w:cs="宋体"/>
          <w:b/>
          <w:color w:val="auto"/>
          <w:sz w:val="30"/>
          <w:szCs w:val="30"/>
          <w:highlight w:val="none"/>
        </w:rPr>
        <w:t>二  合同条款</w:t>
      </w:r>
    </w:p>
    <w:p w14:paraId="32CE17E5">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14:paraId="252309F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14:paraId="62808A91">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14:paraId="155E69D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14:paraId="77EE2CDA">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14:paraId="20727EB9">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14:paraId="2C5FB36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14:paraId="6FEB3A1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14:paraId="38057A2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14:paraId="23FA659A">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14:paraId="2689AE2A">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14:paraId="6A573587">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14:paraId="5A7F5432">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14:paraId="1ACF37EC">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14:paraId="036996D5">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14:paraId="7861CD9B">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14:paraId="2F9BE443">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对于出卖的标的物，卖方应当拥有完整物权，并且卖方负有保证第三人不得向买方主张任何权利（包括知识产权）的义务。</w:t>
      </w:r>
    </w:p>
    <w:p w14:paraId="290A32C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14:paraId="63556A22">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14:paraId="25376E06">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14:paraId="75E0DF4F">
      <w:pPr>
        <w:pStyle w:val="9"/>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14:paraId="3D5EE9FA">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14:paraId="06FD6EBC">
      <w:pPr>
        <w:pStyle w:val="9"/>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14:paraId="40CB7665">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14:paraId="380DC907">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(1)卖方除应履行按期按量交付合格标的物的义务之外，还应提供下列服务：</w:t>
      </w:r>
    </w:p>
    <w:p w14:paraId="4203C4E0">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14:paraId="3872A0AB">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14:paraId="1315BB8E">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14:paraId="7E17B74B">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&lt;4&gt;对买方技术人员的技术指导或培训。</w:t>
      </w:r>
    </w:p>
    <w:p w14:paraId="29158EEE">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(2)除合同另有规定之外，伴随服务的费用均已含在合同价款中，买方不再另行进行支付。</w:t>
      </w:r>
    </w:p>
    <w:p w14:paraId="3C14B0CF">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14:paraId="543E4C3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14:paraId="2433EDB1">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14:paraId="34A4D705">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(2)卖方应当按照约定的期限和约定的地点交付符合招标文件要求的标的物。</w:t>
      </w:r>
    </w:p>
    <w:p w14:paraId="15252F6F">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14:paraId="48A996A6">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14:paraId="64D1D085">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14:paraId="013CF19E">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(2)买方根据合同规定的内容和验收标准进行验收，经检验无误后出具验收合格证明，该证明作为最终付款所需文件的组成部分。</w:t>
      </w:r>
    </w:p>
    <w:p w14:paraId="51BCF036">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14:paraId="1F0BE02F">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14:paraId="73E75291">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14:paraId="6DB3BCA4">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14:paraId="54EAECEE">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(2)如买方在验收期满后既不出具验收合格证明又未提出书面异议的视为卖方所交标的物符合合同规定。</w:t>
      </w:r>
    </w:p>
    <w:p w14:paraId="02B798D6">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(3)卖方应在收到买方书面异议后七天内负责处理问题，否则将视为默认买方提出的异议和处理意见。</w:t>
      </w:r>
    </w:p>
    <w:p w14:paraId="7FA79CE1">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五. 合同价款和支付</w:t>
      </w:r>
    </w:p>
    <w:p w14:paraId="37AA3033">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11.合同价款和支付</w:t>
      </w:r>
    </w:p>
    <w:p w14:paraId="1E835C20">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14:paraId="6ECBB36A">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(2)卖方应按照双方签订的合同规定交货并在合同主要条款规定的期限内持下列单据结算货款：</w:t>
      </w:r>
    </w:p>
    <w:p w14:paraId="18346144">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14:paraId="44356ED7">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&lt;2&gt;买方盖章签收后的送货回单和验收合格证明。</w:t>
      </w:r>
    </w:p>
    <w:p w14:paraId="752D8FBF">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(3)买方应按合同主要条款规定的期限和方式付款。</w:t>
      </w:r>
    </w:p>
    <w:p w14:paraId="6ECEAD57">
      <w:pPr>
        <w:pStyle w:val="9"/>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(4)根据现行税法对买方征收的与本合同有关的一切税费均由买方承担；根据现行税法对卖方征收的与本合同有关的一切税费均由卖方承担。</w:t>
      </w:r>
    </w:p>
    <w:p w14:paraId="62D17F79">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六. 违约责任</w:t>
      </w:r>
    </w:p>
    <w:p w14:paraId="00297657">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12.违约责任</w:t>
      </w:r>
    </w:p>
    <w:p w14:paraId="29C3E130">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合同一方不履行合同义务或者履行合同义务不符合约定的，应当承担继续履行、采取补救措施或者赔偿损失等违约责任。</w:t>
      </w:r>
    </w:p>
    <w:p w14:paraId="0A22248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13.买方违约责任</w:t>
      </w:r>
    </w:p>
    <w:p w14:paraId="1462FD99">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(1)在合同生效后，买方要求退货的，应向卖方偿付合同总价款的5%，作为违约金，违约金不足以补偿损失的，卖方有权要求</w:t>
      </w:r>
      <w:r>
        <w:rPr>
          <w:rFonts w:hint="eastAsia" w:ascii="宋体" w:hAnsi="宋体" w:cs="宋体"/>
          <w:color w:val="auto"/>
          <w:sz w:val="21"/>
          <w:szCs w:val="21"/>
          <w:highlight w:val="none"/>
          <w:u w:val="none" w:color="000000"/>
          <w:lang w:eastAsia="zh-CN"/>
        </w:rPr>
        <w:t>买方</w:t>
      </w:r>
      <w:r>
        <w:rPr>
          <w:rFonts w:hint="eastAsia" w:ascii="宋体" w:hAnsi="宋体" w:cs="宋体"/>
          <w:color w:val="auto"/>
          <w:sz w:val="21"/>
          <w:szCs w:val="21"/>
          <w:highlight w:val="none"/>
          <w:u w:val="none" w:color="000000"/>
        </w:rPr>
        <w:t>补足。</w:t>
      </w:r>
    </w:p>
    <w:p w14:paraId="2DE08C4B">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(2)买方逾期付款的应按照逾期付款金额的每天万分之四支付逾期付款违约金。</w:t>
      </w:r>
    </w:p>
    <w:p w14:paraId="0B4FCDEA">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(3)买方违反合同规定，拒绝接收卖方交付的符合招标文件要求的合格标的物，应当承担卖方由此造成的损失。</w:t>
      </w:r>
    </w:p>
    <w:p w14:paraId="37936FF7">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14.卖方违约责任</w:t>
      </w:r>
    </w:p>
    <w:p w14:paraId="351C3E0A">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(1)卖方不能交货（逾期超过五天视为不能交货），或交货不合格从而影响买方按期正常使用的，应向买方偿付合同总价款</w:t>
      </w:r>
      <w:r>
        <w:rPr>
          <w:rFonts w:ascii="宋体" w:hAnsi="宋体" w:cs="宋体"/>
          <w:color w:val="auto"/>
          <w:sz w:val="21"/>
          <w:szCs w:val="21"/>
          <w:highlight w:val="none"/>
          <w:u w:val="none" w:color="000000"/>
        </w:rPr>
        <w:t>10</w:t>
      </w:r>
      <w:r>
        <w:rPr>
          <w:rFonts w:hint="eastAsia" w:ascii="宋体" w:hAnsi="宋体" w:cs="宋体"/>
          <w:color w:val="auto"/>
          <w:sz w:val="21"/>
          <w:szCs w:val="21"/>
          <w:highlight w:val="none"/>
          <w:u w:val="none" w:color="000000"/>
        </w:rPr>
        <w:t>%的违约金，违约金不足以补偿损失的，买方有权要求卖方补足。</w:t>
      </w:r>
    </w:p>
    <w:p w14:paraId="6E966C43">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(2)卖方逾期交货的，应在发货前与买方协商，买方仍需求的，卖方应立即发货并应按照逾期交货部分货款的每天万分之四支付逾期交货违约金，同时承担买方因此遭致的损失费用。</w:t>
      </w:r>
    </w:p>
    <w:p w14:paraId="5457E4E2">
      <w:pPr>
        <w:pStyle w:val="9"/>
        <w:overflowPunct w:val="0"/>
        <w:spacing w:line="440" w:lineRule="exact"/>
        <w:ind w:firstLine="0"/>
        <w:jc w:val="left"/>
        <w:rPr>
          <w:rFonts w:hint="default" w:eastAsia="宋体"/>
          <w:highlight w:val="none"/>
          <w:lang w:val="en-US" w:eastAsia="zh-CN"/>
        </w:rPr>
      </w:pP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3）在实际供货时，买方将随机取样送检（由买方指定的第三方权威检测机构检测），每次随机抽取品种，取样数量为：每个品种抽取1-2件产品，抽取的样品数量由卖方负责免费补充给买方，产生的检测费用、运输费等所有费用由卖方承担。若第一次检测结果劣于招标文件要求，买方有权根据检测情况提高抽样率，所有费用均由卖方自行承担，除换货外，还应按履约保证金金额的50%向买方支付违约金。如买方在供货期内两次抽样检测结果劣于招标文件要求，买方有权没收履约保证金，并有权解除本合同，因此而产生的一切费用和责任由卖方承担。</w:t>
      </w:r>
    </w:p>
    <w:p w14:paraId="3A1C8F44">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15.不可抗力</w:t>
      </w:r>
    </w:p>
    <w:p w14:paraId="774B13C0">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14:paraId="559CC4E4">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(2)合同一方因不可抗力不能履行合同的，应当及时通知对方，以减轻可能给对方造成的损失，并应当在合理期限内提供证明。</w:t>
      </w:r>
    </w:p>
    <w:p w14:paraId="643451A8">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 索赔</w:t>
      </w:r>
    </w:p>
    <w:p w14:paraId="224F25B6">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16.索赔</w:t>
      </w:r>
    </w:p>
    <w:p w14:paraId="2DD8E5A0">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(1)买方有权根据当地产品质量检验机构或其它有权威部门出具的检验证书向卖方提出索赔。</w:t>
      </w:r>
    </w:p>
    <w:p w14:paraId="01D7636B">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14:paraId="3D938831">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14:paraId="025C1BC3">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&lt;2&gt;根据标的物的低劣程度、损坏程度以及甲方遭受损失的数额，经双方协商确定降低标的物的价格；</w:t>
      </w:r>
    </w:p>
    <w:p w14:paraId="329DF724">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14:paraId="0960EB78">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14:paraId="4FDFEEEF">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(4)买方提出索赔的书面材料应报当地政府采购管理部门备案。卖方同意的索赔方案应报当地政府采购管理部门审核。</w:t>
      </w:r>
    </w:p>
    <w:p w14:paraId="55C3FB82">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八. 履约保证金</w:t>
      </w:r>
    </w:p>
    <w:p w14:paraId="574F9658">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形式：支持银行转账、银行电汇、银行保函、担保机构担保、保证保险使用</w:t>
      </w:r>
    </w:p>
    <w:p w14:paraId="7D102F65">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金额：中标合同金额×2</w:t>
      </w:r>
      <w:r>
        <w:rPr>
          <w:rFonts w:hint="eastAsia" w:ascii="宋体" w:hAnsi="宋体" w:cs="宋体"/>
          <w:color w:val="auto"/>
          <w:sz w:val="21"/>
          <w:szCs w:val="21"/>
          <w:highlight w:val="none"/>
          <w:u w:val="none" w:color="000000"/>
          <w:lang w:val="en-US" w:eastAsia="zh-CN"/>
        </w:rPr>
        <w:t>.5</w:t>
      </w:r>
      <w:r>
        <w:rPr>
          <w:rFonts w:hint="eastAsia" w:ascii="宋体" w:hAnsi="宋体" w:cs="宋体"/>
          <w:color w:val="auto"/>
          <w:sz w:val="21"/>
          <w:szCs w:val="21"/>
          <w:highlight w:val="none"/>
          <w:u w:val="none" w:color="000000"/>
        </w:rPr>
        <w:t>%；</w:t>
      </w:r>
    </w:p>
    <w:p w14:paraId="2B529380">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收款单位：另行通知                  </w:t>
      </w:r>
    </w:p>
    <w:p w14:paraId="3694BD43">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开户银行：另行通知                 </w:t>
      </w:r>
    </w:p>
    <w:p w14:paraId="3301755A">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银行账号：另行通知  </w:t>
      </w:r>
    </w:p>
    <w:p w14:paraId="584EC314">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缴纳时限：中标人须在中标通知书发出后</w:t>
      </w:r>
      <w:r>
        <w:rPr>
          <w:rFonts w:hint="eastAsia" w:ascii="宋体" w:hAnsi="宋体" w:cs="宋体"/>
          <w:color w:val="auto"/>
          <w:sz w:val="21"/>
          <w:szCs w:val="21"/>
          <w:highlight w:val="none"/>
          <w:u w:val="none" w:color="000000"/>
          <w:lang w:val="en-US" w:eastAsia="zh-CN"/>
        </w:rPr>
        <w:t>7</w:t>
      </w:r>
      <w:r>
        <w:rPr>
          <w:rFonts w:hint="eastAsia" w:ascii="宋体" w:hAnsi="宋体" w:cs="宋体"/>
          <w:color w:val="auto"/>
          <w:sz w:val="21"/>
          <w:szCs w:val="21"/>
          <w:highlight w:val="none"/>
          <w:u w:val="none" w:color="000000"/>
        </w:rPr>
        <w:t xml:space="preserve">日内完成履约保证金缴纳及合同签订，如未按期交齐履约保证金或未按期签订合同的，视同放弃中标资格。 </w:t>
      </w:r>
    </w:p>
    <w:p w14:paraId="10C56207">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退还时限：履约保证金有效期满7日内。</w:t>
      </w:r>
    </w:p>
    <w:p w14:paraId="21B6173F">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其他相关要求：</w:t>
      </w:r>
    </w:p>
    <w:p w14:paraId="2732F873">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1、采用银行保函的具体要求</w:t>
      </w:r>
    </w:p>
    <w:p w14:paraId="129EFF2F">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①保函形式须为见索即付型（无条件保函）；</w:t>
      </w:r>
    </w:p>
    <w:p w14:paraId="1BB09291">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②须经招标人认可。</w:t>
      </w:r>
    </w:p>
    <w:p w14:paraId="633D7118">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2、采用担保保函的具体要求：须经招标人认可。</w:t>
      </w:r>
    </w:p>
    <w:p w14:paraId="2FB9139A">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3、采用商业保险的具体要求：须经招标人认可。</w:t>
      </w:r>
    </w:p>
    <w:p w14:paraId="34B0B045">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4、采用第三方担保的具体要求：须经招标人认可。</w:t>
      </w:r>
    </w:p>
    <w:p w14:paraId="6A680640">
      <w:pPr>
        <w:pStyle w:val="9"/>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rPr>
        <w:t>九.  合同的解除和转让</w:t>
      </w:r>
    </w:p>
    <w:p w14:paraId="4BCB115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18.合同的解除</w:t>
      </w:r>
    </w:p>
    <w:p w14:paraId="34CCDFE4">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(1)买方和卖方协商一致，可以解除合同。</w:t>
      </w:r>
    </w:p>
    <w:p w14:paraId="42AED61B">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(2)有下列情形之一，合同一方可以解除合同：</w:t>
      </w:r>
    </w:p>
    <w:p w14:paraId="76EB1144">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14:paraId="5C97C595">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14:paraId="4D948D3E">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14:paraId="65852F4A">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19.合同的转让</w:t>
      </w:r>
    </w:p>
    <w:p w14:paraId="05275883">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合同的部分和全部都不得转让。</w:t>
      </w:r>
    </w:p>
    <w:p w14:paraId="336B211C">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 合同的生效</w:t>
      </w:r>
    </w:p>
    <w:p w14:paraId="70A76049">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20.合同的生效</w:t>
      </w:r>
    </w:p>
    <w:p w14:paraId="1B995124">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本合同在双方签字盖章后生效。</w:t>
      </w:r>
    </w:p>
    <w:p w14:paraId="3BAA91BC">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十一. 争议解决</w:t>
      </w:r>
    </w:p>
    <w:p w14:paraId="5D8202D9">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21.争议解决</w:t>
      </w:r>
    </w:p>
    <w:p w14:paraId="5C6C26B5">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买卖双方因合同发生争议，进行调解，协商不成，可选择：</w:t>
      </w:r>
    </w:p>
    <w:p w14:paraId="7DD5CD69">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(1)双方同时将争议提</w:t>
      </w:r>
      <w:r>
        <w:rPr>
          <w:rFonts w:hint="eastAsia" w:ascii="宋体" w:hAnsi="宋体" w:eastAsia="宋体" w:cs="宋体"/>
          <w:color w:val="auto"/>
          <w:szCs w:val="21"/>
          <w:highlight w:val="none"/>
          <w:lang w:eastAsia="zh-CN"/>
        </w:rPr>
        <w:t>交滁州</w:t>
      </w:r>
      <w:r>
        <w:rPr>
          <w:rFonts w:hint="eastAsia" w:ascii="宋体" w:hAnsi="宋体" w:eastAsia="宋体" w:cs="宋体"/>
          <w:color w:val="auto"/>
          <w:szCs w:val="21"/>
          <w:highlight w:val="none"/>
        </w:rPr>
        <w:t>仲裁委员会</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仲裁；</w:t>
      </w:r>
    </w:p>
    <w:p w14:paraId="765DC028">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(2)向买方所在地人民法院提起诉讼。</w:t>
      </w:r>
    </w:p>
    <w:p w14:paraId="0E21C5B1">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十二 .附则</w:t>
      </w:r>
    </w:p>
    <w:p w14:paraId="4047ED16">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22.合同份数。</w:t>
      </w:r>
    </w:p>
    <w:p w14:paraId="7B6B119C">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lang w:val="en-US" w:eastAsia="zh-CN"/>
        </w:rPr>
        <w:t>捌</w:t>
      </w:r>
      <w:r>
        <w:rPr>
          <w:rFonts w:hint="eastAsia" w:ascii="宋体" w:hAnsi="宋体" w:eastAsia="宋体" w:cs="宋体"/>
          <w:color w:val="auto"/>
          <w:szCs w:val="21"/>
          <w:highlight w:val="none"/>
        </w:rPr>
        <w:t>份，买卖双方各执</w:t>
      </w:r>
      <w:r>
        <w:rPr>
          <w:rFonts w:hint="eastAsia" w:ascii="宋体" w:hAnsi="宋体" w:eastAsia="宋体" w:cs="宋体"/>
          <w:color w:val="auto"/>
          <w:szCs w:val="21"/>
          <w:highlight w:val="none"/>
          <w:lang w:val="en-US" w:eastAsia="zh-CN"/>
        </w:rPr>
        <w:t>肆</w:t>
      </w:r>
      <w:r>
        <w:rPr>
          <w:rFonts w:hint="eastAsia" w:ascii="宋体" w:hAnsi="宋体" w:eastAsia="宋体" w:cs="宋体"/>
          <w:color w:val="auto"/>
          <w:szCs w:val="21"/>
          <w:highlight w:val="none"/>
        </w:rPr>
        <w:t>份。</w:t>
      </w:r>
    </w:p>
    <w:p w14:paraId="6B29725A">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23.未尽事宜</w:t>
      </w:r>
    </w:p>
    <w:p w14:paraId="3BB0C524">
      <w:pPr>
        <w:pStyle w:val="9"/>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本合同未尽事宜应按《中华人民共和国招标投标法》、《中华人民共和国民法典》、《中华人民共和国产品质量法》之规定解释。</w:t>
      </w:r>
    </w:p>
    <w:p w14:paraId="2FEC296E">
      <w:pPr>
        <w:spacing w:line="360" w:lineRule="auto"/>
        <w:ind w:firstLine="525" w:firstLineChars="250"/>
        <w:rPr>
          <w:rFonts w:hint="eastAsia" w:ascii="宋体" w:hAnsi="宋体" w:eastAsia="宋体" w:cs="宋体-18030"/>
          <w:szCs w:val="21"/>
          <w:highlight w:val="none"/>
        </w:rPr>
      </w:pPr>
    </w:p>
    <w:p w14:paraId="1E5C9EE4">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default" w:ascii="宋体" w:hAnsi="宋体" w:eastAsia="宋体" w:cs="宋体"/>
          <w:b/>
          <w:color w:val="auto"/>
          <w:kern w:val="2"/>
          <w:sz w:val="30"/>
          <w:szCs w:val="30"/>
          <w:lang w:val="en-US" w:eastAsia="zh-CN" w:bidi="ar-SA"/>
        </w:rPr>
      </w:pPr>
    </w:p>
    <w:p w14:paraId="42CE055F">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default" w:ascii="宋体" w:hAnsi="宋体" w:eastAsia="宋体" w:cs="宋体"/>
          <w:b/>
          <w:color w:val="auto"/>
          <w:kern w:val="2"/>
          <w:sz w:val="30"/>
          <w:szCs w:val="30"/>
          <w:lang w:val="en-US" w:eastAsia="zh-CN" w:bidi="ar-SA"/>
        </w:rPr>
      </w:pPr>
    </w:p>
    <w:p w14:paraId="5A188E81">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default" w:ascii="宋体" w:hAnsi="宋体" w:eastAsia="宋体" w:cs="宋体"/>
          <w:b/>
          <w:color w:val="auto"/>
          <w:kern w:val="2"/>
          <w:sz w:val="30"/>
          <w:szCs w:val="30"/>
          <w:lang w:val="en-US" w:eastAsia="zh-CN" w:bidi="ar-SA"/>
        </w:rPr>
      </w:pPr>
    </w:p>
    <w:p w14:paraId="7784F85B">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default" w:ascii="宋体" w:hAnsi="宋体" w:eastAsia="宋体" w:cs="宋体"/>
          <w:b/>
          <w:color w:val="auto"/>
          <w:kern w:val="2"/>
          <w:sz w:val="30"/>
          <w:szCs w:val="30"/>
          <w:lang w:val="en-US" w:eastAsia="zh-CN" w:bidi="ar-SA"/>
        </w:rPr>
      </w:pPr>
    </w:p>
    <w:p w14:paraId="31E7DC67">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bookmarkStart w:id="56" w:name="_Toc24238"/>
    </w:p>
    <w:p w14:paraId="4D79DCB6">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074CEFBE">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2DB4CE16">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55F092F2">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3BAC300D">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5216C9D7">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35105809">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48049F3F">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35F67B9B">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0DD33A42">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129971F4">
      <w:pPr>
        <w:pStyle w:val="2"/>
        <w:rPr>
          <w:rFonts w:hint="eastAsia" w:ascii="宋体" w:hAnsi="宋体" w:eastAsia="宋体" w:cs="宋体"/>
          <w:b/>
          <w:bCs/>
          <w:color w:val="auto"/>
          <w:kern w:val="2"/>
          <w:sz w:val="32"/>
          <w:szCs w:val="32"/>
          <w:highlight w:val="none"/>
          <w:u w:color="auto"/>
          <w:lang w:val="en-US" w:eastAsia="zh-CN" w:bidi="ar"/>
        </w:rPr>
      </w:pPr>
    </w:p>
    <w:p w14:paraId="26EFE257">
      <w:pPr>
        <w:rPr>
          <w:rFonts w:hint="eastAsia" w:ascii="宋体" w:hAnsi="宋体" w:eastAsia="宋体" w:cs="宋体"/>
          <w:b/>
          <w:bCs/>
          <w:color w:val="auto"/>
          <w:kern w:val="2"/>
          <w:sz w:val="32"/>
          <w:szCs w:val="32"/>
          <w:highlight w:val="none"/>
          <w:u w:color="auto"/>
          <w:lang w:val="en-US" w:eastAsia="zh-CN" w:bidi="ar"/>
        </w:rPr>
      </w:pPr>
    </w:p>
    <w:p w14:paraId="2AED0BAE">
      <w:pPr>
        <w:pStyle w:val="2"/>
        <w:rPr>
          <w:rFonts w:hint="eastAsia"/>
          <w:lang w:val="en-US" w:eastAsia="zh-CN"/>
        </w:rPr>
      </w:pPr>
    </w:p>
    <w:p w14:paraId="0E76B6F4">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1A935557">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r>
        <w:rPr>
          <w:rFonts w:hint="eastAsia" w:ascii="宋体" w:hAnsi="宋体" w:eastAsia="宋体" w:cs="宋体"/>
          <w:b/>
          <w:bCs/>
          <w:color w:val="auto"/>
          <w:kern w:val="2"/>
          <w:sz w:val="32"/>
          <w:szCs w:val="32"/>
          <w:highlight w:val="none"/>
          <w:u w:color="auto"/>
          <w:lang w:val="en-US" w:eastAsia="zh-CN" w:bidi="ar"/>
        </w:rPr>
        <w:t>第六章 投标文件格式</w:t>
      </w:r>
      <w:bookmarkEnd w:id="56"/>
    </w:p>
    <w:p w14:paraId="2662CEBF">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14:paraId="43A14E9C">
      <w:pPr>
        <w:pStyle w:val="2"/>
        <w:rPr>
          <w:rFonts w:hint="eastAsia"/>
          <w:lang w:val="en-US"/>
        </w:rPr>
      </w:pPr>
    </w:p>
    <w:p w14:paraId="6CD6746E">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p>
    <w:p w14:paraId="627ACE51">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57" w:name="_Toc21573"/>
      <w:bookmarkEnd w:id="57"/>
      <w:bookmarkStart w:id="58"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58"/>
    </w:p>
    <w:p w14:paraId="59A2FEC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59" w:name="_Toc19336_WPSOffice_Level2"/>
      <w:bookmarkEnd w:id="59"/>
      <w:r>
        <w:rPr>
          <w:rFonts w:hint="eastAsia" w:ascii="宋体" w:hAnsi="宋体" w:eastAsia="宋体" w:cs="宋体"/>
          <w:color w:val="000000"/>
          <w:kern w:val="0"/>
          <w:sz w:val="32"/>
          <w:szCs w:val="32"/>
          <w:highlight w:val="none"/>
          <w:u w:color="000000"/>
          <w:lang w:val="en-US" w:eastAsia="zh-CN" w:bidi="ar"/>
        </w:rPr>
        <w:t>（投标文件一）</w:t>
      </w:r>
    </w:p>
    <w:p w14:paraId="6B3058B1">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14:paraId="21D9AFFA">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60" w:name="_Toc7180_WPSOffice_Level3"/>
      <w:bookmarkEnd w:id="60"/>
      <w:r>
        <w:rPr>
          <w:rFonts w:hint="eastAsia" w:ascii="宋体" w:hAnsi="宋体" w:eastAsia="宋体" w:cs="宋体"/>
          <w:color w:val="000000"/>
          <w:kern w:val="0"/>
          <w:sz w:val="30"/>
          <w:szCs w:val="30"/>
          <w:highlight w:val="none"/>
          <w:u w:color="000000"/>
          <w:lang w:val="en-US" w:eastAsia="zh-CN" w:bidi="ar"/>
        </w:rPr>
        <w:t>项目名称：</w:t>
      </w:r>
    </w:p>
    <w:p w14:paraId="58323A7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151F426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09BA1D73">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7067373">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0A12A887">
      <w:pPr>
        <w:pStyle w:val="20"/>
        <w:widowControl/>
        <w:rPr>
          <w:highlight w:val="none"/>
          <w:lang w:val="en-US"/>
        </w:rPr>
      </w:pPr>
      <w:r>
        <w:rPr>
          <w:highlight w:val="none"/>
          <w:lang w:val="en-US"/>
        </w:rPr>
        <w:t xml:space="preserve"> </w:t>
      </w:r>
    </w:p>
    <w:p w14:paraId="3A707D0F">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000000"/>
          <w:kern w:val="0"/>
          <w:sz w:val="28"/>
          <w:szCs w:val="28"/>
          <w:highlight w:val="none"/>
          <w:u w:color="000000"/>
          <w:lang w:val="en-US" w:eastAsia="zh-CN" w:bidi="ar"/>
        </w:rPr>
      </w:pPr>
      <w:r>
        <w:rPr>
          <w:rFonts w:hint="eastAsia" w:ascii="宋体" w:hAnsi="宋体" w:eastAsia="宋体" w:cs="宋体"/>
          <w:color w:val="000000"/>
          <w:kern w:val="0"/>
          <w:sz w:val="28"/>
          <w:szCs w:val="28"/>
          <w:highlight w:val="none"/>
          <w:u w:color="000000"/>
          <w:lang w:val="en-US" w:eastAsia="zh-CN" w:bidi="ar"/>
        </w:rPr>
        <w:t xml:space="preserve"> </w:t>
      </w:r>
    </w:p>
    <w:p w14:paraId="622449B7">
      <w:pPr>
        <w:pStyle w:val="2"/>
        <w:rPr>
          <w:rFonts w:hint="eastAsia" w:ascii="宋体" w:hAnsi="宋体" w:eastAsia="宋体" w:cs="宋体"/>
          <w:color w:val="000000"/>
          <w:kern w:val="0"/>
          <w:sz w:val="28"/>
          <w:szCs w:val="28"/>
          <w:highlight w:val="none"/>
          <w:u w:color="000000"/>
          <w:lang w:val="en-US" w:eastAsia="zh-CN" w:bidi="ar"/>
        </w:rPr>
      </w:pPr>
    </w:p>
    <w:p w14:paraId="54E55260">
      <w:pPr>
        <w:rPr>
          <w:rFonts w:hint="eastAsia"/>
          <w:lang w:val="en-US"/>
        </w:rPr>
      </w:pPr>
    </w:p>
    <w:p w14:paraId="6F00DB88">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7C0B6F94">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59D6E1F7">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1CB2346E">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61" w:name="_Toc14710_WPSOffice_Level1"/>
      <w:bookmarkEnd w:id="61"/>
      <w:r>
        <w:rPr>
          <w:rFonts w:hint="eastAsia" w:ascii="宋体" w:hAnsi="宋体" w:eastAsia="宋体" w:cs="宋体"/>
          <w:b/>
          <w:bCs w:val="0"/>
          <w:color w:val="000000"/>
          <w:kern w:val="0"/>
          <w:sz w:val="44"/>
          <w:szCs w:val="44"/>
          <w:highlight w:val="none"/>
          <w:u w:color="000000"/>
          <w:lang w:val="en-US" w:eastAsia="zh-CN" w:bidi="ar"/>
        </w:rPr>
        <w:t>目   录</w:t>
      </w:r>
    </w:p>
    <w:p w14:paraId="25D79904">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13893331">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63744BC1">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6AD4BC80">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0CD22B79">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3E9E23A0">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lang w:eastAsia="zh-CN"/>
        </w:rPr>
        <w:t>）招标文件中要求的资信评审的支持资料；</w:t>
      </w:r>
    </w:p>
    <w:p w14:paraId="0851AC41">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lang w:eastAsia="zh-CN"/>
        </w:rPr>
        <w:t>投标人认为需要提供的其他资信证明材料（</w:t>
      </w:r>
      <w:r>
        <w:rPr>
          <w:rFonts w:hint="eastAsia" w:ascii="宋体" w:hAnsi="Times New Roman" w:eastAsia="宋体" w:cs="Times New Roman"/>
          <w:color w:val="auto"/>
          <w:szCs w:val="21"/>
          <w:highlight w:val="none"/>
          <w:lang w:val="en-US" w:eastAsia="zh-CN"/>
        </w:rPr>
        <w:t>如有）</w:t>
      </w:r>
      <w:r>
        <w:rPr>
          <w:rFonts w:hint="eastAsia" w:ascii="宋体" w:hAnsi="Times New Roman" w:eastAsia="宋体" w:cs="Times New Roman"/>
          <w:color w:val="auto"/>
          <w:szCs w:val="21"/>
          <w:highlight w:val="none"/>
          <w:lang w:eastAsia="zh-CN"/>
        </w:rPr>
        <w:t>。</w:t>
      </w:r>
    </w:p>
    <w:p w14:paraId="55A2880A">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153D4711">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3234364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4BDFE1EC">
      <w:pPr>
        <w:pStyle w:val="43"/>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1.法定代表人身份证明</w:t>
      </w:r>
    </w:p>
    <w:p w14:paraId="5C54CEF6">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投标人名称：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7CC74230">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单位性质：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F787B7B">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地    址：</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63FDE4BF">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成立时间：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43A71523">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经营期限：</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022DEF41">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姓</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系</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（投标人名称）的法定代表人。</w:t>
      </w:r>
    </w:p>
    <w:p w14:paraId="16B27621">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特此证明。</w:t>
      </w:r>
    </w:p>
    <w:p w14:paraId="4EB7E53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cs="宋体"/>
          <w:sz w:val="24"/>
          <w:szCs w:val="24"/>
          <w:highlight w:val="none"/>
          <w:lang w:eastAsia="zh-CN"/>
        </w:rPr>
        <w:t>附：</w:t>
      </w:r>
      <w:r>
        <w:rPr>
          <w:rFonts w:hint="eastAsia" w:ascii="宋体" w:hAnsi="宋体" w:eastAsia="宋体" w:cs="宋体"/>
          <w:color w:val="auto"/>
          <w:sz w:val="24"/>
          <w:szCs w:val="24"/>
          <w:highlight w:val="none"/>
        </w:rPr>
        <w:t>法定代表人有效身份证</w:t>
      </w:r>
      <w:r>
        <w:rPr>
          <w:rFonts w:hint="eastAsia" w:ascii="宋体" w:hAnsi="宋体" w:eastAsia="宋体" w:cs="宋体"/>
          <w:color w:val="auto"/>
          <w:sz w:val="24"/>
          <w:szCs w:val="24"/>
          <w:highlight w:val="none"/>
          <w:lang w:val="en-US" w:eastAsia="zh-CN"/>
        </w:rPr>
        <w:t>复印件</w:t>
      </w:r>
    </w:p>
    <w:p w14:paraId="7EA29AE0">
      <w:pPr>
        <w:pStyle w:val="2"/>
        <w:ind w:left="0" w:leftChars="0" w:firstLine="0" w:firstLineChars="0"/>
        <w:rPr>
          <w:rFonts w:hint="eastAsia" w:eastAsia="宋体"/>
          <w:lang w:eastAsia="zh-CN"/>
        </w:rPr>
      </w:pPr>
    </w:p>
    <w:p w14:paraId="04EA36E7">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hAnsi="宋体" w:eastAsia="宋体" w:cs="宋体"/>
          <w:sz w:val="24"/>
          <w:szCs w:val="24"/>
          <w:highlight w:val="none"/>
        </w:rPr>
      </w:pPr>
      <w:r>
        <w:rPr>
          <w:rFonts w:hint="eastAsia" w:ascii="宋体" w:hAnsi="宋体" w:eastAsia="宋体" w:cs="宋体"/>
          <w:sz w:val="24"/>
          <w:szCs w:val="24"/>
          <w:highlight w:val="none"/>
        </w:rPr>
        <w:t>投标人：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盖</w:t>
      </w:r>
      <w:r>
        <w:rPr>
          <w:rFonts w:hint="eastAsia" w:ascii="宋体" w:hAnsi="宋体" w:eastAsia="宋体" w:cs="宋体"/>
          <w:sz w:val="24"/>
          <w:szCs w:val="24"/>
          <w:highlight w:val="none"/>
        </w:rPr>
        <w:t>章）</w:t>
      </w:r>
    </w:p>
    <w:p w14:paraId="4135F79E">
      <w:pPr>
        <w:keepNext w:val="0"/>
        <w:keepLines w:val="0"/>
        <w:pageBreakBefore w:val="0"/>
        <w:kinsoku/>
        <w:wordWrap w:val="0"/>
        <w:overflowPunct/>
        <w:topLinePunct w:val="0"/>
        <w:autoSpaceDE/>
        <w:autoSpaceDN/>
        <w:bidi w:val="0"/>
        <w:adjustRightInd/>
        <w:snapToGrid/>
        <w:spacing w:line="400" w:lineRule="exact"/>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年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日  </w:t>
      </w:r>
    </w:p>
    <w:p w14:paraId="6CBDBA4D">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132" w:firstLineChars="130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2.授权委托书</w:t>
      </w:r>
    </w:p>
    <w:p w14:paraId="37F7B26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（投标人）的法定代表人，现委托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（姓名）为我方代理人。代理人根据授权，以我方名义签署、澄清、说明、补正、递交、撤回、修改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”(项目名称、编号）</w:t>
      </w:r>
      <w:r>
        <w:rPr>
          <w:rFonts w:hint="eastAsia" w:ascii="宋体" w:hAnsi="宋体" w:eastAsia="宋体" w:cs="宋体"/>
          <w:color w:val="auto"/>
          <w:sz w:val="24"/>
          <w:szCs w:val="24"/>
          <w:highlight w:val="none"/>
          <w:lang w:val="en-US" w:eastAsia="zh-CN"/>
        </w:rPr>
        <w:t>投</w:t>
      </w:r>
      <w:r>
        <w:rPr>
          <w:rFonts w:hint="eastAsia" w:ascii="宋体" w:hAnsi="宋体" w:eastAsia="宋体" w:cs="宋体"/>
          <w:color w:val="auto"/>
          <w:sz w:val="24"/>
          <w:szCs w:val="24"/>
          <w:highlight w:val="none"/>
        </w:rPr>
        <w:t>标文件，全权处理与该项目投标、评审答疑、签订合同以及与合同执行有关的一切事务，其法律后果由我方承担。</w:t>
      </w:r>
    </w:p>
    <w:p w14:paraId="0E77116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r>
        <w:rPr>
          <w:rFonts w:hint="eastAsia" w:ascii="宋体" w:hAnsi="宋体" w:eastAsia="宋体" w:cs="宋体"/>
          <w:color w:val="auto"/>
          <w:sz w:val="24"/>
          <w:szCs w:val="24"/>
          <w:highlight w:val="none"/>
        </w:rPr>
        <w:t xml:space="preserve">                                </w:t>
      </w:r>
    </w:p>
    <w:p w14:paraId="2EB4C534">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1644342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附：委托</w:t>
      </w:r>
      <w:r>
        <w:rPr>
          <w:rFonts w:hint="eastAsia" w:ascii="宋体" w:hAnsi="宋体" w:eastAsia="宋体" w:cs="宋体"/>
          <w:color w:val="auto"/>
          <w:sz w:val="24"/>
          <w:szCs w:val="24"/>
          <w:highlight w:val="none"/>
          <w:lang w:val="en-US" w:eastAsia="zh-CN"/>
        </w:rPr>
        <w:t>代理</w:t>
      </w:r>
      <w:r>
        <w:rPr>
          <w:rFonts w:hint="eastAsia" w:ascii="宋体" w:hAnsi="宋体" w:eastAsia="宋体" w:cs="宋体"/>
          <w:color w:val="auto"/>
          <w:sz w:val="24"/>
          <w:szCs w:val="24"/>
          <w:highlight w:val="none"/>
        </w:rPr>
        <w:t>人有效身份证</w:t>
      </w:r>
      <w:r>
        <w:rPr>
          <w:rFonts w:hint="eastAsia" w:ascii="宋体" w:hAnsi="宋体" w:eastAsia="宋体" w:cs="宋体"/>
          <w:color w:val="auto"/>
          <w:sz w:val="24"/>
          <w:szCs w:val="24"/>
          <w:highlight w:val="none"/>
          <w:lang w:val="en-US" w:eastAsia="zh-CN"/>
        </w:rPr>
        <w:t>复印件</w:t>
      </w:r>
    </w:p>
    <w:p w14:paraId="3F413732">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法定代表人有效身份证</w:t>
      </w:r>
      <w:r>
        <w:rPr>
          <w:rFonts w:hint="eastAsia" w:ascii="宋体" w:hAnsi="宋体" w:eastAsia="宋体" w:cs="宋体"/>
          <w:color w:val="auto"/>
          <w:sz w:val="24"/>
          <w:szCs w:val="24"/>
          <w:highlight w:val="none"/>
          <w:lang w:val="en-US" w:eastAsia="zh-CN"/>
        </w:rPr>
        <w:t>复印件</w:t>
      </w:r>
    </w:p>
    <w:p w14:paraId="057786CF">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41941EE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7BCB045E">
      <w:pPr>
        <w:keepNext w:val="0"/>
        <w:keepLines w:val="0"/>
        <w:widowControl/>
        <w:suppressLineNumbers w:val="0"/>
        <w:spacing w:before="0" w:beforeAutospacing="0" w:after="0" w:afterAutospacing="0" w:line="357" w:lineRule="atLeast"/>
        <w:ind w:left="0" w:right="0" w:firstLine="2880" w:firstLineChars="1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投标人（盖单位章）：</w:t>
      </w:r>
    </w:p>
    <w:p w14:paraId="0A45D2C0">
      <w:pPr>
        <w:keepNext w:val="0"/>
        <w:keepLines w:val="0"/>
        <w:widowControl/>
        <w:suppressLineNumbers w:val="0"/>
        <w:spacing w:before="0" w:beforeAutospacing="0" w:after="0" w:afterAutospacing="0" w:line="480" w:lineRule="exact"/>
        <w:ind w:left="0" w:right="0" w:firstLine="2280" w:firstLineChars="9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法定代表人（身份证号码）：           （签字或盖章）</w:t>
      </w:r>
    </w:p>
    <w:p w14:paraId="6216C00E">
      <w:pPr>
        <w:keepNext w:val="0"/>
        <w:keepLines w:val="0"/>
        <w:widowControl/>
        <w:suppressLineNumbers w:val="0"/>
        <w:spacing w:before="0" w:beforeAutospacing="0" w:after="0" w:afterAutospacing="0" w:line="480" w:lineRule="exact"/>
        <w:ind w:left="0" w:right="0" w:firstLine="2280" w:firstLineChars="9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委托代理人（身份证号码）：           （签字或盖章）</w:t>
      </w:r>
    </w:p>
    <w:p w14:paraId="0C3B1383">
      <w:pPr>
        <w:keepNext w:val="0"/>
        <w:keepLines w:val="0"/>
        <w:widowControl/>
        <w:suppressLineNumbers w:val="0"/>
        <w:spacing w:before="0" w:beforeAutospacing="0" w:after="0" w:afterAutospacing="0" w:line="480" w:lineRule="exact"/>
        <w:ind w:left="0" w:right="0" w:firstLine="2820" w:firstLineChars="1175"/>
        <w:jc w:val="both"/>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 xml:space="preserve">  年    月    日</w:t>
      </w:r>
    </w:p>
    <w:p w14:paraId="1C05CA5C">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02F34918">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163E163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62" w:name="_Toc451384148"/>
      <w:bookmarkStart w:id="63" w:name="_Toc425084385"/>
      <w:r>
        <w:rPr>
          <w:rFonts w:hint="eastAsia" w:ascii="宋体" w:hAnsi="宋体"/>
          <w:color w:val="000000"/>
          <w:szCs w:val="21"/>
          <w:highlight w:val="none"/>
        </w:rPr>
        <w:t>一、将遵循公</w:t>
      </w:r>
      <w:bookmarkStart w:id="64" w:name="_Toc506107356"/>
      <w:bookmarkStart w:id="65" w:name="_Toc503196197"/>
      <w:bookmarkStart w:id="66" w:name="_Toc26598"/>
      <w:r>
        <w:rPr>
          <w:rFonts w:hint="eastAsia" w:ascii="宋体" w:hAnsi="宋体"/>
          <w:color w:val="000000"/>
          <w:szCs w:val="21"/>
          <w:highlight w:val="none"/>
        </w:rPr>
        <w:t>开、公正和诚实信用</w:t>
      </w:r>
      <w:bookmarkEnd w:id="64"/>
      <w:bookmarkEnd w:id="65"/>
      <w:r>
        <w:rPr>
          <w:rFonts w:hint="eastAsia" w:ascii="宋体" w:hAnsi="宋体"/>
          <w:color w:val="000000"/>
          <w:szCs w:val="21"/>
          <w:highlight w:val="none"/>
        </w:rPr>
        <w:t>的</w:t>
      </w:r>
      <w:bookmarkEnd w:id="66"/>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03D93B2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2F1D0B84">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7D8A51D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9BABA3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7A6345E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 1、被人民法院列入失信被执行人的；2、我公司及其法定代表人、拟任项目经理（建造师）前三年被人民检察院列入行贿犯罪档案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14:paraId="70145F1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7412A0D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14:paraId="523A15A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九、保证中标之后，按照投标文件承诺派驻管理人员及投入机械设备，如有违反，同意接受建设单位违约处罚；</w:t>
      </w:r>
    </w:p>
    <w:p w14:paraId="34DB655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20E6F88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609CA61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18CD230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00C7F59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152E7D7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6E94C9E5">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20133DCB">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0211EA14">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bookmarkEnd w:id="62"/>
    <w:bookmarkEnd w:id="63"/>
    <w:p w14:paraId="70B56765">
      <w:pPr>
        <w:jc w:val="center"/>
        <w:rPr>
          <w:rFonts w:hint="eastAsia" w:ascii="宋体"/>
          <w:b/>
          <w:color w:val="auto"/>
          <w:sz w:val="44"/>
          <w:szCs w:val="44"/>
          <w:highlight w:val="none"/>
        </w:rPr>
      </w:pPr>
    </w:p>
    <w:p w14:paraId="715AD225">
      <w:pPr>
        <w:jc w:val="center"/>
        <w:rPr>
          <w:rFonts w:hint="eastAsia" w:ascii="宋体"/>
          <w:b/>
          <w:color w:val="auto"/>
          <w:sz w:val="44"/>
          <w:szCs w:val="44"/>
          <w:highlight w:val="none"/>
        </w:rPr>
      </w:pPr>
      <w:r>
        <w:rPr>
          <w:rFonts w:hint="eastAsia" w:ascii="宋体"/>
          <w:b/>
          <w:color w:val="auto"/>
          <w:sz w:val="44"/>
          <w:szCs w:val="44"/>
          <w:highlight w:val="none"/>
        </w:rPr>
        <w:t>技术标</w:t>
      </w:r>
    </w:p>
    <w:p w14:paraId="1F0FED3C">
      <w:pPr>
        <w:jc w:val="center"/>
        <w:rPr>
          <w:rFonts w:hint="eastAsia" w:ascii="宋体" w:hAnsi="Times New Roman" w:eastAsia="宋体" w:cs="宋体"/>
          <w:color w:val="auto"/>
          <w:sz w:val="44"/>
          <w:szCs w:val="44"/>
          <w:highlight w:val="none"/>
          <w:lang w:val="en-US" w:eastAsia="zh-CN"/>
        </w:rPr>
      </w:pPr>
      <w:r>
        <w:rPr>
          <w:rFonts w:hint="eastAsia" w:ascii="宋体"/>
          <w:color w:val="auto"/>
          <w:sz w:val="32"/>
          <w:szCs w:val="32"/>
          <w:highlight w:val="none"/>
        </w:rPr>
        <w:t>（投标文件二）</w:t>
      </w:r>
    </w:p>
    <w:p w14:paraId="1A485040">
      <w:pPr>
        <w:jc w:val="center"/>
        <w:rPr>
          <w:rFonts w:hint="eastAsia" w:ascii="宋体"/>
          <w:color w:val="auto"/>
          <w:sz w:val="36"/>
          <w:szCs w:val="36"/>
          <w:highlight w:val="none"/>
        </w:rPr>
      </w:pPr>
    </w:p>
    <w:p w14:paraId="0515D31A">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r>
        <w:rPr>
          <w:rFonts w:hint="eastAsia" w:ascii="宋体" w:hAnsi="宋体" w:eastAsia="宋体" w:cs="宋体"/>
          <w:color w:val="000000"/>
          <w:kern w:val="0"/>
          <w:sz w:val="30"/>
          <w:szCs w:val="30"/>
          <w:highlight w:val="none"/>
          <w:u w:color="000000"/>
          <w:lang w:val="en-US" w:eastAsia="zh-CN" w:bidi="ar"/>
        </w:rPr>
        <w:t>项目名称：</w:t>
      </w:r>
    </w:p>
    <w:p w14:paraId="4BFEE724">
      <w:pPr>
        <w:rPr>
          <w:rFonts w:hint="eastAsia" w:ascii="宋体"/>
          <w:color w:val="auto"/>
          <w:sz w:val="28"/>
          <w:szCs w:val="28"/>
          <w:highlight w:val="none"/>
        </w:rPr>
      </w:pPr>
    </w:p>
    <w:p w14:paraId="3720D406">
      <w:pPr>
        <w:rPr>
          <w:rFonts w:hint="eastAsia" w:ascii="宋体"/>
          <w:color w:val="auto"/>
          <w:sz w:val="28"/>
          <w:szCs w:val="28"/>
          <w:highlight w:val="none"/>
        </w:rPr>
      </w:pPr>
    </w:p>
    <w:p w14:paraId="59D46BE3">
      <w:pPr>
        <w:rPr>
          <w:rFonts w:hint="eastAsia" w:ascii="宋体"/>
          <w:color w:val="auto"/>
          <w:sz w:val="28"/>
          <w:szCs w:val="28"/>
          <w:highlight w:val="none"/>
        </w:rPr>
      </w:pPr>
    </w:p>
    <w:p w14:paraId="0A12A5CA">
      <w:pPr>
        <w:pStyle w:val="2"/>
        <w:rPr>
          <w:rFonts w:hint="eastAsia" w:ascii="宋体"/>
          <w:color w:val="auto"/>
          <w:sz w:val="28"/>
          <w:szCs w:val="28"/>
          <w:highlight w:val="none"/>
        </w:rPr>
      </w:pPr>
    </w:p>
    <w:p w14:paraId="20154A1D">
      <w:pPr>
        <w:pStyle w:val="20"/>
        <w:rPr>
          <w:rFonts w:hint="eastAsia" w:ascii="宋体"/>
          <w:color w:val="auto"/>
          <w:sz w:val="28"/>
          <w:szCs w:val="28"/>
          <w:highlight w:val="none"/>
        </w:rPr>
      </w:pPr>
    </w:p>
    <w:p w14:paraId="71EFFE10">
      <w:pPr>
        <w:rPr>
          <w:rFonts w:hint="eastAsia"/>
        </w:rPr>
      </w:pPr>
    </w:p>
    <w:p w14:paraId="29FB0928">
      <w:pPr>
        <w:rPr>
          <w:rFonts w:hint="eastAsia" w:ascii="宋体"/>
          <w:color w:val="auto"/>
          <w:sz w:val="28"/>
          <w:szCs w:val="28"/>
          <w:highlight w:val="none"/>
        </w:rPr>
      </w:pPr>
    </w:p>
    <w:p w14:paraId="3345A7FB">
      <w:pPr>
        <w:rPr>
          <w:rFonts w:hint="eastAsia" w:ascii="宋体"/>
          <w:color w:val="auto"/>
          <w:sz w:val="28"/>
          <w:szCs w:val="28"/>
          <w:highlight w:val="none"/>
        </w:rPr>
      </w:pPr>
    </w:p>
    <w:p w14:paraId="16393EAE">
      <w:pPr>
        <w:rPr>
          <w:rFonts w:hint="eastAsia" w:ascii="宋体"/>
          <w:color w:val="auto"/>
          <w:sz w:val="28"/>
          <w:szCs w:val="28"/>
          <w:highlight w:val="none"/>
        </w:rPr>
      </w:pPr>
    </w:p>
    <w:p w14:paraId="04EEC011">
      <w:pPr>
        <w:rPr>
          <w:rFonts w:hint="eastAsia" w:ascii="宋体"/>
          <w:color w:val="auto"/>
          <w:sz w:val="28"/>
          <w:szCs w:val="28"/>
          <w:highlight w:val="none"/>
        </w:rPr>
      </w:pPr>
    </w:p>
    <w:p w14:paraId="6840AE3D">
      <w:pPr>
        <w:pStyle w:val="2"/>
        <w:rPr>
          <w:rFonts w:hint="eastAsia"/>
        </w:rPr>
      </w:pPr>
    </w:p>
    <w:p w14:paraId="108C1C9F">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0576AF88">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11091772">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42085C2F">
      <w:pPr>
        <w:rPr>
          <w:rFonts w:hint="eastAsia" w:ascii="宋体" w:hAnsi="宋体"/>
          <w:b/>
          <w:color w:val="auto"/>
          <w:sz w:val="30"/>
          <w:szCs w:val="30"/>
          <w:highlight w:val="none"/>
          <w:lang w:val="en-US" w:eastAsia="zh-CN"/>
        </w:rPr>
      </w:pPr>
    </w:p>
    <w:p w14:paraId="0E0FBE6A">
      <w:pPr>
        <w:pStyle w:val="2"/>
        <w:rPr>
          <w:rFonts w:hint="eastAsia" w:ascii="宋体" w:hAnsi="宋体"/>
          <w:b/>
          <w:color w:val="auto"/>
          <w:sz w:val="30"/>
          <w:szCs w:val="30"/>
          <w:highlight w:val="none"/>
          <w:lang w:val="en-US" w:eastAsia="zh-CN"/>
        </w:rPr>
      </w:pPr>
    </w:p>
    <w:p w14:paraId="20FC7FD3">
      <w:pPr>
        <w:spacing w:line="400" w:lineRule="exact"/>
        <w:jc w:val="center"/>
        <w:rPr>
          <w:rFonts w:hint="eastAsia"/>
          <w:b/>
          <w:color w:val="auto"/>
          <w:sz w:val="36"/>
          <w:szCs w:val="36"/>
          <w:highlight w:val="none"/>
        </w:rPr>
      </w:pPr>
    </w:p>
    <w:p w14:paraId="5DB3BBF8">
      <w:pPr>
        <w:spacing w:line="400" w:lineRule="exact"/>
        <w:jc w:val="center"/>
        <w:rPr>
          <w:rFonts w:hint="eastAsia"/>
          <w:b/>
          <w:color w:val="auto"/>
          <w:sz w:val="36"/>
          <w:szCs w:val="36"/>
          <w:highlight w:val="none"/>
        </w:rPr>
      </w:pPr>
      <w:r>
        <w:rPr>
          <w:rFonts w:hint="eastAsia"/>
          <w:b/>
          <w:color w:val="auto"/>
          <w:sz w:val="36"/>
          <w:szCs w:val="36"/>
          <w:highlight w:val="none"/>
        </w:rPr>
        <w:t>目   录</w:t>
      </w:r>
    </w:p>
    <w:p w14:paraId="297E7BAC">
      <w:pPr>
        <w:spacing w:line="400" w:lineRule="exact"/>
        <w:ind w:firstLine="4130" w:firstLineChars="935"/>
        <w:rPr>
          <w:rFonts w:hint="eastAsia"/>
          <w:b/>
          <w:color w:val="auto"/>
          <w:sz w:val="44"/>
          <w:szCs w:val="44"/>
          <w:highlight w:val="none"/>
        </w:rPr>
      </w:pPr>
    </w:p>
    <w:p w14:paraId="44E724C0">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color w:val="auto"/>
          <w:szCs w:val="21"/>
          <w:highlight w:val="none"/>
        </w:rPr>
        <w:t>（1）服务承诺书（格式见附件）；</w:t>
      </w:r>
    </w:p>
    <w:p w14:paraId="207CDCC0">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（2）详细的货物名称、规格、技术参数等【附技术参数响应表、货物的详细配置清单，格式见附件】；</w:t>
      </w:r>
    </w:p>
    <w:p w14:paraId="380AED14">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（3）招标文件中要求的技术标评审及技术标评分的支持资料；</w:t>
      </w:r>
    </w:p>
    <w:p w14:paraId="353F6E04">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（4）投标人认为需要提供的其他技术证明材料（如有）。</w:t>
      </w:r>
    </w:p>
    <w:p w14:paraId="5E14929A">
      <w:pPr>
        <w:rPr>
          <w:rFonts w:hint="eastAsia" w:ascii="宋体" w:hAnsi="宋体"/>
          <w:b/>
          <w:color w:val="auto"/>
          <w:sz w:val="30"/>
          <w:szCs w:val="30"/>
          <w:highlight w:val="none"/>
          <w:lang w:val="en-US" w:eastAsia="zh-CN"/>
        </w:rPr>
      </w:pPr>
    </w:p>
    <w:p w14:paraId="6759C61F">
      <w:pPr>
        <w:pStyle w:val="2"/>
        <w:rPr>
          <w:rFonts w:hint="eastAsia"/>
          <w:lang w:val="en-US" w:eastAsia="zh-CN"/>
        </w:rPr>
      </w:pPr>
    </w:p>
    <w:p w14:paraId="7641CED0">
      <w:pPr>
        <w:rPr>
          <w:rFonts w:hint="eastAsia"/>
          <w:lang w:val="en-US" w:eastAsia="zh-CN"/>
        </w:rPr>
      </w:pPr>
    </w:p>
    <w:p w14:paraId="35318AB2">
      <w:pPr>
        <w:pStyle w:val="2"/>
        <w:rPr>
          <w:rFonts w:hint="eastAsia"/>
          <w:lang w:val="en-US" w:eastAsia="zh-CN"/>
        </w:rPr>
      </w:pPr>
    </w:p>
    <w:p w14:paraId="788382F2">
      <w:pPr>
        <w:rPr>
          <w:rFonts w:hint="eastAsia"/>
          <w:lang w:val="en-US" w:eastAsia="zh-CN"/>
        </w:rPr>
      </w:pPr>
    </w:p>
    <w:p w14:paraId="0948E7A6">
      <w:pPr>
        <w:pStyle w:val="2"/>
        <w:rPr>
          <w:rFonts w:hint="eastAsia"/>
          <w:lang w:val="en-US" w:eastAsia="zh-CN"/>
        </w:rPr>
      </w:pPr>
    </w:p>
    <w:p w14:paraId="0EF939A3">
      <w:pPr>
        <w:rPr>
          <w:rFonts w:hint="eastAsia"/>
          <w:lang w:val="en-US" w:eastAsia="zh-CN"/>
        </w:rPr>
      </w:pPr>
    </w:p>
    <w:p w14:paraId="6884F4EF">
      <w:pPr>
        <w:pStyle w:val="2"/>
        <w:rPr>
          <w:rFonts w:hint="eastAsia"/>
          <w:lang w:val="en-US" w:eastAsia="zh-CN"/>
        </w:rPr>
      </w:pPr>
    </w:p>
    <w:p w14:paraId="24CE507D">
      <w:pPr>
        <w:rPr>
          <w:rFonts w:hint="eastAsia"/>
          <w:lang w:val="en-US" w:eastAsia="zh-CN"/>
        </w:rPr>
      </w:pPr>
    </w:p>
    <w:p w14:paraId="1AA5E4BC">
      <w:pPr>
        <w:pStyle w:val="2"/>
        <w:rPr>
          <w:rFonts w:hint="eastAsia"/>
          <w:lang w:val="en-US" w:eastAsia="zh-CN"/>
        </w:rPr>
      </w:pPr>
    </w:p>
    <w:p w14:paraId="52545962">
      <w:pPr>
        <w:rPr>
          <w:rFonts w:hint="eastAsia"/>
          <w:lang w:val="en-US" w:eastAsia="zh-CN"/>
        </w:rPr>
      </w:pPr>
    </w:p>
    <w:p w14:paraId="146711B5">
      <w:pPr>
        <w:pStyle w:val="2"/>
        <w:rPr>
          <w:rFonts w:hint="eastAsia"/>
          <w:lang w:val="en-US" w:eastAsia="zh-CN"/>
        </w:rPr>
      </w:pPr>
    </w:p>
    <w:p w14:paraId="5300BADD">
      <w:pPr>
        <w:rPr>
          <w:rFonts w:hint="eastAsia"/>
          <w:lang w:val="en-US" w:eastAsia="zh-CN"/>
        </w:rPr>
      </w:pPr>
    </w:p>
    <w:p w14:paraId="01CBD9E1">
      <w:pPr>
        <w:pStyle w:val="2"/>
        <w:rPr>
          <w:rFonts w:hint="eastAsia"/>
          <w:lang w:val="en-US" w:eastAsia="zh-CN"/>
        </w:rPr>
      </w:pPr>
    </w:p>
    <w:p w14:paraId="76ECC677">
      <w:pPr>
        <w:rPr>
          <w:rFonts w:hint="eastAsia"/>
          <w:lang w:val="en-US" w:eastAsia="zh-CN"/>
        </w:rPr>
      </w:pPr>
    </w:p>
    <w:p w14:paraId="652C373D">
      <w:pPr>
        <w:pStyle w:val="2"/>
        <w:rPr>
          <w:rFonts w:hint="eastAsia"/>
          <w:lang w:val="en-US" w:eastAsia="zh-CN"/>
        </w:rPr>
      </w:pPr>
    </w:p>
    <w:p w14:paraId="5B113AA6">
      <w:pPr>
        <w:rPr>
          <w:rFonts w:hint="eastAsia"/>
          <w:lang w:val="en-US" w:eastAsia="zh-CN"/>
        </w:rPr>
      </w:pPr>
    </w:p>
    <w:p w14:paraId="22D1D2E3">
      <w:pPr>
        <w:pStyle w:val="2"/>
        <w:rPr>
          <w:rFonts w:hint="eastAsia"/>
          <w:lang w:val="en-US" w:eastAsia="zh-CN"/>
        </w:rPr>
      </w:pPr>
    </w:p>
    <w:p w14:paraId="437924CC">
      <w:pPr>
        <w:rPr>
          <w:rFonts w:hint="eastAsia"/>
          <w:lang w:val="en-US" w:eastAsia="zh-CN"/>
        </w:rPr>
      </w:pPr>
    </w:p>
    <w:p w14:paraId="16A3F1F4">
      <w:pPr>
        <w:pStyle w:val="2"/>
        <w:rPr>
          <w:rFonts w:hint="eastAsia"/>
          <w:lang w:val="en-US" w:eastAsia="zh-CN"/>
        </w:rPr>
      </w:pPr>
    </w:p>
    <w:p w14:paraId="6E70E16C">
      <w:pPr>
        <w:rPr>
          <w:rFonts w:hint="eastAsia"/>
          <w:lang w:val="en-US" w:eastAsia="zh-CN"/>
        </w:rPr>
      </w:pPr>
    </w:p>
    <w:p w14:paraId="26C98DFD">
      <w:pPr>
        <w:pStyle w:val="2"/>
        <w:rPr>
          <w:rFonts w:hint="eastAsia"/>
          <w:lang w:val="en-US" w:eastAsia="zh-CN"/>
        </w:rPr>
      </w:pPr>
    </w:p>
    <w:p w14:paraId="686A6BD7">
      <w:pPr>
        <w:rPr>
          <w:rFonts w:hint="eastAsia"/>
          <w:lang w:val="en-US" w:eastAsia="zh-CN"/>
        </w:rPr>
      </w:pPr>
    </w:p>
    <w:p w14:paraId="72A413C8">
      <w:pPr>
        <w:pStyle w:val="2"/>
        <w:rPr>
          <w:rFonts w:hint="eastAsia"/>
          <w:lang w:val="en-US" w:eastAsia="zh-CN"/>
        </w:rPr>
      </w:pPr>
    </w:p>
    <w:p w14:paraId="7FD59427">
      <w:pPr>
        <w:rPr>
          <w:rFonts w:hint="eastAsia"/>
          <w:lang w:val="en-US" w:eastAsia="zh-CN"/>
        </w:rPr>
      </w:pPr>
    </w:p>
    <w:p w14:paraId="49D17CE6">
      <w:pPr>
        <w:pStyle w:val="2"/>
        <w:rPr>
          <w:rFonts w:hint="eastAsia"/>
          <w:lang w:val="en-US" w:eastAsia="zh-CN"/>
        </w:rPr>
      </w:pPr>
    </w:p>
    <w:p w14:paraId="6F7CDB05">
      <w:pP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t>附</w:t>
      </w:r>
      <w:r>
        <w:rPr>
          <w:rFonts w:hint="eastAsia" w:ascii="宋体" w:hAnsi="宋体" w:eastAsia="宋体" w:cs="宋体"/>
          <w:b/>
          <w:bCs w:val="0"/>
          <w:color w:val="000000"/>
          <w:kern w:val="0"/>
          <w:sz w:val="28"/>
          <w:szCs w:val="28"/>
          <w:highlight w:val="none"/>
          <w:u w:color="000000"/>
          <w:lang w:val="en-US" w:eastAsia="zh-CN" w:bidi="ar"/>
        </w:rPr>
        <w:t>件</w:t>
      </w:r>
      <w:r>
        <w:rPr>
          <w:rFonts w:hint="eastAsia" w:ascii="Calibri" w:hAnsi="Calibri" w:eastAsia="宋体" w:cs="Calibri"/>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w:t>
      </w:r>
    </w:p>
    <w:p w14:paraId="0BBEB0DC">
      <w:pPr>
        <w:jc w:val="center"/>
        <w:rPr>
          <w:rFonts w:hint="eastAsia" w:ascii="宋体" w:hAnsi="宋体"/>
          <w:b/>
          <w:color w:val="auto"/>
          <w:sz w:val="30"/>
          <w:szCs w:val="30"/>
          <w:highlight w:val="none"/>
        </w:rPr>
      </w:pPr>
      <w:r>
        <w:rPr>
          <w:rFonts w:hint="eastAsia" w:ascii="宋体" w:hAnsi="宋体"/>
          <w:b/>
          <w:color w:val="auto"/>
          <w:sz w:val="30"/>
          <w:szCs w:val="30"/>
          <w:highlight w:val="none"/>
        </w:rPr>
        <w:t>技术参数响应表（格式）</w:t>
      </w:r>
    </w:p>
    <w:p w14:paraId="7E03F70F">
      <w:pPr>
        <w:rPr>
          <w:rFonts w:hint="eastAsia" w:ascii="宋体" w:hAnsi="宋体"/>
          <w:color w:val="auto"/>
          <w:sz w:val="24"/>
          <w:highlight w:val="none"/>
        </w:rPr>
      </w:pPr>
    </w:p>
    <w:tbl>
      <w:tblPr>
        <w:tblStyle w:val="26"/>
        <w:tblW w:w="9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1414"/>
        <w:gridCol w:w="1532"/>
        <w:gridCol w:w="1548"/>
        <w:gridCol w:w="3523"/>
      </w:tblGrid>
      <w:tr w14:paraId="00B3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060" w:type="dxa"/>
            <w:vMerge w:val="restart"/>
            <w:noWrap w:val="0"/>
            <w:vAlign w:val="center"/>
          </w:tcPr>
          <w:p w14:paraId="26E4C0BC">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序号</w:t>
            </w:r>
          </w:p>
        </w:tc>
        <w:tc>
          <w:tcPr>
            <w:tcW w:w="1414" w:type="dxa"/>
            <w:vMerge w:val="restart"/>
            <w:noWrap w:val="0"/>
            <w:vAlign w:val="center"/>
          </w:tcPr>
          <w:p w14:paraId="19E14317">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品目名称</w:t>
            </w:r>
          </w:p>
        </w:tc>
        <w:tc>
          <w:tcPr>
            <w:tcW w:w="3080" w:type="dxa"/>
            <w:gridSpan w:val="2"/>
            <w:noWrap w:val="0"/>
            <w:vAlign w:val="center"/>
          </w:tcPr>
          <w:p w14:paraId="6C37DB93">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规格型号及参数</w:t>
            </w:r>
          </w:p>
        </w:tc>
        <w:tc>
          <w:tcPr>
            <w:tcW w:w="3523" w:type="dxa"/>
            <w:vMerge w:val="restart"/>
            <w:noWrap w:val="0"/>
            <w:vAlign w:val="center"/>
          </w:tcPr>
          <w:p w14:paraId="7158BB7F">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是否响应</w:t>
            </w:r>
          </w:p>
          <w:p w14:paraId="4DE26C1F">
            <w:pPr>
              <w:keepNext w:val="0"/>
              <w:keepLines w:val="0"/>
              <w:suppressLineNumbers w:val="0"/>
              <w:spacing w:before="0" w:beforeAutospacing="0" w:after="0" w:afterAutospacing="0" w:line="240" w:lineRule="atLeast"/>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 </w:t>
            </w:r>
          </w:p>
        </w:tc>
      </w:tr>
      <w:tr w14:paraId="77D1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60" w:type="dxa"/>
            <w:vMerge w:val="continue"/>
            <w:noWrap w:val="0"/>
            <w:vAlign w:val="top"/>
          </w:tcPr>
          <w:p w14:paraId="214BD00D">
            <w:pPr>
              <w:keepNext w:val="0"/>
              <w:keepLines w:val="0"/>
              <w:suppressLineNumbers w:val="0"/>
              <w:spacing w:before="0" w:beforeAutospacing="0" w:after="0" w:afterAutospacing="0" w:line="240" w:lineRule="atLeast"/>
              <w:ind w:left="0" w:right="0" w:firstLine="105" w:firstLineChars="50"/>
              <w:rPr>
                <w:rFonts w:hint="eastAsia" w:ascii="宋体" w:hAnsi="宋体" w:cs="宋体"/>
                <w:color w:val="auto"/>
                <w:szCs w:val="21"/>
                <w:highlight w:val="none"/>
              </w:rPr>
            </w:pPr>
          </w:p>
        </w:tc>
        <w:tc>
          <w:tcPr>
            <w:tcW w:w="1414" w:type="dxa"/>
            <w:vMerge w:val="continue"/>
            <w:noWrap w:val="0"/>
            <w:vAlign w:val="top"/>
          </w:tcPr>
          <w:p w14:paraId="682DD4D4">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c>
          <w:tcPr>
            <w:tcW w:w="1532" w:type="dxa"/>
            <w:noWrap w:val="0"/>
            <w:vAlign w:val="top"/>
          </w:tcPr>
          <w:p w14:paraId="33B0991B">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招标要求规格型号技术参数</w:t>
            </w:r>
          </w:p>
        </w:tc>
        <w:tc>
          <w:tcPr>
            <w:tcW w:w="1548" w:type="dxa"/>
            <w:noWrap w:val="0"/>
            <w:vAlign w:val="top"/>
          </w:tcPr>
          <w:p w14:paraId="126A8760">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投标规格型号技术参数</w:t>
            </w:r>
          </w:p>
        </w:tc>
        <w:tc>
          <w:tcPr>
            <w:tcW w:w="3523" w:type="dxa"/>
            <w:vMerge w:val="continue"/>
            <w:noWrap w:val="0"/>
            <w:vAlign w:val="top"/>
          </w:tcPr>
          <w:p w14:paraId="7EEB98AC">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r>
      <w:tr w14:paraId="0E1C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14:paraId="4C98BDA3">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1414" w:type="dxa"/>
            <w:shd w:val="clear" w:color="auto" w:fill="FFFFFF"/>
            <w:noWrap w:val="0"/>
            <w:vAlign w:val="center"/>
          </w:tcPr>
          <w:p w14:paraId="152EB8FC">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1532" w:type="dxa"/>
            <w:noWrap w:val="0"/>
            <w:vAlign w:val="center"/>
          </w:tcPr>
          <w:p w14:paraId="0185779A">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14:paraId="05500EFF">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3523" w:type="dxa"/>
            <w:noWrap w:val="0"/>
            <w:vAlign w:val="center"/>
          </w:tcPr>
          <w:p w14:paraId="33521597">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s="宋体"/>
                <w:color w:val="auto"/>
                <w:szCs w:val="21"/>
                <w:highlight w:val="none"/>
              </w:rPr>
              <w:t>是/否</w:t>
            </w:r>
          </w:p>
        </w:tc>
      </w:tr>
      <w:tr w14:paraId="7D4C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14:paraId="2001C07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2</w:t>
            </w:r>
          </w:p>
        </w:tc>
        <w:tc>
          <w:tcPr>
            <w:tcW w:w="1414" w:type="dxa"/>
            <w:shd w:val="clear" w:color="auto" w:fill="FFFFFF"/>
            <w:noWrap w:val="0"/>
            <w:vAlign w:val="center"/>
          </w:tcPr>
          <w:p w14:paraId="31EB7E07">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14:paraId="1D412601">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14:paraId="720B4840">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3523" w:type="dxa"/>
            <w:noWrap w:val="0"/>
            <w:vAlign w:val="center"/>
          </w:tcPr>
          <w:p w14:paraId="2A6B221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s="宋体"/>
                <w:color w:val="auto"/>
                <w:szCs w:val="21"/>
                <w:highlight w:val="none"/>
              </w:rPr>
              <w:t>是/否</w:t>
            </w:r>
          </w:p>
        </w:tc>
      </w:tr>
      <w:tr w14:paraId="18FA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14:paraId="7E3F98A3">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3</w:t>
            </w:r>
          </w:p>
        </w:tc>
        <w:tc>
          <w:tcPr>
            <w:tcW w:w="1414" w:type="dxa"/>
            <w:shd w:val="clear" w:color="auto" w:fill="FFFFFF"/>
            <w:noWrap w:val="0"/>
            <w:vAlign w:val="center"/>
          </w:tcPr>
          <w:p w14:paraId="19D48D30">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14:paraId="485CA247">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14:paraId="11809413">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3523" w:type="dxa"/>
            <w:noWrap w:val="0"/>
            <w:vAlign w:val="center"/>
          </w:tcPr>
          <w:p w14:paraId="5885BBF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s="宋体"/>
                <w:color w:val="auto"/>
                <w:szCs w:val="21"/>
                <w:highlight w:val="none"/>
              </w:rPr>
              <w:t>是/否</w:t>
            </w:r>
          </w:p>
        </w:tc>
      </w:tr>
      <w:tr w14:paraId="76A8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14:paraId="3ADDBF5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default" w:ascii="宋体" w:hAnsi="宋体"/>
                <w:color w:val="auto"/>
                <w:szCs w:val="21"/>
                <w:highlight w:val="none"/>
              </w:rPr>
              <w:t>…</w:t>
            </w:r>
          </w:p>
        </w:tc>
        <w:tc>
          <w:tcPr>
            <w:tcW w:w="1414" w:type="dxa"/>
            <w:shd w:val="clear" w:color="auto" w:fill="FFFFFF"/>
            <w:noWrap w:val="0"/>
            <w:vAlign w:val="center"/>
          </w:tcPr>
          <w:p w14:paraId="562514BC">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14:paraId="4B1CB225">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14:paraId="5479C376">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3523" w:type="dxa"/>
            <w:noWrap w:val="0"/>
            <w:vAlign w:val="center"/>
          </w:tcPr>
          <w:p w14:paraId="28DDE7BC">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default" w:ascii="宋体" w:hAnsi="宋体" w:cs="宋体"/>
                <w:color w:val="auto"/>
                <w:szCs w:val="21"/>
                <w:highlight w:val="none"/>
              </w:rPr>
              <w:t>…</w:t>
            </w:r>
          </w:p>
        </w:tc>
      </w:tr>
    </w:tbl>
    <w:p w14:paraId="71E4C4AD">
      <w:pPr>
        <w:autoSpaceDE w:val="0"/>
        <w:autoSpaceDN w:val="0"/>
        <w:adjustRightInd w:val="0"/>
        <w:spacing w:line="240" w:lineRule="auto"/>
        <w:ind w:firstLine="422" w:firstLineChars="200"/>
        <w:rPr>
          <w:rFonts w:hint="eastAsia" w:ascii="宋体" w:hAnsi="宋体"/>
          <w:b/>
          <w:color w:val="auto"/>
          <w:szCs w:val="21"/>
          <w:highlight w:val="none"/>
          <w:lang w:val="zh-CN"/>
        </w:rPr>
      </w:pPr>
      <w:r>
        <w:rPr>
          <w:rFonts w:hint="eastAsia" w:ascii="宋体" w:hAnsi="宋体"/>
          <w:b/>
          <w:color w:val="auto"/>
          <w:szCs w:val="21"/>
          <w:highlight w:val="none"/>
          <w:lang w:val="zh-CN"/>
        </w:rPr>
        <w:t>注：</w:t>
      </w:r>
      <w:r>
        <w:rPr>
          <w:rFonts w:ascii="宋体" w:hAnsi="宋体"/>
          <w:b/>
          <w:color w:val="auto"/>
          <w:szCs w:val="21"/>
          <w:highlight w:val="none"/>
          <w:lang w:val="zh-CN"/>
        </w:rPr>
        <w:t>1</w:t>
      </w:r>
      <w:r>
        <w:rPr>
          <w:rFonts w:hint="eastAsia" w:ascii="宋体" w:hAnsi="宋体"/>
          <w:b/>
          <w:color w:val="auto"/>
          <w:szCs w:val="21"/>
          <w:highlight w:val="none"/>
          <w:lang w:val="zh-CN"/>
        </w:rPr>
        <w:t>.</w:t>
      </w:r>
      <w:r>
        <w:rPr>
          <w:rFonts w:hint="eastAsia" w:ascii="宋体" w:hAnsi="宋体" w:eastAsia="宋体" w:cs="Times New Roman"/>
          <w:b/>
          <w:color w:val="000000"/>
          <w:szCs w:val="21"/>
          <w:highlight w:val="none"/>
          <w:lang w:val="en-US" w:eastAsia="zh-CN"/>
        </w:rPr>
        <w:t>表格顺序请按照采购清单顺序；</w:t>
      </w:r>
    </w:p>
    <w:p w14:paraId="57FF2DB6">
      <w:pPr>
        <w:autoSpaceDE w:val="0"/>
        <w:autoSpaceDN w:val="0"/>
        <w:adjustRightInd w:val="0"/>
        <w:spacing w:line="240" w:lineRule="auto"/>
        <w:ind w:firstLine="422" w:firstLineChars="200"/>
        <w:rPr>
          <w:rFonts w:hint="eastAsia" w:ascii="宋体" w:hAnsi="宋体" w:eastAsia="宋体" w:cs="Times New Roman"/>
          <w:b/>
          <w:color w:val="000000"/>
          <w:szCs w:val="21"/>
          <w:highlight w:val="none"/>
          <w:lang w:val="zh-CN" w:eastAsia="zh-CN"/>
        </w:rPr>
      </w:pPr>
      <w:r>
        <w:rPr>
          <w:rFonts w:hint="eastAsia" w:ascii="宋体" w:hAnsi="宋体" w:eastAsia="宋体" w:cs="Times New Roman"/>
          <w:b/>
          <w:color w:val="000000"/>
          <w:szCs w:val="21"/>
          <w:highlight w:val="none"/>
          <w:lang w:val="en-US" w:eastAsia="zh-CN"/>
        </w:rPr>
        <w:t>2.投标人</w:t>
      </w:r>
      <w:r>
        <w:rPr>
          <w:rFonts w:hint="eastAsia" w:ascii="宋体" w:hAnsi="宋体" w:eastAsia="宋体" w:cs="Times New Roman"/>
          <w:b/>
          <w:color w:val="000000"/>
          <w:szCs w:val="21"/>
          <w:highlight w:val="none"/>
          <w:lang w:val="zh-CN" w:eastAsia="zh-CN"/>
        </w:rPr>
        <w:t>应逐一说明投标产品和服务响应；</w:t>
      </w:r>
    </w:p>
    <w:p w14:paraId="69B33BC7">
      <w:pPr>
        <w:autoSpaceDE w:val="0"/>
        <w:autoSpaceDN w:val="0"/>
        <w:adjustRightInd w:val="0"/>
        <w:spacing w:line="240" w:lineRule="auto"/>
        <w:ind w:firstLine="422" w:firstLineChars="200"/>
        <w:rPr>
          <w:rFonts w:hint="eastAsia" w:ascii="宋体" w:hAnsi="宋体" w:eastAsia="宋体" w:cs="Times New Roman"/>
          <w:b/>
          <w:color w:val="000000"/>
          <w:szCs w:val="21"/>
          <w:highlight w:val="none"/>
          <w:lang w:val="en-US" w:eastAsia="zh-CN"/>
        </w:rPr>
      </w:pPr>
      <w:r>
        <w:rPr>
          <w:rFonts w:hint="eastAsia" w:ascii="宋体" w:hAnsi="宋体" w:eastAsia="宋体" w:cs="Times New Roman"/>
          <w:b/>
          <w:color w:val="000000"/>
          <w:szCs w:val="21"/>
          <w:highlight w:val="none"/>
          <w:lang w:val="en-US" w:eastAsia="zh-CN"/>
        </w:rPr>
        <w:t>3.</w:t>
      </w:r>
      <w:r>
        <w:rPr>
          <w:rFonts w:hint="eastAsia" w:ascii="宋体" w:hAnsi="宋体" w:eastAsia="宋体" w:cs="Times New Roman"/>
          <w:b/>
          <w:color w:val="000000"/>
          <w:szCs w:val="21"/>
          <w:highlight w:val="none"/>
          <w:lang w:val="zh-CN" w:eastAsia="zh-CN"/>
        </w:rPr>
        <w:t>如果行数不够，请自行增加。</w:t>
      </w:r>
    </w:p>
    <w:p w14:paraId="7C4A2D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14CBED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szCs w:val="21"/>
          <w:highlight w:val="none"/>
        </w:rPr>
        <w:t>签字或签章</w:t>
      </w:r>
      <w:r>
        <w:rPr>
          <w:rFonts w:hint="eastAsia" w:ascii="宋体" w:hAnsi="宋体"/>
          <w:color w:val="auto"/>
          <w:szCs w:val="21"/>
          <w:highlight w:val="none"/>
        </w:rPr>
        <w:t>)</w:t>
      </w:r>
    </w:p>
    <w:p w14:paraId="2D147E3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80378DB">
      <w:pPr>
        <w:spacing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货物的详细配置清单</w:t>
      </w:r>
    </w:p>
    <w:tbl>
      <w:tblPr>
        <w:tblStyle w:val="26"/>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414"/>
        <w:gridCol w:w="2121"/>
        <w:gridCol w:w="1153"/>
        <w:gridCol w:w="2147"/>
        <w:gridCol w:w="1508"/>
      </w:tblGrid>
      <w:tr w14:paraId="32DA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noWrap w:val="0"/>
            <w:vAlign w:val="center"/>
          </w:tcPr>
          <w:p w14:paraId="6A069EB6">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1414" w:type="dxa"/>
            <w:noWrap w:val="0"/>
            <w:vAlign w:val="center"/>
          </w:tcPr>
          <w:p w14:paraId="3A4BD9F3">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货物名称</w:t>
            </w:r>
          </w:p>
        </w:tc>
        <w:tc>
          <w:tcPr>
            <w:tcW w:w="2121" w:type="dxa"/>
            <w:noWrap w:val="0"/>
            <w:vAlign w:val="center"/>
          </w:tcPr>
          <w:p w14:paraId="5BA966E5">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品牌、规格型号</w:t>
            </w:r>
          </w:p>
        </w:tc>
        <w:tc>
          <w:tcPr>
            <w:tcW w:w="1153" w:type="dxa"/>
            <w:noWrap w:val="0"/>
            <w:vAlign w:val="center"/>
          </w:tcPr>
          <w:p w14:paraId="55ECB0A9">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产地</w:t>
            </w:r>
          </w:p>
        </w:tc>
        <w:tc>
          <w:tcPr>
            <w:tcW w:w="2147" w:type="dxa"/>
            <w:noWrap w:val="0"/>
            <w:vAlign w:val="center"/>
          </w:tcPr>
          <w:p w14:paraId="3E5BDCF3">
            <w:pPr>
              <w:keepNext w:val="0"/>
              <w:keepLines w:val="0"/>
              <w:suppressLineNumbers w:val="0"/>
              <w:spacing w:before="0" w:beforeAutospacing="0" w:after="0" w:afterAutospacing="0" w:line="360" w:lineRule="auto"/>
              <w:ind w:left="261" w:right="0"/>
              <w:jc w:val="center"/>
              <w:rPr>
                <w:rFonts w:hint="eastAsia" w:ascii="宋体" w:hAnsi="宋体"/>
                <w:color w:val="auto"/>
                <w:szCs w:val="21"/>
                <w:highlight w:val="none"/>
              </w:rPr>
            </w:pPr>
            <w:r>
              <w:rPr>
                <w:rFonts w:hint="eastAsia" w:ascii="宋体" w:hAnsi="宋体"/>
                <w:color w:val="auto"/>
                <w:szCs w:val="21"/>
                <w:highlight w:val="none"/>
              </w:rPr>
              <w:t>生产厂家</w:t>
            </w:r>
          </w:p>
        </w:tc>
        <w:tc>
          <w:tcPr>
            <w:tcW w:w="1508" w:type="dxa"/>
            <w:noWrap w:val="0"/>
            <w:vAlign w:val="center"/>
          </w:tcPr>
          <w:p w14:paraId="713BD7C3">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详细配置清单</w:t>
            </w:r>
          </w:p>
        </w:tc>
      </w:tr>
      <w:tr w14:paraId="4BCD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14:paraId="5EFB0DF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1414" w:type="dxa"/>
            <w:shd w:val="clear" w:color="auto" w:fill="FFFFFF"/>
            <w:noWrap w:val="0"/>
            <w:vAlign w:val="center"/>
          </w:tcPr>
          <w:p w14:paraId="4F3B9064">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14:paraId="1F4701EC">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14:paraId="7229D5DF">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14:paraId="6852537C">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14:paraId="1F5445AB">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14:paraId="512D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14:paraId="3D592C8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2</w:t>
            </w:r>
          </w:p>
        </w:tc>
        <w:tc>
          <w:tcPr>
            <w:tcW w:w="1414" w:type="dxa"/>
            <w:shd w:val="clear" w:color="auto" w:fill="FFFFFF"/>
            <w:noWrap w:val="0"/>
            <w:vAlign w:val="center"/>
          </w:tcPr>
          <w:p w14:paraId="1B0896D2">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14:paraId="1CF7F369">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14:paraId="4A825B36">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14:paraId="64499002">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14:paraId="246BEB10">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14:paraId="3346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14:paraId="35CF5CE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3</w:t>
            </w:r>
          </w:p>
        </w:tc>
        <w:tc>
          <w:tcPr>
            <w:tcW w:w="1414" w:type="dxa"/>
            <w:shd w:val="clear" w:color="auto" w:fill="FFFFFF"/>
            <w:noWrap w:val="0"/>
            <w:vAlign w:val="center"/>
          </w:tcPr>
          <w:p w14:paraId="57200266">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14:paraId="381FC31D">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14:paraId="2838DB05">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14:paraId="3CF58F64">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14:paraId="46C2C8CA">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14:paraId="5D9C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top"/>
          </w:tcPr>
          <w:p w14:paraId="5CF8C5D5">
            <w:pPr>
              <w:keepNext w:val="0"/>
              <w:keepLines w:val="0"/>
              <w:numPr>
                <w:ilvl w:val="0"/>
                <w:numId w:val="0"/>
              </w:numPr>
              <w:suppressLineNumbers w:val="0"/>
              <w:spacing w:before="0" w:beforeAutospacing="0" w:after="0" w:afterAutospacing="0" w:line="360" w:lineRule="auto"/>
              <w:ind w:left="0" w:leftChars="0" w:right="0"/>
              <w:rPr>
                <w:rFonts w:hint="eastAsia" w:ascii="宋体" w:hAnsi="宋体"/>
                <w:color w:val="auto"/>
                <w:szCs w:val="21"/>
                <w:highlight w:val="none"/>
              </w:rPr>
            </w:pPr>
            <w:r>
              <w:rPr>
                <w:rFonts w:hint="default" w:ascii="宋体" w:hAnsi="宋体"/>
                <w:color w:val="auto"/>
                <w:szCs w:val="21"/>
                <w:highlight w:val="none"/>
              </w:rPr>
              <w:t>…</w:t>
            </w:r>
          </w:p>
        </w:tc>
        <w:tc>
          <w:tcPr>
            <w:tcW w:w="1414" w:type="dxa"/>
            <w:shd w:val="clear" w:color="auto" w:fill="FFFFFF"/>
            <w:noWrap w:val="0"/>
            <w:vAlign w:val="center"/>
          </w:tcPr>
          <w:p w14:paraId="61261580">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14:paraId="1ED333F9">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14:paraId="368AE407">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14:paraId="5AAC0EAB">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14:paraId="1238709B">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bl>
    <w:p w14:paraId="0A57651D">
      <w:pPr>
        <w:spacing w:line="360" w:lineRule="auto"/>
        <w:jc w:val="left"/>
        <w:rPr>
          <w:rFonts w:hint="eastAsia" w:ascii="宋体" w:hAnsi="宋体"/>
          <w:b/>
          <w:color w:val="auto"/>
          <w:sz w:val="28"/>
          <w:szCs w:val="28"/>
          <w:highlight w:val="none"/>
        </w:rPr>
      </w:pPr>
      <w:r>
        <w:rPr>
          <w:rFonts w:hint="eastAsia" w:ascii="宋体" w:hAnsi="宋体"/>
          <w:b/>
          <w:color w:val="auto"/>
          <w:sz w:val="28"/>
          <w:szCs w:val="28"/>
          <w:highlight w:val="none"/>
        </w:rPr>
        <w:t>注：</w:t>
      </w:r>
      <w:r>
        <w:rPr>
          <w:rFonts w:hint="eastAsia" w:ascii="宋体" w:hAnsi="宋体" w:eastAsia="宋体" w:cs="Times New Roman"/>
          <w:b/>
          <w:color w:val="000000"/>
          <w:szCs w:val="21"/>
          <w:highlight w:val="none"/>
          <w:lang w:val="en-US" w:eastAsia="zh-CN"/>
        </w:rPr>
        <w:t>表格顺序请按照采购清单顺序，</w:t>
      </w:r>
      <w:r>
        <w:rPr>
          <w:rFonts w:hint="eastAsia" w:ascii="宋体" w:hAnsi="宋体" w:cs="宋体"/>
          <w:color w:val="000000"/>
          <w:szCs w:val="21"/>
          <w:highlight w:val="none"/>
          <w:lang w:val="zh-CN"/>
        </w:rPr>
        <w:t>如果行数不够，请自行增加</w:t>
      </w:r>
    </w:p>
    <w:p w14:paraId="789D1F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4DC733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szCs w:val="21"/>
          <w:highlight w:val="none"/>
        </w:rPr>
        <w:t>签字或签章</w:t>
      </w:r>
      <w:r>
        <w:rPr>
          <w:rFonts w:hint="eastAsia" w:ascii="宋体" w:hAnsi="宋体"/>
          <w:color w:val="auto"/>
          <w:szCs w:val="21"/>
          <w:highlight w:val="none"/>
        </w:rPr>
        <w:t>)</w:t>
      </w:r>
    </w:p>
    <w:p w14:paraId="283849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3D036B4">
      <w:pPr>
        <w:pStyle w:val="2"/>
        <w:rPr>
          <w:rFonts w:hint="eastAsia"/>
          <w:highlight w:val="none"/>
          <w:lang w:val="en-US" w:eastAsia="zh-CN"/>
        </w:rPr>
      </w:pPr>
    </w:p>
    <w:p w14:paraId="3FCD18EA">
      <w:pPr>
        <w:spacing w:line="560" w:lineRule="atLeast"/>
        <w:jc w:val="left"/>
        <w:rPr>
          <w:rFonts w:hint="eastAsia" w:ascii="宋体" w:hAnsi="宋体" w:eastAsia="宋体" w:cs="宋体"/>
          <w:b/>
          <w:bCs/>
          <w:color w:val="auto"/>
          <w:szCs w:val="21"/>
          <w:highlight w:val="none"/>
          <w:lang w:eastAsia="zh-CN"/>
        </w:rPr>
      </w:pPr>
      <w:r>
        <w:rPr>
          <w:rFonts w:hint="eastAsia" w:ascii="Times New Roman" w:hAnsi="Times New Roman" w:eastAsia="宋体" w:cs="Times New Roman"/>
          <w:b/>
          <w:color w:val="auto"/>
          <w:sz w:val="28"/>
          <w:szCs w:val="28"/>
          <w:highlight w:val="none"/>
        </w:rPr>
        <w:t>附件</w:t>
      </w:r>
      <w:r>
        <w:rPr>
          <w:rFonts w:hint="eastAsia" w:ascii="Times New Roman" w:hAnsi="Times New Roman" w:eastAsia="宋体" w:cs="Times New Roman"/>
          <w:b/>
          <w:color w:val="auto"/>
          <w:sz w:val="28"/>
          <w:szCs w:val="28"/>
          <w:highlight w:val="none"/>
          <w:lang w:val="en-US" w:eastAsia="zh-CN"/>
        </w:rPr>
        <w:t>2</w:t>
      </w:r>
    </w:p>
    <w:p w14:paraId="354ADB40">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服务承诺书</w:t>
      </w:r>
    </w:p>
    <w:p w14:paraId="15FD9C95">
      <w:pPr>
        <w:spacing w:line="600" w:lineRule="auto"/>
        <w:rPr>
          <w:rFonts w:hint="eastAsia" w:ascii="宋体" w:hAnsi="宋体" w:cs="宋体"/>
          <w:bCs/>
          <w:color w:val="auto"/>
          <w:sz w:val="24"/>
          <w:highlight w:val="none"/>
          <w:u w:val="single"/>
        </w:rPr>
      </w:pPr>
      <w:r>
        <w:rPr>
          <w:rFonts w:hint="eastAsia" w:ascii="宋体" w:hAnsi="宋体" w:cs="宋体"/>
          <w:bCs/>
          <w:color w:val="auto"/>
          <w:sz w:val="24"/>
          <w:highlight w:val="none"/>
        </w:rPr>
        <w:t>致：</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招标</w:t>
      </w:r>
      <w:r>
        <w:rPr>
          <w:rFonts w:hint="eastAsia" w:ascii="宋体" w:hAnsi="宋体" w:cs="宋体"/>
          <w:bCs/>
          <w:color w:val="auto"/>
          <w:sz w:val="24"/>
          <w:highlight w:val="none"/>
          <w:u w:val="single"/>
        </w:rPr>
        <w:t>人）     ：</w:t>
      </w:r>
    </w:p>
    <w:p w14:paraId="497BB51F">
      <w:pPr>
        <w:spacing w:line="60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本承诺声明：</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（投标人）对本招标文件的相关要求完全响应。若有幸成交将严格按照以上承诺进行服务。</w:t>
      </w:r>
    </w:p>
    <w:p w14:paraId="74DBA520">
      <w:pPr>
        <w:pStyle w:val="63"/>
        <w:spacing w:line="600" w:lineRule="auto"/>
        <w:rPr>
          <w:rFonts w:hint="eastAsia" w:ascii="宋体" w:hAnsi="宋体" w:cs="宋体"/>
          <w:bCs/>
          <w:color w:val="auto"/>
          <w:highlight w:val="none"/>
        </w:rPr>
      </w:pPr>
      <w:r>
        <w:rPr>
          <w:rFonts w:hint="eastAsia" w:ascii="宋体" w:hAnsi="宋体" w:cs="宋体"/>
          <w:bCs/>
          <w:color w:val="auto"/>
          <w:sz w:val="24"/>
          <w:szCs w:val="24"/>
          <w:highlight w:val="none"/>
        </w:rPr>
        <w:t xml:space="preserve"> </w:t>
      </w:r>
    </w:p>
    <w:p w14:paraId="0BDC8F62">
      <w:pPr>
        <w:spacing w:line="60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特此声明</w:t>
      </w:r>
    </w:p>
    <w:p w14:paraId="7DC933C3">
      <w:pPr>
        <w:pStyle w:val="2"/>
        <w:rPr>
          <w:rFonts w:hint="eastAsia"/>
        </w:rPr>
      </w:pPr>
    </w:p>
    <w:p w14:paraId="6E07D2B1">
      <w:pPr>
        <w:spacing w:line="600" w:lineRule="auto"/>
        <w:jc w:val="right"/>
        <w:rPr>
          <w:rFonts w:hint="eastAsia" w:ascii="宋体" w:hAnsi="宋体" w:cs="宋体"/>
          <w:bCs/>
          <w:color w:val="auto"/>
          <w:sz w:val="24"/>
          <w:highlight w:val="none"/>
        </w:rPr>
      </w:pPr>
      <w:r>
        <w:rPr>
          <w:rFonts w:hint="eastAsia" w:ascii="宋体" w:hAnsi="宋体" w:cs="宋体"/>
          <w:bCs/>
          <w:color w:val="auto"/>
          <w:sz w:val="24"/>
          <w:highlight w:val="none"/>
        </w:rPr>
        <w:t> 投标人名称：</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none"/>
          <w:lang w:val="en-US" w:eastAsia="zh-CN"/>
        </w:rPr>
        <w:t xml:space="preserve"> </w:t>
      </w:r>
      <w:r>
        <w:rPr>
          <w:rFonts w:hint="eastAsia" w:ascii="宋体" w:hAnsi="宋体" w:cs="宋体"/>
          <w:bCs/>
          <w:color w:val="auto"/>
          <w:sz w:val="24"/>
          <w:highlight w:val="none"/>
          <w:u w:val="none"/>
        </w:rPr>
        <w:t>（</w:t>
      </w:r>
      <w:r>
        <w:rPr>
          <w:rFonts w:hint="eastAsia" w:ascii="宋体" w:hAnsi="宋体"/>
          <w:color w:val="auto"/>
          <w:sz w:val="24"/>
          <w:szCs w:val="21"/>
          <w:highlight w:val="none"/>
          <w:u w:val="none"/>
        </w:rPr>
        <w:t>盖单位章</w:t>
      </w:r>
      <w:r>
        <w:rPr>
          <w:rFonts w:hint="eastAsia" w:ascii="宋体" w:hAnsi="宋体" w:cs="宋体"/>
          <w:bCs/>
          <w:color w:val="auto"/>
          <w:sz w:val="24"/>
          <w:highlight w:val="none"/>
          <w:u w:val="none"/>
        </w:rPr>
        <w:t xml:space="preserve">） </w:t>
      </w:r>
    </w:p>
    <w:p w14:paraId="5C21EBFC">
      <w:pPr>
        <w:spacing w:line="600" w:lineRule="auto"/>
        <w:jc w:val="right"/>
        <w:rPr>
          <w:rFonts w:hint="eastAsia" w:ascii="宋体" w:hAnsi="宋体" w:cs="宋体"/>
          <w:bCs/>
          <w:color w:val="auto"/>
          <w:sz w:val="24"/>
          <w:highlight w:val="none"/>
          <w:u w:val="single"/>
        </w:rPr>
      </w:pPr>
      <w:r>
        <w:rPr>
          <w:rFonts w:hint="eastAsia" w:ascii="宋体" w:hAnsi="宋体" w:cs="宋体"/>
          <w:bCs/>
          <w:color w:val="auto"/>
          <w:sz w:val="24"/>
          <w:highlight w:val="none"/>
        </w:rPr>
        <w:t xml:space="preserve">法定代表人： </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(签章)</w:t>
      </w:r>
    </w:p>
    <w:p w14:paraId="091AD937">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775C1845">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color w:val="000000"/>
          <w:kern w:val="0"/>
          <w:sz w:val="44"/>
          <w:szCs w:val="44"/>
          <w:highlight w:val="none"/>
          <w:u w:color="000000"/>
          <w:lang w:val="en-US" w:eastAsia="zh-CN" w:bidi="ar"/>
        </w:rPr>
      </w:pPr>
    </w:p>
    <w:p w14:paraId="3D86A39A">
      <w:pPr>
        <w:pStyle w:val="2"/>
        <w:rPr>
          <w:rFonts w:hint="eastAsia" w:ascii="宋体" w:hAnsi="宋体" w:eastAsia="宋体" w:cs="宋体"/>
          <w:b/>
          <w:bCs w:val="0"/>
          <w:color w:val="000000"/>
          <w:kern w:val="0"/>
          <w:sz w:val="44"/>
          <w:szCs w:val="44"/>
          <w:highlight w:val="none"/>
          <w:u w:color="000000"/>
          <w:lang w:val="en-US" w:eastAsia="zh-CN" w:bidi="ar"/>
        </w:rPr>
      </w:pPr>
    </w:p>
    <w:p w14:paraId="74FA4EBF">
      <w:pPr>
        <w:rPr>
          <w:rFonts w:hint="eastAsia" w:ascii="宋体" w:hAnsi="宋体" w:eastAsia="宋体" w:cs="宋体"/>
          <w:b/>
          <w:bCs w:val="0"/>
          <w:color w:val="000000"/>
          <w:kern w:val="0"/>
          <w:sz w:val="44"/>
          <w:szCs w:val="44"/>
          <w:highlight w:val="none"/>
          <w:u w:color="000000"/>
          <w:lang w:val="en-US" w:eastAsia="zh-CN" w:bidi="ar"/>
        </w:rPr>
      </w:pPr>
    </w:p>
    <w:p w14:paraId="5FA0DC9D">
      <w:pPr>
        <w:pStyle w:val="2"/>
        <w:rPr>
          <w:rFonts w:hint="eastAsia" w:ascii="宋体" w:hAnsi="宋体" w:eastAsia="宋体" w:cs="宋体"/>
          <w:b/>
          <w:bCs w:val="0"/>
          <w:color w:val="000000"/>
          <w:kern w:val="0"/>
          <w:sz w:val="44"/>
          <w:szCs w:val="44"/>
          <w:highlight w:val="none"/>
          <w:u w:color="000000"/>
          <w:lang w:val="en-US" w:eastAsia="zh-CN" w:bidi="ar"/>
        </w:rPr>
      </w:pPr>
    </w:p>
    <w:p w14:paraId="413190AD">
      <w:pPr>
        <w:rPr>
          <w:rFonts w:hint="eastAsia" w:ascii="宋体" w:hAnsi="宋体" w:eastAsia="宋体" w:cs="宋体"/>
          <w:b/>
          <w:bCs w:val="0"/>
          <w:color w:val="000000"/>
          <w:kern w:val="0"/>
          <w:sz w:val="44"/>
          <w:szCs w:val="44"/>
          <w:highlight w:val="none"/>
          <w:u w:color="000000"/>
          <w:lang w:val="en-US" w:eastAsia="zh-CN" w:bidi="ar"/>
        </w:rPr>
      </w:pPr>
    </w:p>
    <w:p w14:paraId="6C4229E0">
      <w:pPr>
        <w:pStyle w:val="2"/>
        <w:rPr>
          <w:rFonts w:hint="eastAsia" w:ascii="宋体" w:hAnsi="宋体" w:eastAsia="宋体" w:cs="宋体"/>
          <w:b/>
          <w:bCs w:val="0"/>
          <w:color w:val="000000"/>
          <w:kern w:val="0"/>
          <w:sz w:val="44"/>
          <w:szCs w:val="44"/>
          <w:highlight w:val="none"/>
          <w:u w:color="000000"/>
          <w:lang w:val="en-US" w:eastAsia="zh-CN" w:bidi="ar"/>
        </w:rPr>
      </w:pPr>
    </w:p>
    <w:p w14:paraId="072B8B9E">
      <w:pPr>
        <w:rPr>
          <w:rFonts w:hint="eastAsia" w:ascii="宋体" w:hAnsi="宋体" w:eastAsia="宋体" w:cs="宋体"/>
          <w:b/>
          <w:bCs w:val="0"/>
          <w:color w:val="000000"/>
          <w:kern w:val="0"/>
          <w:sz w:val="44"/>
          <w:szCs w:val="44"/>
          <w:highlight w:val="none"/>
          <w:u w:color="000000"/>
          <w:lang w:val="en-US" w:eastAsia="zh-CN" w:bidi="ar"/>
        </w:rPr>
      </w:pPr>
    </w:p>
    <w:p w14:paraId="1FA039EC">
      <w:pPr>
        <w:pStyle w:val="2"/>
        <w:rPr>
          <w:rFonts w:hint="eastAsia"/>
          <w:lang w:val="en-US" w:eastAsia="zh-CN"/>
        </w:rPr>
      </w:pPr>
    </w:p>
    <w:p w14:paraId="3CBEDB95">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14:paraId="0F74AEB5">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14:paraId="5BE637E3">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14:paraId="7037E071">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14:paraId="09F42FBF">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14:paraId="676CDC80">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14:paraId="351D6F39">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67" w:name="_Toc27638_WPSOffice_Level2"/>
      <w:bookmarkEnd w:id="67"/>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投标文件三）</w:t>
      </w:r>
    </w:p>
    <w:p w14:paraId="2DA93A53">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14:paraId="38821EE9">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14:paraId="14D2F8CF">
      <w:pPr>
        <w:pStyle w:val="20"/>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14:paraId="648BB78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6396FF4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4A1B38A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7E1143AF">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16A76B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4FEB47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7B67FB8">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000000"/>
          <w:kern w:val="0"/>
          <w:sz w:val="28"/>
          <w:szCs w:val="28"/>
          <w:highlight w:val="none"/>
          <w:u w:color="000000"/>
          <w:lang w:val="en-US" w:eastAsia="zh-CN" w:bidi="ar"/>
        </w:rPr>
      </w:pPr>
      <w:r>
        <w:rPr>
          <w:rFonts w:hint="eastAsia" w:ascii="宋体" w:hAnsi="宋体" w:eastAsia="宋体" w:cs="宋体"/>
          <w:color w:val="000000"/>
          <w:kern w:val="0"/>
          <w:sz w:val="28"/>
          <w:szCs w:val="28"/>
          <w:highlight w:val="none"/>
          <w:u w:color="000000"/>
          <w:lang w:val="en-US" w:eastAsia="zh-CN" w:bidi="ar"/>
        </w:rPr>
        <w:t xml:space="preserve"> </w:t>
      </w:r>
    </w:p>
    <w:p w14:paraId="5911DE33">
      <w:pPr>
        <w:pStyle w:val="2"/>
        <w:rPr>
          <w:rFonts w:hint="eastAsia" w:ascii="宋体" w:hAnsi="宋体" w:eastAsia="宋体" w:cs="宋体"/>
          <w:color w:val="000000"/>
          <w:kern w:val="0"/>
          <w:sz w:val="28"/>
          <w:szCs w:val="28"/>
          <w:highlight w:val="none"/>
          <w:u w:color="000000"/>
          <w:lang w:val="en-US" w:eastAsia="zh-CN" w:bidi="ar"/>
        </w:rPr>
      </w:pPr>
    </w:p>
    <w:p w14:paraId="7A947A3D">
      <w:pPr>
        <w:rPr>
          <w:rFonts w:hint="eastAsia" w:ascii="宋体" w:hAnsi="宋体" w:eastAsia="宋体" w:cs="宋体"/>
          <w:color w:val="000000"/>
          <w:kern w:val="0"/>
          <w:sz w:val="28"/>
          <w:szCs w:val="28"/>
          <w:highlight w:val="none"/>
          <w:u w:color="000000"/>
          <w:lang w:val="en-US" w:eastAsia="zh-CN" w:bidi="ar"/>
        </w:rPr>
      </w:pPr>
    </w:p>
    <w:p w14:paraId="1BF7A8E4">
      <w:pPr>
        <w:pStyle w:val="2"/>
        <w:rPr>
          <w:rFonts w:hint="eastAsia"/>
          <w:lang w:val="en-US"/>
        </w:rPr>
      </w:pPr>
    </w:p>
    <w:p w14:paraId="37769EEE">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2D5D8C4F">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391D7D4D">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77DD4FC3">
      <w:pPr>
        <w:rPr>
          <w:highlight w:val="none"/>
          <w:lang w:val="en-US"/>
        </w:rPr>
      </w:pPr>
      <w:r>
        <w:rPr>
          <w:highlight w:val="none"/>
          <w:lang w:val="en-US"/>
        </w:rPr>
        <w:br w:type="page"/>
      </w:r>
    </w:p>
    <w:p w14:paraId="3D1F07CF">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14:paraId="342DB629">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14:paraId="3CEDEE55">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14:paraId="595C5D8F">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14:paraId="60BBF25F">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default" w:ascii="宋体" w:hAnsi="Calibri"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zCs w:val="21"/>
          <w:highlight w:val="none"/>
          <w:lang w:val="en-US" w:eastAsia="zh-CN"/>
        </w:rPr>
        <w:t>投标报价清单（</w:t>
      </w:r>
      <w:r>
        <w:rPr>
          <w:rFonts w:hint="eastAsia" w:ascii="宋体" w:hAnsi="Calibri" w:eastAsia="宋体" w:cs="宋体"/>
          <w:color w:val="000000"/>
          <w:kern w:val="0"/>
          <w:sz w:val="21"/>
          <w:szCs w:val="21"/>
          <w:highlight w:val="none"/>
          <w:u w:color="000000"/>
          <w:lang w:val="en-US" w:eastAsia="zh-CN" w:bidi="ar"/>
        </w:rPr>
        <w:t>格式见附件</w:t>
      </w:r>
      <w:r>
        <w:rPr>
          <w:rFonts w:hint="eastAsia" w:ascii="宋体" w:hAnsi="Times New Roman" w:eastAsia="宋体" w:cs="Times New Roman"/>
          <w:color w:val="auto"/>
          <w:szCs w:val="21"/>
          <w:highlight w:val="none"/>
          <w:lang w:val="en-US" w:eastAsia="zh-CN"/>
        </w:rPr>
        <w:t>）</w:t>
      </w:r>
      <w:r>
        <w:rPr>
          <w:rFonts w:hint="eastAsia" w:ascii="宋体" w:hAnsi="Calibri" w:eastAsia="宋体" w:cs="宋体"/>
          <w:color w:val="000000"/>
          <w:kern w:val="0"/>
          <w:sz w:val="21"/>
          <w:szCs w:val="21"/>
          <w:highlight w:val="none"/>
          <w:u w:color="000000"/>
          <w:lang w:val="en-US" w:eastAsia="zh-CN" w:bidi="ar"/>
        </w:rPr>
        <w:t>；</w:t>
      </w:r>
    </w:p>
    <w:p w14:paraId="525DF15C">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（4）投标人认为需要提供的其他材料（如有）。</w:t>
      </w:r>
    </w:p>
    <w:p w14:paraId="51946EBD">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1922E7F2">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14:paraId="713E09BA">
      <w:pPr>
        <w:jc w:val="left"/>
        <w:rPr>
          <w:rFonts w:hint="default"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附件1</w:t>
      </w:r>
    </w:p>
    <w:p w14:paraId="10A02D31">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4598CFFF">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445DE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3ADF6827">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B53B35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1B7869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3016A95E">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6858BF1B">
            <w:pPr>
              <w:pStyle w:val="16"/>
              <w:widowControl/>
              <w:spacing w:line="460" w:lineRule="exact"/>
              <w:ind w:left="86" w:leftChars="41"/>
              <w:rPr>
                <w:rFonts w:hint="eastAsia" w:ascii="宋体" w:hAnsi="Arial" w:eastAsia="宋体" w:cs="宋体"/>
                <w:sz w:val="24"/>
                <w:szCs w:val="24"/>
                <w:highlight w:val="none"/>
                <w:lang w:val="en-US"/>
              </w:rPr>
            </w:pPr>
          </w:p>
        </w:tc>
      </w:tr>
      <w:tr w14:paraId="48D7C6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1CB178F1">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w:t>
            </w:r>
            <w:r>
              <w:rPr>
                <w:rFonts w:hint="eastAsia" w:ascii="宋体" w:hAnsi="宋体" w:eastAsia="宋体" w:cs="宋体"/>
                <w:color w:val="000000"/>
                <w:kern w:val="0"/>
                <w:sz w:val="24"/>
                <w:szCs w:val="24"/>
                <w:highlight w:val="none"/>
                <w:u w:color="000000"/>
                <w:lang w:val="en-US" w:eastAsia="zh-CN" w:bidi="ar"/>
              </w:rPr>
              <w:t>供货期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359AB317">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2D250ACC">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6810C572">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14:paraId="06EC7109">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4E17E117">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40A3D7FF">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12068F63">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5CC1C948">
      <w:pPr>
        <w:spacing w:line="360" w:lineRule="auto"/>
        <w:rPr>
          <w:rFonts w:hint="eastAsia" w:ascii="宋体" w:hAnsi="宋体" w:eastAsia="宋体" w:cs="宋体"/>
          <w:b/>
          <w:bCs w:val="0"/>
          <w:color w:val="000000"/>
          <w:kern w:val="0"/>
          <w:sz w:val="30"/>
          <w:szCs w:val="30"/>
          <w:highlight w:val="none"/>
          <w:lang w:val="en-US" w:eastAsia="zh-CN" w:bidi="ar"/>
        </w:rPr>
        <w:sectPr>
          <w:footerReference r:id="rId5" w:type="default"/>
          <w:pgSz w:w="11906" w:h="16838"/>
          <w:pgMar w:top="1440" w:right="1800" w:bottom="1440" w:left="1800" w:header="851" w:footer="992" w:gutter="0"/>
          <w:pgNumType w:fmt="decimal" w:start="1"/>
          <w:cols w:space="425" w:num="1"/>
          <w:docGrid w:type="lines" w:linePitch="312" w:charSpace="0"/>
        </w:sectPr>
      </w:pPr>
    </w:p>
    <w:p w14:paraId="12C425E2">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14:paraId="3EC8D4A2">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2391CCA8">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15DDD5A8">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14:paraId="1FD3332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；供货期：</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14:paraId="4951FD3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14:paraId="0AE4F879">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90 </w:t>
      </w:r>
      <w:r>
        <w:rPr>
          <w:rFonts w:hint="eastAsia" w:ascii="宋体" w:hAnsi="宋体" w:eastAsia="宋体" w:cs="宋体"/>
          <w:color w:val="000000"/>
          <w:kern w:val="0"/>
          <w:sz w:val="24"/>
          <w:szCs w:val="24"/>
          <w:highlight w:val="none"/>
          <w:u w:color="000000"/>
          <w:lang w:val="en-US" w:eastAsia="zh-CN" w:bidi="ar"/>
        </w:rPr>
        <w:t>日历天（从投标截止之日算起）。</w:t>
      </w:r>
    </w:p>
    <w:p w14:paraId="440BBB82">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14:paraId="57CA1C8C">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19497C25">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14:paraId="0E601F94">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53B8FA2A">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4339E1A2">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57C010F6">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6BC48006">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1E71C73D">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0828B0A7">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7FF11513">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6F3275DF">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084866A9">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14:paraId="3B527FB3">
      <w:pPr>
        <w:keepNext w:val="0"/>
        <w:keepLines w:val="0"/>
        <w:pageBreakBefore/>
        <w:widowControl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
          <w:color w:val="auto"/>
          <w:sz w:val="28"/>
          <w:szCs w:val="28"/>
          <w:highlight w:val="none"/>
          <w:lang w:eastAsia="zh-CN"/>
        </w:rPr>
      </w:pPr>
      <w:bookmarkStart w:id="68" w:name="_Toc7457"/>
      <w:r>
        <w:rPr>
          <w:rFonts w:hint="eastAsia" w:ascii="Times New Roman" w:hAnsi="Times New Roman" w:eastAsia="宋体" w:cs="Times New Roman"/>
          <w:b/>
          <w:color w:val="auto"/>
          <w:sz w:val="28"/>
          <w:szCs w:val="28"/>
          <w:highlight w:val="none"/>
        </w:rPr>
        <w:t>附件</w:t>
      </w:r>
      <w:r>
        <w:rPr>
          <w:rFonts w:hint="eastAsia" w:ascii="Times New Roman" w:hAnsi="Times New Roman" w:eastAsia="宋体" w:cs="Times New Roman"/>
          <w:b/>
          <w:color w:val="auto"/>
          <w:sz w:val="28"/>
          <w:szCs w:val="28"/>
          <w:highlight w:val="none"/>
          <w:lang w:val="en-US" w:eastAsia="zh-CN"/>
        </w:rPr>
        <w:t>3</w:t>
      </w:r>
    </w:p>
    <w:p w14:paraId="39EA7B32">
      <w:pPr>
        <w:spacing w:line="360" w:lineRule="auto"/>
        <w:ind w:left="720"/>
        <w:jc w:val="center"/>
        <w:rPr>
          <w:rFonts w:hint="eastAsia" w:ascii="宋体" w:hAnsi="宋体"/>
          <w:b/>
          <w:color w:val="auto"/>
          <w:sz w:val="36"/>
          <w:szCs w:val="36"/>
          <w:highlight w:val="none"/>
        </w:rPr>
      </w:pPr>
      <w:r>
        <w:rPr>
          <w:rFonts w:hint="eastAsia"/>
          <w:b/>
          <w:color w:val="auto"/>
          <w:sz w:val="28"/>
          <w:szCs w:val="28"/>
          <w:highlight w:val="none"/>
        </w:rPr>
        <w:t>分项报价清单</w:t>
      </w:r>
    </w:p>
    <w:tbl>
      <w:tblPr>
        <w:tblStyle w:val="26"/>
        <w:tblW w:w="0" w:type="auto"/>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242"/>
        <w:gridCol w:w="784"/>
        <w:gridCol w:w="782"/>
        <w:gridCol w:w="898"/>
        <w:gridCol w:w="972"/>
        <w:gridCol w:w="1494"/>
      </w:tblGrid>
      <w:tr w14:paraId="2DD52F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noWrap w:val="0"/>
            <w:vAlign w:val="center"/>
          </w:tcPr>
          <w:p w14:paraId="22F9D1A6">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2038" w:type="dxa"/>
            <w:tcBorders>
              <w:right w:val="single" w:color="auto" w:sz="4" w:space="0"/>
            </w:tcBorders>
            <w:noWrap w:val="0"/>
            <w:vAlign w:val="center"/>
          </w:tcPr>
          <w:p w14:paraId="33DC6317">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产品名称</w:t>
            </w:r>
          </w:p>
        </w:tc>
        <w:tc>
          <w:tcPr>
            <w:tcW w:w="1242" w:type="dxa"/>
            <w:tcBorders>
              <w:left w:val="single" w:color="auto" w:sz="4" w:space="0"/>
            </w:tcBorders>
            <w:noWrap w:val="0"/>
            <w:vAlign w:val="center"/>
          </w:tcPr>
          <w:p w14:paraId="0D7514FB">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规格型号</w:t>
            </w:r>
          </w:p>
          <w:p w14:paraId="7D05C72C">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品牌</w:t>
            </w:r>
          </w:p>
        </w:tc>
        <w:tc>
          <w:tcPr>
            <w:tcW w:w="784" w:type="dxa"/>
            <w:noWrap w:val="0"/>
            <w:vAlign w:val="center"/>
          </w:tcPr>
          <w:p w14:paraId="19441922">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单位</w:t>
            </w:r>
          </w:p>
        </w:tc>
        <w:tc>
          <w:tcPr>
            <w:tcW w:w="782" w:type="dxa"/>
            <w:noWrap w:val="0"/>
            <w:vAlign w:val="center"/>
          </w:tcPr>
          <w:p w14:paraId="6A5675A3">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数量</w:t>
            </w:r>
          </w:p>
        </w:tc>
        <w:tc>
          <w:tcPr>
            <w:tcW w:w="898" w:type="dxa"/>
            <w:tcBorders>
              <w:left w:val="single" w:color="auto" w:sz="4" w:space="0"/>
            </w:tcBorders>
            <w:noWrap w:val="0"/>
            <w:vAlign w:val="center"/>
          </w:tcPr>
          <w:p w14:paraId="0920AB9D">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单 价（元）</w:t>
            </w:r>
          </w:p>
        </w:tc>
        <w:tc>
          <w:tcPr>
            <w:tcW w:w="972" w:type="dxa"/>
            <w:noWrap w:val="0"/>
            <w:vAlign w:val="center"/>
          </w:tcPr>
          <w:p w14:paraId="394871EA">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合 价（元）</w:t>
            </w:r>
          </w:p>
        </w:tc>
        <w:tc>
          <w:tcPr>
            <w:tcW w:w="1494" w:type="dxa"/>
            <w:noWrap w:val="0"/>
            <w:vAlign w:val="center"/>
          </w:tcPr>
          <w:p w14:paraId="2B6C7CD3">
            <w:pPr>
              <w:keepNext w:val="0"/>
              <w:keepLines w:val="0"/>
              <w:suppressLineNumbers w:val="0"/>
              <w:spacing w:before="0" w:beforeAutospacing="0" w:after="0" w:afterAutospacing="0" w:line="300" w:lineRule="exact"/>
              <w:ind w:left="-80" w:leftChars="-38" w:right="-94" w:rightChars="-45"/>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备注</w:t>
            </w:r>
          </w:p>
        </w:tc>
      </w:tr>
      <w:tr w14:paraId="4A695D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14:paraId="6F85FCC2">
            <w:pPr>
              <w:keepNext w:val="0"/>
              <w:keepLines w:val="0"/>
              <w:suppressLineNumbers w:val="0"/>
              <w:spacing w:before="0" w:beforeAutospacing="0" w:after="0" w:afterAutospacing="0"/>
              <w:ind w:left="0" w:right="0"/>
              <w:jc w:val="center"/>
              <w:textAlignment w:val="baseline"/>
              <w:rPr>
                <w:rFonts w:hint="eastAsia" w:ascii="宋体" w:hAnsi="宋体"/>
                <w:color w:val="auto"/>
                <w:szCs w:val="21"/>
                <w:highlight w:val="none"/>
              </w:rPr>
            </w:pPr>
            <w:r>
              <w:rPr>
                <w:rFonts w:hint="eastAsia" w:ascii="宋体" w:hAnsi="宋体"/>
                <w:color w:val="auto"/>
                <w:szCs w:val="21"/>
                <w:highlight w:val="none"/>
              </w:rPr>
              <w:t>1</w:t>
            </w:r>
          </w:p>
        </w:tc>
        <w:tc>
          <w:tcPr>
            <w:tcW w:w="2038" w:type="dxa"/>
            <w:tcBorders>
              <w:right w:val="single" w:color="auto" w:sz="4" w:space="0"/>
            </w:tcBorders>
            <w:noWrap w:val="0"/>
            <w:vAlign w:val="center"/>
          </w:tcPr>
          <w:p w14:paraId="44EC638A">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242" w:type="dxa"/>
            <w:tcBorders>
              <w:left w:val="single" w:color="auto" w:sz="4" w:space="0"/>
            </w:tcBorders>
            <w:noWrap w:val="0"/>
            <w:vAlign w:val="center"/>
          </w:tcPr>
          <w:p w14:paraId="1B4898EA">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4" w:type="dxa"/>
            <w:noWrap w:val="0"/>
            <w:vAlign w:val="center"/>
          </w:tcPr>
          <w:p w14:paraId="4BCC86A7">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2" w:type="dxa"/>
            <w:noWrap w:val="0"/>
            <w:vAlign w:val="center"/>
          </w:tcPr>
          <w:p w14:paraId="3136069F">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898" w:type="dxa"/>
            <w:tcBorders>
              <w:left w:val="single" w:color="auto" w:sz="4" w:space="0"/>
            </w:tcBorders>
            <w:noWrap w:val="0"/>
            <w:vAlign w:val="center"/>
          </w:tcPr>
          <w:p w14:paraId="1F427BFE">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972" w:type="dxa"/>
            <w:noWrap w:val="0"/>
            <w:vAlign w:val="center"/>
          </w:tcPr>
          <w:p w14:paraId="5B47A0BF">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c>
          <w:tcPr>
            <w:tcW w:w="1494" w:type="dxa"/>
            <w:noWrap w:val="0"/>
            <w:vAlign w:val="top"/>
          </w:tcPr>
          <w:p w14:paraId="281708B7">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r w14:paraId="7F3F96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14:paraId="6FCB37F9">
            <w:pPr>
              <w:keepNext w:val="0"/>
              <w:keepLines w:val="0"/>
              <w:suppressLineNumbers w:val="0"/>
              <w:spacing w:before="0" w:beforeAutospacing="0" w:after="0" w:afterAutospacing="0"/>
              <w:ind w:left="0" w:right="0"/>
              <w:jc w:val="center"/>
              <w:textAlignment w:val="baseline"/>
              <w:rPr>
                <w:rFonts w:hint="eastAsia" w:ascii="宋体" w:hAnsi="宋体"/>
                <w:color w:val="auto"/>
                <w:szCs w:val="21"/>
                <w:highlight w:val="none"/>
              </w:rPr>
            </w:pPr>
            <w:r>
              <w:rPr>
                <w:rFonts w:hint="eastAsia" w:ascii="宋体" w:hAnsi="宋体"/>
                <w:color w:val="auto"/>
                <w:szCs w:val="21"/>
                <w:highlight w:val="none"/>
              </w:rPr>
              <w:t>2</w:t>
            </w:r>
          </w:p>
        </w:tc>
        <w:tc>
          <w:tcPr>
            <w:tcW w:w="2038" w:type="dxa"/>
            <w:tcBorders>
              <w:right w:val="single" w:color="auto" w:sz="4" w:space="0"/>
            </w:tcBorders>
            <w:noWrap w:val="0"/>
            <w:vAlign w:val="center"/>
          </w:tcPr>
          <w:p w14:paraId="651B4561">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242" w:type="dxa"/>
            <w:tcBorders>
              <w:left w:val="single" w:color="auto" w:sz="4" w:space="0"/>
            </w:tcBorders>
            <w:noWrap w:val="0"/>
            <w:vAlign w:val="center"/>
          </w:tcPr>
          <w:p w14:paraId="15A9E880">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4" w:type="dxa"/>
            <w:noWrap w:val="0"/>
            <w:vAlign w:val="center"/>
          </w:tcPr>
          <w:p w14:paraId="1BECD865">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2" w:type="dxa"/>
            <w:noWrap w:val="0"/>
            <w:vAlign w:val="center"/>
          </w:tcPr>
          <w:p w14:paraId="7C683804">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898" w:type="dxa"/>
            <w:tcBorders>
              <w:left w:val="single" w:color="auto" w:sz="4" w:space="0"/>
            </w:tcBorders>
            <w:noWrap w:val="0"/>
            <w:vAlign w:val="center"/>
          </w:tcPr>
          <w:p w14:paraId="70C452DE">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972" w:type="dxa"/>
            <w:noWrap w:val="0"/>
            <w:vAlign w:val="center"/>
          </w:tcPr>
          <w:p w14:paraId="4222D860">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c>
          <w:tcPr>
            <w:tcW w:w="1494" w:type="dxa"/>
            <w:noWrap w:val="0"/>
            <w:vAlign w:val="top"/>
          </w:tcPr>
          <w:p w14:paraId="526E6B2C">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r w14:paraId="470DFC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14:paraId="01B31052">
            <w:pPr>
              <w:keepNext w:val="0"/>
              <w:keepLines w:val="0"/>
              <w:suppressLineNumbers w:val="0"/>
              <w:spacing w:before="0" w:beforeAutospacing="0" w:after="0" w:afterAutospacing="0"/>
              <w:ind w:left="0" w:right="0"/>
              <w:jc w:val="center"/>
              <w:textAlignment w:val="baseline"/>
              <w:rPr>
                <w:rFonts w:hint="eastAsia" w:ascii="宋体" w:hAnsi="宋体"/>
                <w:color w:val="auto"/>
                <w:szCs w:val="21"/>
                <w:highlight w:val="none"/>
              </w:rPr>
            </w:pPr>
            <w:r>
              <w:rPr>
                <w:rFonts w:hint="eastAsia" w:ascii="宋体" w:hAnsi="宋体"/>
                <w:color w:val="auto"/>
                <w:szCs w:val="21"/>
                <w:highlight w:val="none"/>
              </w:rPr>
              <w:t>3</w:t>
            </w:r>
          </w:p>
        </w:tc>
        <w:tc>
          <w:tcPr>
            <w:tcW w:w="2038" w:type="dxa"/>
            <w:tcBorders>
              <w:right w:val="single" w:color="auto" w:sz="4" w:space="0"/>
            </w:tcBorders>
            <w:noWrap w:val="0"/>
            <w:vAlign w:val="center"/>
          </w:tcPr>
          <w:p w14:paraId="5F6D0FBE">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242" w:type="dxa"/>
            <w:tcBorders>
              <w:left w:val="single" w:color="auto" w:sz="4" w:space="0"/>
            </w:tcBorders>
            <w:noWrap w:val="0"/>
            <w:vAlign w:val="center"/>
          </w:tcPr>
          <w:p w14:paraId="3E672C4A">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4" w:type="dxa"/>
            <w:noWrap w:val="0"/>
            <w:vAlign w:val="center"/>
          </w:tcPr>
          <w:p w14:paraId="7976DC4D">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2" w:type="dxa"/>
            <w:noWrap w:val="0"/>
            <w:vAlign w:val="center"/>
          </w:tcPr>
          <w:p w14:paraId="53A5632D">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898" w:type="dxa"/>
            <w:tcBorders>
              <w:left w:val="single" w:color="auto" w:sz="4" w:space="0"/>
            </w:tcBorders>
            <w:noWrap w:val="0"/>
            <w:vAlign w:val="center"/>
          </w:tcPr>
          <w:p w14:paraId="4A7B29D8">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972" w:type="dxa"/>
            <w:noWrap w:val="0"/>
            <w:vAlign w:val="center"/>
          </w:tcPr>
          <w:p w14:paraId="748FF803">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c>
          <w:tcPr>
            <w:tcW w:w="1494" w:type="dxa"/>
            <w:noWrap w:val="0"/>
            <w:vAlign w:val="top"/>
          </w:tcPr>
          <w:p w14:paraId="5CB2F5A8">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r w14:paraId="20B8AD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14:paraId="46E24905">
            <w:pPr>
              <w:keepNext w:val="0"/>
              <w:keepLines w:val="0"/>
              <w:suppressLineNumbers w:val="0"/>
              <w:spacing w:before="0" w:beforeAutospacing="0" w:after="0" w:afterAutospacing="0"/>
              <w:ind w:left="0" w:right="0"/>
              <w:jc w:val="center"/>
              <w:textAlignment w:val="baseline"/>
              <w:rPr>
                <w:rFonts w:hint="eastAsia" w:ascii="宋体" w:hAnsi="宋体"/>
                <w:color w:val="auto"/>
                <w:szCs w:val="21"/>
                <w:highlight w:val="none"/>
              </w:rPr>
            </w:pPr>
            <w:r>
              <w:rPr>
                <w:rFonts w:hint="eastAsia" w:ascii="宋体" w:hAnsi="宋体"/>
                <w:color w:val="auto"/>
                <w:szCs w:val="21"/>
                <w:highlight w:val="none"/>
              </w:rPr>
              <w:t>...</w:t>
            </w:r>
          </w:p>
        </w:tc>
        <w:tc>
          <w:tcPr>
            <w:tcW w:w="2038" w:type="dxa"/>
            <w:tcBorders>
              <w:right w:val="single" w:color="auto" w:sz="4" w:space="0"/>
            </w:tcBorders>
            <w:noWrap w:val="0"/>
            <w:vAlign w:val="center"/>
          </w:tcPr>
          <w:p w14:paraId="4512814C">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242" w:type="dxa"/>
            <w:tcBorders>
              <w:left w:val="single" w:color="auto" w:sz="4" w:space="0"/>
            </w:tcBorders>
            <w:noWrap w:val="0"/>
            <w:vAlign w:val="center"/>
          </w:tcPr>
          <w:p w14:paraId="3E15A69B">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4" w:type="dxa"/>
            <w:noWrap w:val="0"/>
            <w:vAlign w:val="center"/>
          </w:tcPr>
          <w:p w14:paraId="000CBDFB">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2" w:type="dxa"/>
            <w:noWrap w:val="0"/>
            <w:vAlign w:val="center"/>
          </w:tcPr>
          <w:p w14:paraId="31959C6B">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898" w:type="dxa"/>
            <w:tcBorders>
              <w:left w:val="single" w:color="auto" w:sz="4" w:space="0"/>
            </w:tcBorders>
            <w:noWrap w:val="0"/>
            <w:vAlign w:val="center"/>
          </w:tcPr>
          <w:p w14:paraId="0575E6C4">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972" w:type="dxa"/>
            <w:noWrap w:val="0"/>
            <w:vAlign w:val="center"/>
          </w:tcPr>
          <w:p w14:paraId="6BD3C2B0">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c>
          <w:tcPr>
            <w:tcW w:w="1494" w:type="dxa"/>
            <w:noWrap w:val="0"/>
            <w:vAlign w:val="top"/>
          </w:tcPr>
          <w:p w14:paraId="44CD6B28">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r w14:paraId="742A65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8853" w:type="dxa"/>
            <w:gridSpan w:val="8"/>
            <w:noWrap w:val="0"/>
            <w:vAlign w:val="top"/>
          </w:tcPr>
          <w:p w14:paraId="7F12CD93">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r>
              <w:rPr>
                <w:rFonts w:hint="eastAsia" w:ascii="宋体" w:hAnsi="宋体"/>
                <w:b/>
                <w:color w:val="auto"/>
                <w:sz w:val="24"/>
                <w:highlight w:val="none"/>
              </w:rPr>
              <w:t>投标报价：</w:t>
            </w:r>
            <w:r>
              <w:rPr>
                <w:rFonts w:hint="eastAsia" w:ascii="宋体" w:hAnsi="宋体"/>
                <w:b/>
                <w:color w:val="auto"/>
                <w:sz w:val="24"/>
                <w:highlight w:val="none"/>
                <w:u w:val="single"/>
              </w:rPr>
              <w:t xml:space="preserve">               </w:t>
            </w:r>
            <w:r>
              <w:rPr>
                <w:rFonts w:hint="eastAsia" w:ascii="宋体" w:hAnsi="宋体"/>
                <w:b/>
                <w:color w:val="auto"/>
                <w:sz w:val="24"/>
                <w:highlight w:val="none"/>
              </w:rPr>
              <w:t>元；小写：</w:t>
            </w:r>
            <w:r>
              <w:rPr>
                <w:rFonts w:hint="eastAsia" w:ascii="宋体" w:hAnsi="宋体"/>
                <w:b/>
                <w:color w:val="auto"/>
                <w:sz w:val="24"/>
                <w:highlight w:val="none"/>
                <w:u w:val="single"/>
              </w:rPr>
              <w:t xml:space="preserve">         </w:t>
            </w:r>
            <w:r>
              <w:rPr>
                <w:rFonts w:hint="eastAsia" w:ascii="宋体" w:hAnsi="宋体"/>
                <w:b/>
                <w:color w:val="auto"/>
                <w:sz w:val="24"/>
                <w:highlight w:val="none"/>
              </w:rPr>
              <w:t xml:space="preserve"> 元；（填入投标函和开标一览表）</w:t>
            </w:r>
          </w:p>
        </w:tc>
      </w:tr>
    </w:tbl>
    <w:p w14:paraId="2701E78E">
      <w:pPr>
        <w:keepNext w:val="0"/>
        <w:keepLines w:val="0"/>
        <w:pageBreakBefore w:val="0"/>
        <w:kinsoku/>
        <w:wordWrap/>
        <w:overflowPunct/>
        <w:topLinePunct w:val="0"/>
        <w:autoSpaceDE/>
        <w:autoSpaceDN/>
        <w:bidi w:val="0"/>
        <w:adjustRightInd/>
        <w:snapToGrid/>
        <w:spacing w:beforeAutospacing="0" w:afterAutospacing="0" w:line="440" w:lineRule="exact"/>
        <w:jc w:val="left"/>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lang w:val="zh-CN"/>
        </w:rPr>
        <w:t>注：</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val="zh-CN"/>
        </w:rPr>
        <w:t>所有投标只能选择一种方案，单价和合价的报价只能是唯一，且须列出详细的分项报价。</w:t>
      </w:r>
      <w:r>
        <w:rPr>
          <w:rFonts w:hint="eastAsia" w:ascii="宋体" w:hAnsi="宋体" w:eastAsia="宋体" w:cs="宋体"/>
          <w:b/>
          <w:color w:val="auto"/>
          <w:szCs w:val="21"/>
          <w:highlight w:val="none"/>
        </w:rPr>
        <w:t>（与采购清单项相一致，不得缺项，否则视同包含在其他项目。）</w:t>
      </w:r>
    </w:p>
    <w:p w14:paraId="43B9EFC7">
      <w:pPr>
        <w:keepNext w:val="0"/>
        <w:keepLines w:val="0"/>
        <w:pageBreakBefore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sz w:val="24"/>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val="zh-CN"/>
        </w:rPr>
        <w:t>投标报价采用综合单价法，</w:t>
      </w:r>
      <w:r>
        <w:rPr>
          <w:rFonts w:hint="eastAsia" w:ascii="宋体" w:hAnsi="宋体" w:eastAsia="宋体" w:cs="宋体"/>
          <w:b/>
          <w:bCs/>
          <w:color w:val="auto"/>
          <w:sz w:val="21"/>
          <w:szCs w:val="21"/>
          <w:highlight w:val="none"/>
        </w:rPr>
        <w:t>综合单价包括：</w:t>
      </w:r>
      <w:r>
        <w:rPr>
          <w:rFonts w:hint="eastAsia" w:ascii="宋体" w:hAnsi="宋体" w:eastAsia="宋体" w:cs="宋体"/>
          <w:b/>
          <w:bCs/>
          <w:color w:val="auto"/>
          <w:sz w:val="21"/>
          <w:szCs w:val="21"/>
          <w:highlight w:val="none"/>
          <w:lang w:val="en-US" w:eastAsia="zh-CN"/>
        </w:rPr>
        <w:t>设备费、</w:t>
      </w:r>
      <w:r>
        <w:rPr>
          <w:rFonts w:hint="eastAsia" w:ascii="宋体" w:hAnsi="宋体" w:eastAsia="宋体" w:cs="宋体"/>
          <w:b/>
          <w:bCs/>
          <w:color w:val="auto"/>
          <w:sz w:val="21"/>
          <w:szCs w:val="21"/>
          <w:highlight w:val="none"/>
        </w:rPr>
        <w:t>材料费</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主材和辅材）</w:t>
      </w:r>
      <w:r>
        <w:rPr>
          <w:rFonts w:hint="eastAsia" w:ascii="宋体" w:hAnsi="宋体" w:eastAsia="宋体" w:cs="宋体"/>
          <w:b/>
          <w:bCs/>
          <w:color w:val="auto"/>
          <w:sz w:val="21"/>
          <w:szCs w:val="21"/>
          <w:highlight w:val="none"/>
        </w:rPr>
        <w:t>、装卸费、运输费、</w:t>
      </w:r>
      <w:r>
        <w:rPr>
          <w:rFonts w:hint="eastAsia" w:ascii="宋体" w:hAnsi="宋体" w:eastAsia="宋体" w:cs="宋体"/>
          <w:b/>
          <w:bCs/>
          <w:color w:val="auto"/>
          <w:sz w:val="21"/>
          <w:szCs w:val="21"/>
          <w:highlight w:val="none"/>
          <w:lang w:val="en-US" w:eastAsia="zh-CN"/>
        </w:rPr>
        <w:t>安装费、</w:t>
      </w:r>
      <w:r>
        <w:rPr>
          <w:rFonts w:hint="eastAsia" w:ascii="宋体" w:hAnsi="宋体" w:cs="宋体"/>
          <w:b/>
          <w:bCs/>
          <w:color w:val="auto"/>
          <w:szCs w:val="21"/>
          <w:highlight w:val="none"/>
          <w:lang w:val="en-US" w:eastAsia="zh-CN"/>
        </w:rPr>
        <w:t>实施过程中所需第三方检测等费用、</w:t>
      </w:r>
      <w:r>
        <w:rPr>
          <w:rFonts w:hint="eastAsia" w:ascii="宋体" w:hAnsi="宋体" w:eastAsia="宋体" w:cs="宋体"/>
          <w:b/>
          <w:bCs/>
          <w:color w:val="auto"/>
          <w:sz w:val="21"/>
          <w:szCs w:val="21"/>
          <w:highlight w:val="none"/>
        </w:rPr>
        <w:t>管理费、利润、风险费用、招标代理费、</w:t>
      </w:r>
      <w:r>
        <w:rPr>
          <w:rFonts w:hint="eastAsia" w:ascii="宋体" w:hAnsi="宋体" w:eastAsia="宋体" w:cs="宋体"/>
          <w:b/>
          <w:bCs/>
          <w:color w:val="auto"/>
          <w:sz w:val="21"/>
          <w:szCs w:val="21"/>
          <w:highlight w:val="none"/>
          <w:lang w:eastAsia="zh-CN"/>
        </w:rPr>
        <w:t>检测费、</w:t>
      </w:r>
      <w:r>
        <w:rPr>
          <w:rFonts w:hint="eastAsia" w:ascii="宋体" w:hAnsi="宋体" w:eastAsia="宋体" w:cs="宋体"/>
          <w:b/>
          <w:bCs/>
          <w:color w:val="auto"/>
          <w:sz w:val="21"/>
          <w:szCs w:val="21"/>
          <w:highlight w:val="none"/>
        </w:rPr>
        <w:t>调试、验收、</w:t>
      </w:r>
      <w:r>
        <w:rPr>
          <w:rFonts w:hint="eastAsia" w:ascii="宋体" w:hAnsi="宋体" w:eastAsia="宋体" w:cs="宋体"/>
          <w:b/>
          <w:bCs/>
          <w:color w:val="auto"/>
          <w:sz w:val="21"/>
          <w:szCs w:val="21"/>
          <w:highlight w:val="none"/>
          <w:lang w:val="en-US" w:eastAsia="zh-CN"/>
        </w:rPr>
        <w:t>评审、</w:t>
      </w:r>
      <w:r>
        <w:rPr>
          <w:rFonts w:hint="eastAsia" w:ascii="宋体" w:hAnsi="宋体" w:eastAsia="宋体" w:cs="宋体"/>
          <w:b/>
          <w:bCs/>
          <w:color w:val="auto"/>
          <w:sz w:val="21"/>
          <w:szCs w:val="21"/>
          <w:highlight w:val="none"/>
        </w:rPr>
        <w:t>培训及后期服务及国家对中标单位征收的各种税费等所有一切费用，综合单价今后将不作任何调整。</w:t>
      </w:r>
    </w:p>
    <w:p w14:paraId="029A0F78">
      <w:pPr>
        <w:spacing w:line="360" w:lineRule="auto"/>
        <w:rPr>
          <w:rFonts w:hint="eastAsia" w:ascii="宋体"/>
          <w:color w:val="auto"/>
          <w:sz w:val="24"/>
          <w:highlight w:val="none"/>
        </w:rPr>
      </w:pPr>
    </w:p>
    <w:p w14:paraId="4B7FEDB1">
      <w:pPr>
        <w:spacing w:line="360" w:lineRule="auto"/>
        <w:rPr>
          <w:rFonts w:hint="eastAsia" w:ascii="宋体"/>
          <w:color w:val="auto"/>
          <w:sz w:val="24"/>
          <w:highlight w:val="none"/>
        </w:rPr>
      </w:pPr>
    </w:p>
    <w:p w14:paraId="1592577F">
      <w:pPr>
        <w:spacing w:line="360" w:lineRule="auto"/>
        <w:rPr>
          <w:rFonts w:hint="eastAsia" w:ascii="宋体"/>
          <w:color w:val="auto"/>
          <w:sz w:val="24"/>
          <w:highlight w:val="none"/>
        </w:rPr>
      </w:pPr>
    </w:p>
    <w:p w14:paraId="741A7B05">
      <w:pPr>
        <w:spacing w:line="360" w:lineRule="auto"/>
        <w:rPr>
          <w:rFonts w:hint="eastAsia" w:ascii="宋体"/>
          <w:color w:val="auto"/>
          <w:sz w:val="24"/>
          <w:highlight w:val="none"/>
        </w:rPr>
      </w:pPr>
      <w:r>
        <w:rPr>
          <w:rFonts w:hint="eastAsia" w:ascii="宋体"/>
          <w:color w:val="auto"/>
          <w:sz w:val="24"/>
          <w:highlight w:val="none"/>
        </w:rPr>
        <w:t>投标人名称（盖单位章）：</w:t>
      </w:r>
      <w:r>
        <w:rPr>
          <w:rFonts w:hint="eastAsia" w:ascii="宋体"/>
          <w:color w:val="auto"/>
          <w:sz w:val="24"/>
          <w:highlight w:val="none"/>
          <w:u w:val="single"/>
        </w:rPr>
        <w:t xml:space="preserve">                                </w:t>
      </w:r>
    </w:p>
    <w:p w14:paraId="76A2C30F">
      <w:pPr>
        <w:spacing w:line="360" w:lineRule="auto"/>
        <w:rPr>
          <w:rFonts w:hint="default" w:ascii="宋体" w:eastAsia="宋体"/>
          <w:color w:val="auto"/>
          <w:sz w:val="24"/>
          <w:highlight w:val="none"/>
          <w:u w:val="single"/>
          <w:lang w:val="en-US" w:eastAsia="zh-CN"/>
        </w:rPr>
      </w:pPr>
      <w:r>
        <w:rPr>
          <w:rFonts w:hint="eastAsia" w:ascii="宋体"/>
          <w:color w:val="auto"/>
          <w:sz w:val="24"/>
          <w:highlight w:val="none"/>
        </w:rPr>
        <w:t>法定代表人 (签章)：</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p>
    <w:p w14:paraId="208D5E35">
      <w:pPr>
        <w:spacing w:line="400" w:lineRule="exact"/>
        <w:rPr>
          <w:rFonts w:hint="eastAsia" w:ascii="宋体"/>
          <w:b/>
          <w:color w:val="auto"/>
          <w:szCs w:val="21"/>
          <w:highlight w:val="none"/>
        </w:rPr>
      </w:pPr>
      <w:r>
        <w:rPr>
          <w:rFonts w:hint="eastAsia" w:ascii="宋体"/>
          <w:color w:val="auto"/>
          <w:sz w:val="24"/>
          <w:highlight w:val="none"/>
        </w:rPr>
        <w:t>日    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26399771">
      <w:pPr>
        <w:pStyle w:val="23"/>
        <w:widowControl/>
        <w:spacing w:before="0" w:beforeAutospacing="0" w:after="0" w:afterAutospacing="0" w:line="375" w:lineRule="atLeast"/>
        <w:ind w:left="0" w:right="0"/>
        <w:jc w:val="center"/>
        <w:outlineLvl w:val="0"/>
        <w:rPr>
          <w:b/>
          <w:bCs w:val="0"/>
          <w:sz w:val="32"/>
          <w:szCs w:val="32"/>
          <w:highlight w:val="none"/>
          <w:lang w:eastAsia="zh-CN"/>
        </w:rPr>
      </w:pPr>
    </w:p>
    <w:p w14:paraId="1D6F7451">
      <w:pPr>
        <w:pStyle w:val="23"/>
        <w:widowControl/>
        <w:spacing w:before="0" w:beforeAutospacing="0" w:after="0" w:afterAutospacing="0" w:line="375" w:lineRule="atLeast"/>
        <w:ind w:left="0" w:right="0"/>
        <w:jc w:val="center"/>
        <w:outlineLvl w:val="0"/>
        <w:rPr>
          <w:b/>
          <w:bCs w:val="0"/>
          <w:sz w:val="32"/>
          <w:szCs w:val="32"/>
          <w:highlight w:val="none"/>
          <w:lang w:eastAsia="zh-CN"/>
        </w:rPr>
      </w:pPr>
    </w:p>
    <w:p w14:paraId="27320C8F">
      <w:pPr>
        <w:pStyle w:val="23"/>
        <w:widowControl/>
        <w:spacing w:before="0" w:beforeAutospacing="0" w:after="0" w:afterAutospacing="0" w:line="375" w:lineRule="atLeast"/>
        <w:ind w:left="0" w:right="0"/>
        <w:jc w:val="center"/>
        <w:outlineLvl w:val="0"/>
        <w:rPr>
          <w:b/>
          <w:bCs w:val="0"/>
          <w:sz w:val="32"/>
          <w:szCs w:val="32"/>
          <w:highlight w:val="none"/>
          <w:lang w:eastAsia="zh-CN"/>
        </w:rPr>
      </w:pPr>
    </w:p>
    <w:p w14:paraId="72E24395">
      <w:pPr>
        <w:pStyle w:val="23"/>
        <w:widowControl/>
        <w:spacing w:before="0" w:beforeAutospacing="0" w:after="0" w:afterAutospacing="0" w:line="375" w:lineRule="atLeast"/>
        <w:ind w:left="0" w:right="0"/>
        <w:jc w:val="center"/>
        <w:outlineLvl w:val="0"/>
        <w:rPr>
          <w:b/>
          <w:bCs w:val="0"/>
          <w:sz w:val="32"/>
          <w:szCs w:val="32"/>
          <w:highlight w:val="none"/>
          <w:lang w:eastAsia="zh-CN"/>
        </w:rPr>
      </w:pPr>
    </w:p>
    <w:p w14:paraId="7917696C">
      <w:pPr>
        <w:pStyle w:val="23"/>
        <w:widowControl/>
        <w:spacing w:before="0" w:beforeAutospacing="0" w:after="0" w:afterAutospacing="0" w:line="375" w:lineRule="atLeast"/>
        <w:ind w:left="0" w:right="0"/>
        <w:jc w:val="both"/>
        <w:outlineLvl w:val="0"/>
        <w:rPr>
          <w:b/>
          <w:bCs w:val="0"/>
          <w:sz w:val="32"/>
          <w:szCs w:val="32"/>
          <w:highlight w:val="none"/>
          <w:lang w:eastAsia="zh-CN"/>
        </w:rPr>
      </w:pPr>
    </w:p>
    <w:bookmarkEnd w:id="68"/>
    <w:p w14:paraId="795DF502">
      <w:pPr>
        <w:pStyle w:val="5"/>
        <w:spacing w:before="200" w:after="200" w:line="600" w:lineRule="exact"/>
        <w:jc w:val="center"/>
        <w:rPr>
          <w:rFonts w:hint="eastAsia" w:ascii="黑体" w:hAnsi="黑体" w:eastAsia="黑体"/>
          <w:color w:val="000000"/>
          <w:sz w:val="28"/>
          <w:szCs w:val="28"/>
        </w:rPr>
      </w:pPr>
      <w:bookmarkStart w:id="69" w:name="_Toc95223548"/>
      <w:r>
        <w:rPr>
          <w:rFonts w:hint="eastAsia" w:ascii="黑体" w:hAnsi="黑体" w:eastAsia="黑体"/>
          <w:color w:val="000000"/>
          <w:sz w:val="36"/>
          <w:szCs w:val="28"/>
        </w:rPr>
        <w:t>附件1 关于联合惩戒失信行为加强信用查询管理的通知</w:t>
      </w:r>
      <w:bookmarkEnd w:id="69"/>
    </w:p>
    <w:p w14:paraId="48FC77DC">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一、失信行为联合惩戒的范围和查询渠道</w:t>
      </w:r>
    </w:p>
    <w:p w14:paraId="3BF37B3E">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在我市公共资源交易活动中对存在下列失信行为的投标人、法定代表人及其项目经理（建造师）实施联合惩戒，禁止参与我市公共资源交易活动。</w:t>
      </w:r>
    </w:p>
    <w:p w14:paraId="6135E543">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（一）工程建设项目</w:t>
      </w:r>
    </w:p>
    <w:p w14:paraId="10179428">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1、“信用中国”网站（www.creditchina.gov.cn）查询以下失信行为：</w:t>
      </w:r>
    </w:p>
    <w:p w14:paraId="7CBE41BE">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①投标人被人民法院列入失信被执行人的；</w:t>
      </w:r>
    </w:p>
    <w:p w14:paraId="23AF1882">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②投标人被税务部门列入重大税收违法案件当事人的；</w:t>
      </w:r>
    </w:p>
    <w:p w14:paraId="7B7ED54D">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③投标人被人力资源社会保障主管部门列入拖欠农民工工资“黑名单”的；</w:t>
      </w:r>
    </w:p>
    <w:p w14:paraId="032EFE8B">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④在“信用中国”网站上披露的仍在公示期的严重失信行为的。</w:t>
      </w:r>
    </w:p>
    <w:p w14:paraId="14E7FE35">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2、国家企业信用信息公示系统网站（</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HYPERLINK "http://www.gsxt.gov.cn）查询"</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www.gsxt.gov.cn）</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查询以下失信行为：</w:t>
      </w:r>
    </w:p>
    <w:p w14:paraId="08501668">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①被市场监督管理部门列入经营异常名录或者严重违法企业名单的。</w:t>
      </w:r>
    </w:p>
    <w:p w14:paraId="5D737FF3">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3、滁州市公共资源交易中心网站（http://ggzy.chuzhou.gov.cn/）查询以下失信行为：</w:t>
      </w:r>
    </w:p>
    <w:p w14:paraId="2FFDCDD2">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①被滁州市县两级公管部门取消在一定期限内的投标资格且在取消期限内的；</w:t>
      </w:r>
    </w:p>
    <w:p w14:paraId="5DEF325D">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②被滁州市县两级公管部门记入不良行为记录或者信用信息记录，且在披露期内的。</w:t>
      </w:r>
    </w:p>
    <w:p w14:paraId="76C82389">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4、由竞争主体进行承诺，不进行现场网上信用查询的失信行为：</w:t>
      </w:r>
    </w:p>
    <w:p w14:paraId="36EFC775">
      <w:pPr>
        <w:adjustRightInd w:val="0"/>
        <w:snapToGrid w:val="0"/>
        <w:spacing w:line="560" w:lineRule="exact"/>
        <w:ind w:firstLine="560" w:firstLineChars="200"/>
        <w:rPr>
          <w:rFonts w:hint="eastAsia" w:ascii="仿宋_GB2312" w:hAnsi="宋体" w:eastAsia="仿宋_GB2312" w:cs="楷体"/>
          <w:color w:val="000000"/>
          <w:sz w:val="28"/>
          <w:szCs w:val="28"/>
        </w:rPr>
      </w:pPr>
      <w:r>
        <w:rPr>
          <w:rFonts w:hint="eastAsia" w:ascii="仿宋_GB2312" w:hAnsi="宋体" w:eastAsia="仿宋_GB2312"/>
          <w:color w:val="000000"/>
          <w:sz w:val="28"/>
          <w:szCs w:val="28"/>
        </w:rPr>
        <w:t>①</w:t>
      </w:r>
      <w:r>
        <w:rPr>
          <w:rFonts w:hint="eastAsia" w:ascii="仿宋_GB2312" w:hAnsi="宋体" w:eastAsia="仿宋_GB2312" w:cs="楷体"/>
          <w:color w:val="000000"/>
          <w:sz w:val="28"/>
          <w:szCs w:val="28"/>
        </w:rPr>
        <w:t>前三年有行贿犯罪行为的单位和个人；</w:t>
      </w:r>
    </w:p>
    <w:p w14:paraId="3EDE92D7">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②被滁州市县两级各行业主管部门取消在一定期限内的投标资格且在取消期限内的；</w:t>
      </w:r>
    </w:p>
    <w:p w14:paraId="36106108">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③因拖欠农民工工资被县级及以上有关行政主管部门限制投标资格且在限制期限内的。</w:t>
      </w:r>
    </w:p>
    <w:p w14:paraId="24B5D20A">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④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p w14:paraId="1824BC7A">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（二）政府采购项目</w:t>
      </w:r>
    </w:p>
    <w:p w14:paraId="6E2B0083">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1、“信用中国”网站（www.creditchina.gov.cn）查询以下失信行为：</w:t>
      </w:r>
    </w:p>
    <w:p w14:paraId="2C7ED786">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①投标人被人民法院列入失信被执行人的；</w:t>
      </w:r>
    </w:p>
    <w:p w14:paraId="1C2289B9">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②投标人被税务部门列入重大税收违法案件当事人的；</w:t>
      </w:r>
    </w:p>
    <w:p w14:paraId="27AA653F">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③在“信用中国”网站上披露的仍在公示期的严重失信行为的。</w:t>
      </w:r>
    </w:p>
    <w:p w14:paraId="5057184E">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2、国家企业信用信息公示系统网站（</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HYPERLINK "http://www.gsxt.gov.cn）查询"</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www.gsxt.gov.cn）</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查询以下失信行为：</w:t>
      </w:r>
    </w:p>
    <w:p w14:paraId="7F02D3B6">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①被市场监督管理部门列入经营异常名录或者严重违法企业名单的。</w:t>
      </w:r>
    </w:p>
    <w:p w14:paraId="7BF22FB3">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3、中国政府采购网站（</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"http://www.ccgp.gov.cn" </w:instrText>
      </w:r>
      <w:r>
        <w:rPr>
          <w:rFonts w:hint="eastAsia" w:ascii="仿宋_GB2312" w:hAnsi="宋体" w:eastAsia="仿宋_GB2312"/>
          <w:color w:val="000000"/>
          <w:sz w:val="28"/>
          <w:szCs w:val="28"/>
        </w:rPr>
        <w:fldChar w:fldCharType="separate"/>
      </w:r>
      <w:r>
        <w:rPr>
          <w:rStyle w:val="32"/>
          <w:rFonts w:hint="eastAsia" w:ascii="仿宋_GB2312" w:hAnsi="宋体" w:eastAsia="仿宋_GB2312"/>
          <w:color w:val="000000"/>
          <w:sz w:val="28"/>
          <w:szCs w:val="28"/>
        </w:rPr>
        <w:t>www.ccgp.gov.cn</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）查询以下失信行为：</w:t>
      </w:r>
    </w:p>
    <w:p w14:paraId="7D5593F7">
      <w:pPr>
        <w:adjustRightInd w:val="0"/>
        <w:snapToGrid w:val="0"/>
        <w:spacing w:line="560" w:lineRule="exact"/>
        <w:ind w:firstLine="560" w:firstLineChars="200"/>
        <w:rPr>
          <w:rFonts w:hint="eastAsia" w:ascii="仿宋_GB2312" w:hAnsi="宋体" w:eastAsia="仿宋_GB2312" w:cs="楷体"/>
          <w:color w:val="000000"/>
          <w:sz w:val="28"/>
          <w:szCs w:val="28"/>
        </w:rPr>
      </w:pPr>
      <w:r>
        <w:rPr>
          <w:rFonts w:hint="eastAsia" w:ascii="仿宋_GB2312" w:hAnsi="宋体" w:eastAsia="仿宋_GB2312"/>
          <w:color w:val="000000"/>
          <w:sz w:val="28"/>
          <w:szCs w:val="28"/>
        </w:rPr>
        <w:t>①</w:t>
      </w:r>
      <w:r>
        <w:rPr>
          <w:rFonts w:hint="eastAsia" w:ascii="仿宋_GB2312" w:hAnsi="宋体" w:eastAsia="仿宋_GB2312" w:cs="楷体"/>
          <w:color w:val="000000"/>
          <w:sz w:val="28"/>
          <w:szCs w:val="28"/>
        </w:rPr>
        <w:t>政府采购严重违法失信行为</w:t>
      </w:r>
    </w:p>
    <w:p w14:paraId="6EA494A3">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4、由竞争主体进行承诺，不进行现场网上信用查询的失信行为：</w:t>
      </w:r>
    </w:p>
    <w:p w14:paraId="4114C8C7">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w:t>
      </w:r>
      <w:r>
        <w:rPr>
          <w:rFonts w:hint="eastAsia" w:ascii="仿宋_GB2312" w:hAnsi="宋体" w:eastAsia="仿宋_GB2312" w:cs="楷体"/>
          <w:color w:val="000000"/>
          <w:sz w:val="28"/>
          <w:szCs w:val="28"/>
        </w:rPr>
        <w:t>前三年有行贿犯罪行为的单位和个人</w:t>
      </w:r>
      <w:r>
        <w:rPr>
          <w:rFonts w:hint="eastAsia" w:ascii="仿宋_GB2312" w:hAnsi="宋体" w:eastAsia="仿宋_GB2312"/>
          <w:color w:val="000000"/>
          <w:sz w:val="28"/>
          <w:szCs w:val="28"/>
        </w:rPr>
        <w:t>。</w:t>
      </w:r>
    </w:p>
    <w:p w14:paraId="3E3986C7">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二、在开评标活动中的查询程序</w:t>
      </w:r>
    </w:p>
    <w:p w14:paraId="5326D2D5">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值。</w:t>
      </w:r>
    </w:p>
    <w:p w14:paraId="7FAEAAF3">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值。</w:t>
      </w:r>
    </w:p>
    <w:p w14:paraId="2F26E75A">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3、项目单位及其委托的代理机构应当做好信用查询结果截图和记录留存。</w:t>
      </w:r>
    </w:p>
    <w:p w14:paraId="2B3992FF">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三、相关要求</w:t>
      </w:r>
    </w:p>
    <w:p w14:paraId="5F12E45F">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1、参与公共资源交易活动的竞争主体根据上述范围查询的内容进行自查并承诺，出具《诚信投标承诺书》（诚信投标承诺书包括但不限于上述自查并承诺内容）并注明承诺日期（投标截止时间前5日内）。</w:t>
      </w:r>
    </w:p>
    <w:p w14:paraId="1E2E082D">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51D2C654">
      <w:pPr>
        <w:wordWrap w:val="0"/>
        <w:adjustRightInd w:val="0"/>
        <w:snapToGrid w:val="0"/>
        <w:spacing w:line="560" w:lineRule="exact"/>
        <w:ind w:firstLine="560" w:firstLineChars="200"/>
        <w:rPr>
          <w:rFonts w:hint="eastAsia"/>
          <w:color w:val="000000"/>
        </w:rPr>
      </w:pPr>
      <w:r>
        <w:rPr>
          <w:rFonts w:hint="eastAsia" w:ascii="仿宋_GB2312" w:hAnsi="宋体" w:eastAsia="仿宋_GB2312"/>
          <w:color w:val="000000"/>
          <w:sz w:val="28"/>
          <w:szCs w:val="28"/>
        </w:rPr>
        <w:t xml:space="preserve">注册地在安徽省内且未在安徽省外开展业务、省外无违法违规行为的企业可通过安徽政务服务网开具由安徽省公共信用信息服务中心出具的《公共信用信息报告（无违法违规证明版或核查版）》代替《诚信投标承诺书》。《公共信用信息报告（无违法违规证明版或核查版）》可通过 “信用中国(安徽)”网站信用报告核验系统 ( </w:t>
      </w:r>
      <w:r>
        <w:rPr>
          <w:rFonts w:ascii="仿宋_GB2312" w:hAnsi="宋体" w:eastAsia="仿宋_GB2312"/>
          <w:color w:val="000000"/>
          <w:sz w:val="28"/>
          <w:szCs w:val="28"/>
        </w:rPr>
        <w:fldChar w:fldCharType="begin"/>
      </w:r>
      <w:r>
        <w:rPr>
          <w:rFonts w:ascii="仿宋_GB2312" w:hAnsi="宋体" w:eastAsia="仿宋_GB2312"/>
          <w:color w:val="000000"/>
          <w:sz w:val="28"/>
          <w:szCs w:val="28"/>
        </w:rPr>
        <w:instrText xml:space="preserve"> HYPERLINK "</w:instrText>
      </w:r>
      <w:r>
        <w:rPr>
          <w:rFonts w:hint="eastAsia" w:ascii="仿宋_GB2312" w:hAnsi="宋体" w:eastAsia="仿宋_GB2312"/>
          <w:color w:val="000000"/>
          <w:sz w:val="28"/>
          <w:szCs w:val="28"/>
        </w:rPr>
        <w:instrText xml:space="preserve">https://credit.ah.gov.cn/xinyong-fuwu/xvbahv/index.html</w:instrText>
      </w:r>
      <w:r>
        <w:rPr>
          <w:rFonts w:ascii="仿宋_GB2312" w:hAnsi="宋体" w:eastAsia="仿宋_GB2312"/>
          <w:color w:val="000000"/>
          <w:sz w:val="28"/>
          <w:szCs w:val="28"/>
        </w:rPr>
        <w:instrText xml:space="preserve">" </w:instrText>
      </w:r>
      <w:r>
        <w:rPr>
          <w:rFonts w:ascii="仿宋_GB2312" w:hAnsi="宋体" w:eastAsia="仿宋_GB2312"/>
          <w:color w:val="000000"/>
          <w:sz w:val="28"/>
          <w:szCs w:val="28"/>
        </w:rPr>
        <w:fldChar w:fldCharType="separate"/>
      </w:r>
      <w:r>
        <w:rPr>
          <w:rStyle w:val="32"/>
          <w:rFonts w:hint="eastAsia" w:ascii="仿宋_GB2312" w:hAnsi="宋体" w:eastAsia="仿宋_GB2312"/>
          <w:color w:val="000000"/>
          <w:sz w:val="28"/>
          <w:szCs w:val="28"/>
        </w:rPr>
        <w:t>https://credit.ah.gov.cn/xinyong-fuwu/xvbahv/index.html</w:t>
      </w:r>
      <w:r>
        <w:rPr>
          <w:rFonts w:ascii="仿宋_GB2312" w:hAnsi="宋体" w:eastAsia="仿宋_GB2312"/>
          <w:color w:val="000000"/>
          <w:sz w:val="28"/>
          <w:szCs w:val="28"/>
        </w:rPr>
        <w:fldChar w:fldCharType="end"/>
      </w:r>
      <w:r>
        <w:rPr>
          <w:rFonts w:hint="eastAsia" w:ascii="仿宋_GB2312" w:hAnsi="宋体" w:eastAsia="仿宋_GB2312"/>
          <w:color w:val="000000"/>
          <w:sz w:val="28"/>
          <w:szCs w:val="28"/>
        </w:rPr>
        <w:t>)进行核验。核验不一致或提交《公共信用信息报告（无违法违规证明版或核查版）》的企业在省外有失信行为的将视作不诚信行为，资格审查委员会或评标委员会及代理机构应当及时报告公共资源监管部门，依法依规予以处理。</w:t>
      </w:r>
    </w:p>
    <w:p w14:paraId="23BC3358">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2、“信用中国”查询的严重失信行为判定依据为各行业主管部门下发的联合惩戒文件中规定的行为（按附件2执行）。</w:t>
      </w:r>
    </w:p>
    <w:p w14:paraId="22C68EAB">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3、资格预审的项目以递交资格预审申请文件截止时间查询为准；资格后审的项目以递交投标文件截止时间查询为准。</w:t>
      </w:r>
    </w:p>
    <w:p w14:paraId="12BA25BD">
      <w:pPr>
        <w:pStyle w:val="5"/>
        <w:spacing w:before="200" w:after="200" w:line="600" w:lineRule="exact"/>
        <w:rPr>
          <w:rFonts w:hint="eastAsia" w:ascii="黑体" w:hAnsi="黑体" w:eastAsia="黑体"/>
          <w:color w:val="000000"/>
          <w:sz w:val="36"/>
          <w:szCs w:val="28"/>
        </w:rPr>
      </w:pPr>
      <w:bookmarkStart w:id="70" w:name="_Toc95223549"/>
    </w:p>
    <w:p w14:paraId="58DF0C6E">
      <w:pPr>
        <w:pStyle w:val="5"/>
        <w:spacing w:before="200" w:after="200" w:line="600" w:lineRule="exact"/>
        <w:jc w:val="center"/>
        <w:rPr>
          <w:rFonts w:hint="eastAsia" w:ascii="黑体" w:hAnsi="黑体" w:eastAsia="黑体"/>
          <w:color w:val="000000"/>
          <w:sz w:val="36"/>
          <w:szCs w:val="28"/>
        </w:rPr>
      </w:pPr>
      <w:r>
        <w:rPr>
          <w:rFonts w:hint="eastAsia" w:ascii="黑体" w:hAnsi="黑体" w:eastAsia="黑体"/>
          <w:color w:val="000000"/>
          <w:sz w:val="36"/>
          <w:szCs w:val="28"/>
        </w:rPr>
        <w:br w:type="page"/>
      </w:r>
      <w:r>
        <w:rPr>
          <w:rFonts w:hint="eastAsia" w:ascii="黑体" w:hAnsi="黑体" w:eastAsia="黑体"/>
          <w:color w:val="000000"/>
          <w:sz w:val="36"/>
          <w:szCs w:val="28"/>
        </w:rPr>
        <w:t>附件2 “信用中国”查询的严重失信行为类别及判定依据</w:t>
      </w:r>
      <w:bookmarkEnd w:id="70"/>
    </w:p>
    <w:p w14:paraId="030B00C4">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32"/>
          <w:szCs w:val="32"/>
        </w:rPr>
        <w:t>“</w:t>
      </w:r>
      <w:r>
        <w:rPr>
          <w:rFonts w:hint="eastAsia" w:ascii="仿宋_GB2312" w:hAnsi="宋体" w:eastAsia="仿宋_GB2312"/>
          <w:color w:val="000000"/>
          <w:sz w:val="28"/>
          <w:szCs w:val="28"/>
        </w:rPr>
        <w:t>信用中国”查询的严重失信行为判定依据为各行业主管部门下发的联合惩戒文件中规定的行为。下面将部分类别的严重失信行为列举如下：</w:t>
      </w:r>
    </w:p>
    <w:p w14:paraId="2E532085">
      <w:pPr>
        <w:adjustRightInd w:val="0"/>
        <w:snapToGrid w:val="0"/>
        <w:spacing w:line="560" w:lineRule="exact"/>
        <w:ind w:firstLine="645"/>
        <w:jc w:val="left"/>
        <w:rPr>
          <w:rFonts w:hint="eastAsia" w:ascii="仿宋_GB2312" w:hAnsi="宋体" w:eastAsia="仿宋_GB2312"/>
          <w:b/>
          <w:color w:val="000000"/>
          <w:sz w:val="28"/>
          <w:szCs w:val="28"/>
        </w:rPr>
      </w:pPr>
      <w:r>
        <w:rPr>
          <w:rFonts w:hint="eastAsia" w:ascii="仿宋_GB2312" w:hAnsi="宋体" w:eastAsia="仿宋_GB2312"/>
          <w:b/>
          <w:color w:val="000000"/>
          <w:sz w:val="28"/>
          <w:szCs w:val="28"/>
        </w:rPr>
        <w:t>一、安全生产领域严重失信行为：</w:t>
      </w:r>
    </w:p>
    <w:p w14:paraId="73080670">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（一）发生较大及以上生产安全责任事故，或1年内累计发生3起及以上造成人员死亡的一般生产安全责任事故的；</w:t>
      </w:r>
    </w:p>
    <w:p w14:paraId="5FF292AA">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（二）未按规定取得安全生产许可，擅自开展生产经营建设活动的；</w:t>
      </w:r>
    </w:p>
    <w:p w14:paraId="14894825">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（三）发现重大生产安全事故隐患，或职业病危害严重超标，不及时整改，仍组织从业人员冒险作业的；</w:t>
      </w:r>
    </w:p>
    <w:p w14:paraId="74094195">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（四）采取隐蔽、欺骗或阻碍等方式逃避、对抗安全监管监察的;</w:t>
      </w:r>
    </w:p>
    <w:p w14:paraId="5B76BFFF">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（五）被责令停产停业整顿，仍然从事生产经营建设活动的；</w:t>
      </w:r>
    </w:p>
    <w:p w14:paraId="5013BB0C">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（六）瞒报、谎报、迟报生产安全事故的；</w:t>
      </w:r>
    </w:p>
    <w:p w14:paraId="5D4BC831">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（七）矿山、危险化学品、金属冶炼等高危行业建设项目安全设施未经验收合格即投入生产和使用的；</w:t>
      </w:r>
    </w:p>
    <w:p w14:paraId="7D916A1D">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（八）矿山生产经营单位存在超层越界开采、以探代采行为的；</w:t>
      </w:r>
    </w:p>
    <w:p w14:paraId="44F8B9BB">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（九）发生事故后，故意破坏事故现场，伪造有关证据资料，妨碍、对抗事故调查，或主要负责人逃逸的；</w:t>
      </w:r>
    </w:p>
    <w:p w14:paraId="658E0AB8">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（十）安全生产和职业健康技术服务机构出具虚假报告或证明，违规转让或出借资质的。</w:t>
      </w:r>
    </w:p>
    <w:p w14:paraId="180C4EAF">
      <w:pPr>
        <w:adjustRightInd w:val="0"/>
        <w:snapToGrid w:val="0"/>
        <w:spacing w:line="560" w:lineRule="exact"/>
        <w:ind w:firstLine="645"/>
        <w:jc w:val="left"/>
        <w:rPr>
          <w:rFonts w:hint="eastAsia" w:ascii="仿宋_GB2312" w:eastAsia="仿宋_GB2312"/>
          <w:b/>
          <w:color w:val="000000"/>
          <w:sz w:val="28"/>
          <w:szCs w:val="28"/>
        </w:rPr>
      </w:pPr>
      <w:r>
        <w:rPr>
          <w:rFonts w:hint="eastAsia" w:ascii="仿宋_GB2312" w:hAnsi="宋体" w:eastAsia="仿宋_GB2312"/>
          <w:b/>
          <w:color w:val="000000"/>
          <w:sz w:val="28"/>
          <w:szCs w:val="28"/>
        </w:rPr>
        <w:t>依据：《对安全生产领域失信行为开展联合惩戒的实施办法》</w:t>
      </w:r>
      <w:r>
        <w:rPr>
          <w:rFonts w:hint="eastAsia" w:ascii="仿宋_GB2312" w:eastAsia="仿宋_GB2312"/>
          <w:b/>
          <w:color w:val="000000"/>
          <w:sz w:val="28"/>
          <w:szCs w:val="28"/>
        </w:rPr>
        <w:t>（安监总办〔2017〕49号）第二条</w:t>
      </w:r>
    </w:p>
    <w:p w14:paraId="37D1B9A8">
      <w:pPr>
        <w:adjustRightInd w:val="0"/>
        <w:snapToGrid w:val="0"/>
        <w:spacing w:line="560" w:lineRule="exact"/>
        <w:ind w:firstLine="645"/>
        <w:jc w:val="left"/>
        <w:rPr>
          <w:rFonts w:hint="eastAsia" w:ascii="仿宋_GB2312" w:hAnsi="宋体" w:eastAsia="仿宋_GB2312"/>
          <w:b/>
          <w:color w:val="000000"/>
          <w:sz w:val="28"/>
          <w:szCs w:val="28"/>
        </w:rPr>
      </w:pPr>
    </w:p>
    <w:p w14:paraId="4CF69D91">
      <w:pPr>
        <w:adjustRightInd w:val="0"/>
        <w:snapToGrid w:val="0"/>
        <w:spacing w:line="560" w:lineRule="exact"/>
        <w:ind w:firstLine="645"/>
        <w:jc w:val="left"/>
        <w:rPr>
          <w:rFonts w:hint="eastAsia" w:ascii="仿宋_GB2312" w:hAnsi="宋体" w:eastAsia="仿宋_GB2312"/>
          <w:b/>
          <w:color w:val="000000"/>
          <w:sz w:val="28"/>
          <w:szCs w:val="28"/>
        </w:rPr>
      </w:pPr>
      <w:r>
        <w:rPr>
          <w:rFonts w:hint="eastAsia" w:ascii="仿宋_GB2312" w:hAnsi="宋体" w:eastAsia="仿宋_GB2312"/>
          <w:b/>
          <w:color w:val="000000"/>
          <w:sz w:val="28"/>
          <w:szCs w:val="28"/>
        </w:rPr>
        <w:t>二、环境保护领域严重失信行为：</w:t>
      </w:r>
    </w:p>
    <w:p w14:paraId="499C396C">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（一）因为环境违法构成</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"https://baike.sogou.com/m/fullLemma?lid=10403954&amp;g_ut=3"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环境犯罪</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的；</w:t>
      </w:r>
    </w:p>
    <w:p w14:paraId="50986C27">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（二）</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"https://baike.sogou.com/m/fullLemma?lid=76033123&amp;g_ut=3"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建设项目环境影响评价</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文件未按规定通过审批，擅自开工建设的；</w:t>
      </w:r>
    </w:p>
    <w:p w14:paraId="291E2422">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（三）建设项目环保设施未建成、环保措施未落实、未通过</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"https://baike.sogou.com/m/fullLemma?lid=6470550&amp;g_ut=3"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竣工环保验收</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或者验收不合格，主体工程正式投入生产或者使用的；</w:t>
      </w:r>
    </w:p>
    <w:p w14:paraId="12C7FD8B">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（四）建设项目性质、规模、地点、采用的生产工艺或者防治污染、防止生态破坏的措施发生重大变动，未重新报批环境影响评价文件，擅自投入生产或者使用的；</w:t>
      </w:r>
    </w:p>
    <w:p w14:paraId="515B047B">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（五）主要污染物排放总量超过控制指标的；</w:t>
      </w:r>
    </w:p>
    <w:p w14:paraId="6EF26231">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（六）私设暗管或者利用</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"https://baike.sogou.com/m/fullLemma?lid=41657319&amp;g_ut=3"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渗井</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、渗坑、裂隙、溶洞等排放、倾倒、处置水污染物，或者通过私设旁路排放</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"https://baike.sogou.com/m/fullLemma?lid=7758328&amp;g_ut=3"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大气污染物</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的；</w:t>
      </w:r>
    </w:p>
    <w:p w14:paraId="3FFFD8CF">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（七）非法排放、倾倒、处置危险废物，或者向无</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"https://baike.sogou.com/m/fullLemma?lid=5923292&amp;g_ut=3"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经营许可证</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或者超出经营许可范围的单位或个人提供或者委托其收集、贮存、利用、处置危险废物的；</w:t>
      </w:r>
    </w:p>
    <w:p w14:paraId="77FB8C70">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（八）</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"https://baike.sogou.com/m/fullLemma?lid=167759803&amp;g_ut=3"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环境违法行为</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造成集中式生活饮用水水源取水中断的；</w:t>
      </w:r>
    </w:p>
    <w:p w14:paraId="0E560A5C">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（九）环境违法行为对生活饮用水水源保护区、自然保护区、</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"https://baike.sogou.com/m/fullLemma?lid=155199213&amp;g_ut=3"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国家重点生态功能区</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、风景名胜区、居住功能区、</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"https://baike.sogou.com/m/fullLemma?lid=7757164&amp;g_ut=3"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基本农田保护区</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等环境敏感区造成重大不利影响的；</w:t>
      </w:r>
    </w:p>
    <w:p w14:paraId="2915F429">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（十）违法从事自然资源开发、交通基础设施建设，以及其他开发建设活动，造成严重生态破坏的；</w:t>
      </w:r>
    </w:p>
    <w:p w14:paraId="1EFA88E7">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（十一）发生较大及以上突发环境事件的；</w:t>
      </w:r>
    </w:p>
    <w:p w14:paraId="4AA399A6">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（十二）被环保部门挂牌督办，整改逾期未完成的；</w:t>
      </w:r>
    </w:p>
    <w:p w14:paraId="6D9B9F14">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（十三）以暴力、威胁等方式拒绝、阻挠环保部门工作人员现场检查的；</w:t>
      </w:r>
    </w:p>
    <w:p w14:paraId="4CA9E401">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（十四）违反重污染天气应急预案有关规定，对重污染天气响应不力的。</w:t>
      </w:r>
    </w:p>
    <w:p w14:paraId="21D95D1E">
      <w:pPr>
        <w:adjustRightInd w:val="0"/>
        <w:snapToGrid w:val="0"/>
        <w:spacing w:line="560" w:lineRule="exact"/>
        <w:ind w:firstLine="645"/>
        <w:jc w:val="left"/>
        <w:rPr>
          <w:rFonts w:hint="eastAsia" w:ascii="仿宋_GB2312" w:hAnsi="宋体" w:eastAsia="仿宋_GB2312"/>
          <w:b/>
          <w:color w:val="000000"/>
          <w:sz w:val="28"/>
          <w:szCs w:val="28"/>
        </w:rPr>
      </w:pPr>
      <w:r>
        <w:rPr>
          <w:rFonts w:hint="eastAsia" w:ascii="仿宋_GB2312" w:hAnsi="宋体" w:eastAsia="仿宋_GB2312"/>
          <w:b/>
          <w:color w:val="000000"/>
          <w:sz w:val="28"/>
          <w:szCs w:val="28"/>
        </w:rPr>
        <w:t>依据：《关于对环境保护领域失信生产经营单位及其有关人员开展联合惩戒的合作备忘录》、《企业环境信用评价办法（试行）》（环发〔2013〕150号）</w:t>
      </w:r>
    </w:p>
    <w:p w14:paraId="2E5DFC19">
      <w:pPr>
        <w:adjustRightInd w:val="0"/>
        <w:snapToGrid w:val="0"/>
        <w:spacing w:line="560" w:lineRule="exact"/>
        <w:ind w:firstLine="645"/>
        <w:jc w:val="left"/>
        <w:rPr>
          <w:rFonts w:hint="eastAsia" w:ascii="仿宋_GB2312" w:hAnsi="宋体" w:eastAsia="仿宋_GB2312"/>
          <w:b/>
          <w:color w:val="000000"/>
          <w:sz w:val="28"/>
          <w:szCs w:val="28"/>
        </w:rPr>
      </w:pPr>
    </w:p>
    <w:p w14:paraId="2CAEE5A8">
      <w:pPr>
        <w:adjustRightInd w:val="0"/>
        <w:snapToGrid w:val="0"/>
        <w:spacing w:line="560" w:lineRule="exact"/>
        <w:ind w:firstLine="645"/>
        <w:jc w:val="left"/>
        <w:rPr>
          <w:rFonts w:hint="eastAsia" w:ascii="仿宋_GB2312" w:hAnsi="宋体" w:eastAsia="仿宋_GB2312"/>
          <w:b/>
          <w:color w:val="000000"/>
          <w:sz w:val="28"/>
          <w:szCs w:val="28"/>
        </w:rPr>
      </w:pPr>
      <w:r>
        <w:rPr>
          <w:rFonts w:hint="eastAsia" w:ascii="仿宋_GB2312" w:hAnsi="宋体" w:eastAsia="仿宋_GB2312"/>
          <w:b/>
          <w:color w:val="000000"/>
          <w:sz w:val="28"/>
          <w:szCs w:val="28"/>
        </w:rPr>
        <w:t>三、</w:t>
      </w:r>
      <w:r>
        <w:rPr>
          <w:rFonts w:hint="eastAsia" w:ascii="仿宋_GB2312" w:hAnsi="宋体" w:eastAsia="仿宋_GB2312"/>
          <w:b/>
          <w:bCs/>
          <w:color w:val="000000"/>
          <w:sz w:val="28"/>
          <w:szCs w:val="28"/>
        </w:rPr>
        <w:t>公共资源交易领域严重失信行为</w:t>
      </w:r>
    </w:p>
    <w:p w14:paraId="624C74BA">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（一）违反法律规定，必须进行招标的项目而不招标的，将必须进行招标的项目化整为零或者以其他任何方式规避招标的； </w:t>
      </w:r>
    </w:p>
    <w:p w14:paraId="1243FE57">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（二）招标代理机构违反法律规定，泄露应当保密的与招标投标活动有关的情况和资料的，或者与招标人、投标人串通损害 国家利益、社会公共利益或者他人合法权益的；</w:t>
      </w:r>
    </w:p>
    <w:p w14:paraId="0D4111EA">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（三）招标人以不合理的条件限制或者排斥潜在投标人的，对潜在投标人实行歧视待遇的，强制要求投标人组成联合体共同 投标的，或者限制投标人之间竞争的；</w:t>
      </w:r>
    </w:p>
    <w:p w14:paraId="72FB12C0">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（四）依法必须进行招标的项目的招标人向他人透露已获取招标文件的潜在投标人的名称、数量或者可能影响公平竞争的有 关招标投标的其他情况的，或者泄露标底的；</w:t>
      </w:r>
    </w:p>
    <w:p w14:paraId="4F851A74">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 xml:space="preserve">（五）投标人相互串通投标或者与招标人串通投标的，投标人以向招标人或者评标委员会成员行贿的手段谋取中标的； </w:t>
      </w:r>
    </w:p>
    <w:p w14:paraId="7141BA12">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（六）投标人以他人名义投标或者以其他方式弄虚作假，骗取中标的；</w:t>
      </w:r>
    </w:p>
    <w:p w14:paraId="18A09589">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（七）依法必须进行招标的项目，招标人违反法律规定，与投标人就投标价格、投标方案等实质性内容进行谈判的；</w:t>
      </w:r>
    </w:p>
    <w:p w14:paraId="6CAE4869">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（八）评标委员会成员收受投标人的财物或者其他好处的，评标委员会成员或者参加评标的有关工作人员向他人透露对投 标文件的评审和比较、中标候选人的推荐以及与评标有关的其他 情况的； </w:t>
      </w:r>
    </w:p>
    <w:p w14:paraId="441C431C">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（九）招标人在评标委员会依法推荐的中标候选人以外确定中标人的，依法必须进行招标的项目在所有投标被评标委员会否 决后自行确定中标人的； </w:t>
      </w:r>
    </w:p>
    <w:p w14:paraId="7FA4D868">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（十）中标人将中标项目转让给他人的，将中标项目肢解后分别转让给他人的，违反法律规定将中标项目的部分主体、关键 性工作分包给他人的，或者分包人再次分包的； </w:t>
      </w:r>
    </w:p>
    <w:p w14:paraId="5B7B7C39">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（十一）招标人与中标人不按照招标文件和中标人的投标文件订立合同的，或者招标人、中标人订立背离合同实质性内容的 协议的； </w:t>
      </w:r>
    </w:p>
    <w:p w14:paraId="60483A76">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（十二）中标人不按照与招标人订立的合同履行义务，情节严重的； </w:t>
      </w:r>
    </w:p>
    <w:p w14:paraId="632C0ACE">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（十三）采购人、采购代理机构存在应当采用公开招标方式而擅自采用其他方式采购，擅自提高采购标准，以不合理的条件 对供应商实行差别待遇或者歧视待遇，在招标采购过程中与投标 人进行协商谈判，中标、成交通知书发出后不与中标、成交供应商签订采购合同，或者拒绝有关部门依法实施监督检查等情形的；</w:t>
      </w:r>
    </w:p>
    <w:p w14:paraId="2B833A04">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 （十四）采购人、采购代理机构及其工作人员存在与供应商 或者采购代理机构恶意串通，在采购过程中接受贿赂或者获取其 他不正当利益，在有关部门依法实施的监督检查中提供虚假情况， 或者开标前泄露标底等情形的；</w:t>
      </w:r>
    </w:p>
    <w:p w14:paraId="5689CBF9">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 （十五）采购人对应当实行集中采购的政府采购项目，不委托集中采购机构实行集中采购的； </w:t>
      </w:r>
    </w:p>
    <w:p w14:paraId="183ACA75">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（十六）采购人、采购代理机构违反法律规定隐匿、销毁应当保存的采购文件或者伪造、变造采购文件的； </w:t>
      </w:r>
    </w:p>
    <w:p w14:paraId="321F5A94">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（十七）供应商存在提供虚假材料谋取中标、成交，采取不 正当手段诋毁、排挤其他供应商，与采购人、其他供应商或者采 购代理机构恶意串通，向采购人、采购代理机构行贿或者提供其 他不正当利益，在招标采购过程中与采购人进行协商谈判，或拒 绝有关部门监督检查或者提供虚假情况等情形的； </w:t>
      </w:r>
    </w:p>
    <w:p w14:paraId="2C5BCBC4">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（十八）疫苗生产企业向县级疾病预防控制机构以外的单位或者个人销售第二类疫苗的； </w:t>
      </w:r>
    </w:p>
    <w:p w14:paraId="152D1C8F">
      <w:pPr>
        <w:adjustRightInd w:val="0"/>
        <w:snapToGrid w:val="0"/>
        <w:spacing w:line="560" w:lineRule="exact"/>
        <w:ind w:left="141" w:leftChars="67" w:firstLine="420" w:firstLineChars="150"/>
        <w:jc w:val="left"/>
        <w:rPr>
          <w:rFonts w:hint="eastAsia" w:ascii="仿宋_GB2312" w:hAnsi="宋体" w:eastAsia="仿宋_GB2312"/>
          <w:color w:val="000000"/>
          <w:sz w:val="28"/>
          <w:szCs w:val="28"/>
        </w:rPr>
      </w:pPr>
      <w:r>
        <w:rPr>
          <w:rFonts w:hint="eastAsia" w:ascii="仿宋_GB2312" w:eastAsia="仿宋_GB2312"/>
          <w:color w:val="000000"/>
          <w:sz w:val="28"/>
          <w:szCs w:val="28"/>
        </w:rPr>
        <w:t>（十九）存在其他违反公共资源交易法律法规行为的。</w:t>
      </w:r>
    </w:p>
    <w:p w14:paraId="3CCCA069">
      <w:pPr>
        <w:adjustRightInd w:val="0"/>
        <w:snapToGrid w:val="0"/>
        <w:spacing w:line="560" w:lineRule="exact"/>
        <w:ind w:firstLine="894" w:firstLineChars="318"/>
        <w:jc w:val="left"/>
        <w:rPr>
          <w:rFonts w:hint="eastAsia" w:ascii="仿宋_GB2312" w:hAnsi="宋体" w:eastAsia="仿宋_GB2312"/>
          <w:b/>
          <w:color w:val="000000"/>
          <w:sz w:val="28"/>
          <w:szCs w:val="28"/>
        </w:rPr>
      </w:pPr>
      <w:r>
        <w:rPr>
          <w:rFonts w:hint="eastAsia" w:ascii="仿宋_GB2312" w:hAnsi="宋体" w:eastAsia="仿宋_GB2312"/>
          <w:b/>
          <w:color w:val="000000"/>
          <w:sz w:val="28"/>
          <w:szCs w:val="28"/>
        </w:rPr>
        <w:t>依据：《关于对公共资源交易领域严重失信主体开展联合惩戒的备忘录》（发改法规〔2018〕457号）</w:t>
      </w:r>
    </w:p>
    <w:p w14:paraId="56920E9B">
      <w:pPr>
        <w:adjustRightInd w:val="0"/>
        <w:snapToGrid w:val="0"/>
        <w:spacing w:line="560" w:lineRule="exact"/>
        <w:ind w:firstLine="645"/>
        <w:jc w:val="left"/>
        <w:rPr>
          <w:rFonts w:hint="eastAsia" w:ascii="仿宋_GB2312" w:hAnsi="宋体" w:eastAsia="仿宋_GB2312"/>
          <w:color w:val="000000"/>
          <w:sz w:val="28"/>
          <w:szCs w:val="28"/>
        </w:rPr>
      </w:pPr>
    </w:p>
    <w:p w14:paraId="1A5C09CF">
      <w:pPr>
        <w:adjustRightInd w:val="0"/>
        <w:snapToGrid w:val="0"/>
        <w:spacing w:line="560" w:lineRule="exact"/>
        <w:ind w:firstLine="645"/>
        <w:jc w:val="left"/>
        <w:rPr>
          <w:rFonts w:hint="eastAsia" w:ascii="仿宋_GB2312" w:hAnsi="宋体" w:eastAsia="仿宋_GB2312"/>
          <w:b/>
          <w:bCs/>
          <w:color w:val="000000"/>
          <w:sz w:val="28"/>
          <w:szCs w:val="28"/>
        </w:rPr>
      </w:pPr>
      <w:r>
        <w:rPr>
          <w:rFonts w:hint="eastAsia" w:ascii="仿宋_GB2312" w:hAnsi="宋体" w:eastAsia="仿宋_GB2312"/>
          <w:b/>
          <w:color w:val="000000"/>
          <w:sz w:val="28"/>
          <w:szCs w:val="28"/>
        </w:rPr>
        <w:t>四、</w:t>
      </w:r>
      <w:r>
        <w:rPr>
          <w:rFonts w:hint="eastAsia" w:ascii="仿宋_GB2312" w:hAnsi="宋体" w:eastAsia="仿宋_GB2312"/>
          <w:b/>
          <w:bCs/>
          <w:color w:val="000000"/>
          <w:sz w:val="28"/>
          <w:szCs w:val="28"/>
        </w:rPr>
        <w:t>社会保险领域严重失信行为</w:t>
      </w:r>
    </w:p>
    <w:p w14:paraId="481DD9CA">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（一）用人单位未按相关规定参加社会保险且拒不整改的； </w:t>
      </w:r>
    </w:p>
    <w:p w14:paraId="5CF64C9B">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（二）用人单位未如实申报社会保险缴费基数且拒不整改的； </w:t>
      </w:r>
    </w:p>
    <w:p w14:paraId="3820A431">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（三）应缴纳社会保险费却拒不缴纳的； </w:t>
      </w:r>
    </w:p>
    <w:p w14:paraId="1C510E42">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（四）隐匿、转移、侵占、挪用社会保险费款、基金或者违规投资运营的；</w:t>
      </w:r>
    </w:p>
    <w:p w14:paraId="7515BF9E">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（五）以欺诈、伪造证明材料或者其他手段参加、申报社会保险和骗取社会保险基金支出或社会保险待遇的； </w:t>
      </w:r>
    </w:p>
    <w:p w14:paraId="0E0B658E">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（六）非法获取、出售或变相交易社会保险个人权益数据的； </w:t>
      </w:r>
    </w:p>
    <w:p w14:paraId="626BD8C8">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（七）社会保险服务机构违反服务协议或相关规定的； </w:t>
      </w:r>
    </w:p>
    <w:p w14:paraId="35B127ED">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（八）拒绝协助社会保险行政部门、经办机构对事故和问题进 行调查核实的；拒绝接受或协助税务部门对社会保险实施监督检查， 不如实提供与社会保险相关各项资料的； </w:t>
      </w:r>
    </w:p>
    <w:p w14:paraId="3580C15D">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（九）其他违反法律法规规定的。</w:t>
      </w:r>
    </w:p>
    <w:p w14:paraId="2FDF8590">
      <w:pPr>
        <w:adjustRightInd w:val="0"/>
        <w:snapToGrid w:val="0"/>
        <w:spacing w:line="560" w:lineRule="exact"/>
        <w:ind w:firstLine="551" w:firstLineChars="196"/>
        <w:jc w:val="left"/>
        <w:rPr>
          <w:rFonts w:hint="eastAsia" w:ascii="仿宋_GB2312" w:eastAsia="仿宋_GB2312"/>
          <w:color w:val="000000"/>
          <w:sz w:val="28"/>
          <w:szCs w:val="28"/>
        </w:rPr>
      </w:pPr>
      <w:r>
        <w:rPr>
          <w:rFonts w:hint="eastAsia" w:ascii="仿宋_GB2312" w:eastAsia="仿宋_GB2312"/>
          <w:b/>
          <w:color w:val="000000"/>
          <w:sz w:val="28"/>
          <w:szCs w:val="28"/>
        </w:rPr>
        <w:t>依据：《关于对社会保险领域严重失信企业及其有关人员实施联合惩戒的合作备忘录》（发改财金〔2018〕1704号）</w:t>
      </w:r>
    </w:p>
    <w:p w14:paraId="4AFDD0D0">
      <w:pPr>
        <w:adjustRightInd w:val="0"/>
        <w:snapToGrid w:val="0"/>
        <w:spacing w:line="560" w:lineRule="exact"/>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 xml:space="preserve">     </w:t>
      </w:r>
    </w:p>
    <w:p w14:paraId="1E56536E">
      <w:pPr>
        <w:adjustRightInd w:val="0"/>
        <w:snapToGrid w:val="0"/>
        <w:spacing w:line="560" w:lineRule="exact"/>
        <w:ind w:firstLine="562" w:firstLineChars="200"/>
        <w:jc w:val="left"/>
        <w:rPr>
          <w:rFonts w:hint="eastAsia" w:ascii="仿宋_GB2312" w:hAnsi="宋体" w:eastAsia="仿宋_GB2312"/>
          <w:b/>
          <w:bCs/>
          <w:color w:val="000000"/>
          <w:sz w:val="28"/>
          <w:szCs w:val="28"/>
        </w:rPr>
      </w:pPr>
      <w:r>
        <w:rPr>
          <w:rFonts w:hint="eastAsia" w:ascii="仿宋_GB2312" w:hAnsi="宋体" w:eastAsia="仿宋_GB2312"/>
          <w:b/>
          <w:color w:val="000000"/>
          <w:sz w:val="28"/>
          <w:szCs w:val="28"/>
        </w:rPr>
        <w:t>五、建筑市场领域</w:t>
      </w:r>
      <w:r>
        <w:rPr>
          <w:rFonts w:hint="eastAsia" w:ascii="仿宋_GB2312" w:hAnsi="宋体" w:eastAsia="仿宋_GB2312"/>
          <w:b/>
          <w:bCs/>
          <w:color w:val="000000"/>
          <w:sz w:val="28"/>
          <w:szCs w:val="28"/>
        </w:rPr>
        <w:t>严重失信行为</w:t>
      </w:r>
    </w:p>
    <w:p w14:paraId="450424A9">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（一）利用虚假材料、以欺骗手段取得企业资质的；</w:t>
      </w:r>
    </w:p>
    <w:p w14:paraId="782E861D">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（二）发生转包、出借资质，受到行政处罚的；</w:t>
      </w:r>
    </w:p>
    <w:p w14:paraId="130AFEAD">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（三）发生重大及以上工程质量安全事故，或1年内累计发生2次及以上较大工程质量安全事故，或发生性质恶劣、危害性严重、社会影响大的较大工程质量安全事故，受到行政处罚的；</w:t>
      </w:r>
    </w:p>
    <w:p w14:paraId="378DB12B">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（四）经法院判决或仲裁机构裁决，认定为拖欠工程款,且拒不履行生效法律文书确定的义务的。</w:t>
      </w:r>
    </w:p>
    <w:p w14:paraId="3D8D6626">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各级住房城乡建设主管部门应当参照建筑市场主体“黑名单”，对被人力资源社会保障行政部门列入拖欠农民工工资“黑名单”的建筑市场各方主体加强监管。</w:t>
      </w:r>
    </w:p>
    <w:p w14:paraId="32FE6011">
      <w:pPr>
        <w:ind w:firstLine="562" w:firstLineChars="200"/>
        <w:jc w:val="left"/>
        <w:rPr>
          <w:rFonts w:hint="eastAsia" w:ascii="宋体" w:hAnsi="宋体"/>
          <w:color w:val="000000"/>
          <w:sz w:val="28"/>
          <w:szCs w:val="28"/>
        </w:rPr>
      </w:pPr>
      <w:r>
        <w:rPr>
          <w:rFonts w:hint="eastAsia" w:ascii="仿宋_GB2312" w:eastAsia="仿宋_GB2312"/>
          <w:b/>
          <w:color w:val="000000"/>
          <w:sz w:val="28"/>
          <w:szCs w:val="28"/>
        </w:rPr>
        <w:t>依据：《建筑市场信用管理暂行办法》（建市〔2017〕241号）</w:t>
      </w:r>
    </w:p>
    <w:p w14:paraId="2F156F6B">
      <w:pPr>
        <w:adjustRightInd w:val="0"/>
        <w:snapToGrid w:val="0"/>
        <w:spacing w:line="560" w:lineRule="exact"/>
        <w:rPr>
          <w:rFonts w:hint="eastAsia" w:ascii="仿宋_GB2312" w:hAnsi="宋体" w:eastAsia="仿宋_GB2312"/>
          <w:b/>
          <w:color w:val="000000"/>
          <w:sz w:val="28"/>
          <w:szCs w:val="28"/>
        </w:rPr>
      </w:pPr>
    </w:p>
    <w:p w14:paraId="50895075">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六、政府采购严重失信行为</w:t>
      </w:r>
    </w:p>
    <w:p w14:paraId="6B367726">
      <w:pPr>
        <w:adjustRightInd w:val="0"/>
        <w:snapToGrid w:val="0"/>
        <w:spacing w:line="560" w:lineRule="exact"/>
        <w:ind w:firstLine="615"/>
        <w:rPr>
          <w:rFonts w:hint="eastAsia" w:ascii="仿宋_GB2312" w:eastAsia="仿宋_GB2312"/>
          <w:color w:val="000000"/>
          <w:sz w:val="28"/>
          <w:szCs w:val="28"/>
        </w:rPr>
      </w:pPr>
      <w:r>
        <w:rPr>
          <w:rFonts w:hint="eastAsia" w:ascii="仿宋_GB2312" w:eastAsia="仿宋_GB2312"/>
          <w:color w:val="000000"/>
          <w:sz w:val="28"/>
          <w:szCs w:val="28"/>
        </w:rPr>
        <w:t>供应商、采购代理机构在三年内受到财政部门作出下列情形之一的行政处罚，列入政府采购严重违法失信行为记录名单。</w:t>
      </w:r>
      <w:r>
        <w:rPr>
          <w:rFonts w:hint="eastAsia" w:ascii="仿宋_GB2312" w:eastAsia="仿宋_GB2312"/>
          <w:color w:val="000000"/>
          <w:sz w:val="28"/>
          <w:szCs w:val="28"/>
        </w:rPr>
        <w:br w:type="textWrapping"/>
      </w:r>
      <w:r>
        <w:rPr>
          <w:rFonts w:hint="eastAsia" w:ascii="仿宋_GB2312" w:eastAsia="仿宋_GB2312"/>
          <w:color w:val="000000"/>
          <w:sz w:val="28"/>
          <w:szCs w:val="28"/>
        </w:rPr>
        <w:t>　　（一）三万元以上罚款；</w:t>
      </w:r>
      <w:r>
        <w:rPr>
          <w:rFonts w:hint="eastAsia" w:ascii="仿宋_GB2312" w:eastAsia="仿宋_GB2312"/>
          <w:color w:val="000000"/>
          <w:sz w:val="28"/>
          <w:szCs w:val="28"/>
        </w:rPr>
        <w:br w:type="textWrapping"/>
      </w:r>
      <w:r>
        <w:rPr>
          <w:rFonts w:hint="eastAsia" w:ascii="仿宋_GB2312" w:eastAsia="仿宋_GB2312"/>
          <w:color w:val="000000"/>
          <w:sz w:val="28"/>
          <w:szCs w:val="28"/>
        </w:rPr>
        <w:t>　　（二）在一至三年内禁止参加政府采购活动（处罚期限届满的除外）；</w:t>
      </w:r>
      <w:r>
        <w:rPr>
          <w:rFonts w:hint="eastAsia" w:ascii="仿宋_GB2312" w:eastAsia="仿宋_GB2312"/>
          <w:color w:val="000000"/>
          <w:sz w:val="28"/>
          <w:szCs w:val="28"/>
        </w:rPr>
        <w:br w:type="textWrapping"/>
      </w:r>
      <w:r>
        <w:rPr>
          <w:rFonts w:hint="eastAsia" w:ascii="仿宋_GB2312" w:eastAsia="仿宋_GB2312"/>
          <w:color w:val="000000"/>
          <w:sz w:val="28"/>
          <w:szCs w:val="28"/>
        </w:rPr>
        <w:t>　　（三）在一至三年内禁止代理政府采购业务（处罚期限届满的除外）；</w:t>
      </w:r>
      <w:r>
        <w:rPr>
          <w:rFonts w:hint="eastAsia" w:ascii="仿宋_GB2312" w:eastAsia="仿宋_GB2312"/>
          <w:color w:val="000000"/>
          <w:sz w:val="28"/>
          <w:szCs w:val="28"/>
        </w:rPr>
        <w:br w:type="textWrapping"/>
      </w:r>
      <w:r>
        <w:rPr>
          <w:rFonts w:hint="eastAsia" w:ascii="仿宋_GB2312" w:hAnsi="宋体" w:eastAsia="仿宋_GB2312"/>
          <w:color w:val="000000"/>
          <w:sz w:val="28"/>
          <w:szCs w:val="28"/>
        </w:rPr>
        <w:t xml:space="preserve">　 </w:t>
      </w:r>
      <w:r>
        <w:rPr>
          <w:rFonts w:hint="eastAsia" w:ascii="仿宋_GB2312" w:eastAsia="仿宋_GB2312"/>
          <w:color w:val="000000"/>
          <w:sz w:val="28"/>
          <w:szCs w:val="28"/>
        </w:rPr>
        <w:t>（四）撤销政府采购代理机构资格（仅针对《政府采购法》第78条修改前作出的处罚决定）。</w:t>
      </w:r>
    </w:p>
    <w:p w14:paraId="4AAA1018">
      <w:pPr>
        <w:adjustRightInd w:val="0"/>
        <w:snapToGrid w:val="0"/>
        <w:spacing w:line="560" w:lineRule="exact"/>
        <w:ind w:firstLine="562" w:firstLineChars="200"/>
        <w:jc w:val="left"/>
        <w:rPr>
          <w:rFonts w:hint="eastAsia" w:ascii="仿宋_GB2312" w:eastAsia="仿宋_GB2312"/>
          <w:b/>
          <w:color w:val="000000"/>
          <w:sz w:val="28"/>
          <w:szCs w:val="28"/>
        </w:rPr>
      </w:pPr>
      <w:r>
        <w:rPr>
          <w:rFonts w:hint="eastAsia" w:ascii="仿宋_GB2312" w:eastAsia="仿宋_GB2312"/>
          <w:b/>
          <w:color w:val="000000"/>
          <w:sz w:val="28"/>
          <w:szCs w:val="28"/>
        </w:rPr>
        <w:t>依据：《关于报送政府采购严重违法失信行为信息记录的通知》</w:t>
      </w:r>
      <w:r>
        <w:rPr>
          <w:b/>
          <w:color w:val="000000"/>
          <w:sz w:val="28"/>
          <w:szCs w:val="28"/>
        </w:rPr>
        <w:t>（</w:t>
      </w:r>
      <w:r>
        <w:rPr>
          <w:rFonts w:hint="eastAsia"/>
          <w:b/>
          <w:color w:val="000000"/>
          <w:sz w:val="28"/>
          <w:szCs w:val="28"/>
        </w:rPr>
        <w:t>财办库〔</w:t>
      </w:r>
      <w:r>
        <w:rPr>
          <w:b/>
          <w:color w:val="000000"/>
          <w:sz w:val="28"/>
          <w:szCs w:val="28"/>
        </w:rPr>
        <w:t>201</w:t>
      </w:r>
      <w:r>
        <w:rPr>
          <w:rFonts w:hint="eastAsia"/>
          <w:b/>
          <w:color w:val="000000"/>
          <w:sz w:val="28"/>
          <w:szCs w:val="28"/>
        </w:rPr>
        <w:t>4〕526</w:t>
      </w:r>
      <w:r>
        <w:rPr>
          <w:b/>
          <w:color w:val="000000"/>
          <w:sz w:val="28"/>
          <w:szCs w:val="28"/>
        </w:rPr>
        <w:t>号）</w:t>
      </w:r>
    </w:p>
    <w:p w14:paraId="7E2E522F">
      <w:pPr>
        <w:adjustRightInd w:val="0"/>
        <w:snapToGrid w:val="0"/>
        <w:spacing w:line="560" w:lineRule="exact"/>
        <w:ind w:firstLine="562" w:firstLineChars="200"/>
        <w:rPr>
          <w:rFonts w:hint="eastAsia" w:ascii="仿宋_GB2312" w:hAnsi="宋体" w:eastAsia="仿宋_GB2312"/>
          <w:b/>
          <w:color w:val="000000"/>
          <w:sz w:val="28"/>
          <w:szCs w:val="28"/>
        </w:rPr>
      </w:pPr>
    </w:p>
    <w:p w14:paraId="6B1F365A">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七、水利建设领域严重失信行为</w:t>
      </w:r>
    </w:p>
    <w:p w14:paraId="45BA3D76">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（一）1年内不良行为记录累计扣分达到20分的；</w:t>
      </w:r>
    </w:p>
    <w:p w14:paraId="36953CAC">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（二）"重点关注名单"公开期满后仍不整改的；</w:t>
      </w:r>
    </w:p>
    <w:p w14:paraId="7D3BBE15">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（三）存在以下严重危害人民群众身体健康、生命安全和工程质量，以及特别严重违规行为之一的：</w:t>
      </w:r>
    </w:p>
    <w:p w14:paraId="79D24D34">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1.发生重大、特大质量或安全事故，并负有直接责任的；</w:t>
      </w:r>
    </w:p>
    <w:p w14:paraId="3010D959">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2.在单位公开信息、工程相关技术成果和工程建设过程中隐瞒真实情况、弄虚作假，提供虚假材料，谋取不正当利益的；</w:t>
      </w:r>
    </w:p>
    <w:p w14:paraId="5FDF119E">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3.违反有关法律、法规、规章、政策、技术标准、设计文件、合同等有关规定开展工作造成的工程质量问题，经处理后仍影响工程正常使用或减少工程使用寿命的；</w:t>
      </w:r>
    </w:p>
    <w:p w14:paraId="25F4E6DF">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4.违反规定施工，造成生态环境严重破坏且拒不修复的；</w:t>
      </w:r>
    </w:p>
    <w:p w14:paraId="314E20C2">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5.被证实恶意制造工程质量缺陷或质量隐患的；</w:t>
      </w:r>
    </w:p>
    <w:p w14:paraId="074E4A70">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6.其他违反法律法规，造成严重后果或社会危害较大的。</w:t>
      </w:r>
    </w:p>
    <w:p w14:paraId="4B4B5B36">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（四）存在以下严重破坏市场公平竞争秩序和社会正常秩序行为之一的：</w:t>
      </w:r>
    </w:p>
    <w:p w14:paraId="3AA3E953">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1.不按合同约定，恶意拖欠承包人项目款的；</w:t>
      </w:r>
    </w:p>
    <w:p w14:paraId="62E3C2D3">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2.隐瞒有关情况或者提供虚假材料申请资质的，在全国水利建设市场监管服务平台公开虚假信息的，以欺骗、贿赂等不正当手段取得资质等级证书的；</w:t>
      </w:r>
    </w:p>
    <w:p w14:paraId="61688575">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3.出借、借用资质证书,允许他人以本单位名义或借用他人名义等弄虚作假方式承揽业务的；</w:t>
      </w:r>
    </w:p>
    <w:p w14:paraId="03E3FED1">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4.未取得相应资质或超越资质证书核定范围、营业范围承揽业务的；</w:t>
      </w:r>
    </w:p>
    <w:p w14:paraId="2FFB55B1">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5.操纵招标过程，谋取不正当利益的；</w:t>
      </w:r>
    </w:p>
    <w:p w14:paraId="37673244">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6.与招标人或投标人串通投标的；</w:t>
      </w:r>
    </w:p>
    <w:p w14:paraId="2317CA6C">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7.以向招标人或评标委员会成员行贿的手段谋取中标的；</w:t>
      </w:r>
    </w:p>
    <w:p w14:paraId="6E121900">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8.中标后，无正当理由不签订合同的；</w:t>
      </w:r>
    </w:p>
    <w:p w14:paraId="2B9D95D8">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9.转包或违法分包所承揽业务的；</w:t>
      </w:r>
    </w:p>
    <w:p w14:paraId="036992B6">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10.弄虚作假，以欺诈手段降低工程或设备质量的；</w:t>
      </w:r>
    </w:p>
    <w:p w14:paraId="593AA77B">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11.单位行贿、受贿，受到刑事处罚的；</w:t>
      </w:r>
    </w:p>
    <w:p w14:paraId="6B2EC4D3">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12.逃税骗税、恶意逃废债务的；</w:t>
      </w:r>
    </w:p>
    <w:p w14:paraId="448499E3">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13.参与非法集资，受到刑事处罚的；</w:t>
      </w:r>
    </w:p>
    <w:p w14:paraId="48321B01">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14.在签订、履行合同过程中，存在合同欺诈行为，受到刑事处罚的；</w:t>
      </w:r>
    </w:p>
    <w:p w14:paraId="6F2ADF97">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15.虚构工程项目，套取资金的；</w:t>
      </w:r>
    </w:p>
    <w:p w14:paraId="6069FF0A">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16.克扣、无故拖欠农民工工资报酬，数额达到认定拒不支付劳动报酬罪数额标准的；</w:t>
      </w:r>
    </w:p>
    <w:p w14:paraId="4A51C631">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17.发生社会公共事件，影响较大，并负有直接责任的。</w:t>
      </w:r>
    </w:p>
    <w:p w14:paraId="0B0F0859">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（五）存在以下拒不履行法定义务，严重影响司法机关、行政机关公信力行为之一的：</w:t>
      </w:r>
    </w:p>
    <w:p w14:paraId="6A1E1F45">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1.发生事故拒绝接受调查或拒绝提供有关资料的；</w:t>
      </w:r>
    </w:p>
    <w:p w14:paraId="5D23E5CF">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2.拒不执行生效的行政处罚决定的；</w:t>
      </w:r>
    </w:p>
    <w:p w14:paraId="1A650F0A">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3.拒不执行仲裁、法院判决结果的。</w:t>
      </w:r>
    </w:p>
    <w:p w14:paraId="5226F831">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（六）被相关联合惩戒部门列入"黑名单"，符合联合惩戒措施的。</w:t>
      </w:r>
    </w:p>
    <w:p w14:paraId="71A81435">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生产建设项目水土保持市场主体"黑名单"列入标准见《水利建设市场主体信用信息管理办法》附件。</w:t>
      </w:r>
    </w:p>
    <w:p w14:paraId="21C381DB">
      <w:pPr>
        <w:adjustRightInd w:val="0"/>
        <w:snapToGrid w:val="0"/>
        <w:spacing w:line="560" w:lineRule="exact"/>
        <w:ind w:firstLine="615"/>
        <w:rPr>
          <w:rFonts w:hint="eastAsia" w:ascii="仿宋_GB2312" w:eastAsia="仿宋_GB2312"/>
          <w:color w:val="000000"/>
          <w:sz w:val="28"/>
          <w:szCs w:val="28"/>
        </w:rPr>
      </w:pPr>
      <w:r>
        <w:rPr>
          <w:rFonts w:hint="eastAsia" w:ascii="仿宋_GB2312" w:eastAsia="仿宋_GB2312"/>
          <w:color w:val="000000"/>
          <w:sz w:val="28"/>
          <w:szCs w:val="28"/>
        </w:rPr>
        <w:t>依据：《水利建设市场主体信用评价管理办法》水建设〔2019〕307号、《水利建设市场主体信用信息管理办法》水建设〔2019〕306号</w:t>
      </w:r>
    </w:p>
    <w:p w14:paraId="59C666CB">
      <w:pPr>
        <w:adjustRightInd w:val="0"/>
        <w:snapToGrid w:val="0"/>
        <w:spacing w:line="560" w:lineRule="exact"/>
        <w:ind w:firstLine="615"/>
        <w:rPr>
          <w:rFonts w:hint="eastAsia" w:ascii="仿宋_GB2312" w:hAnsi="宋体" w:eastAsia="仿宋_GB2312"/>
          <w:b/>
          <w:color w:val="000000"/>
          <w:sz w:val="28"/>
          <w:szCs w:val="28"/>
        </w:rPr>
      </w:pPr>
    </w:p>
    <w:p w14:paraId="28CFBEF9">
      <w:pPr>
        <w:ind w:firstLine="615"/>
        <w:rPr>
          <w:rFonts w:hint="eastAsia" w:ascii="仿宋_GB2312" w:hAnsi="宋体" w:eastAsia="仿宋_GB2312"/>
          <w:b/>
          <w:sz w:val="28"/>
          <w:szCs w:val="28"/>
        </w:rPr>
      </w:pPr>
      <w:r>
        <w:rPr>
          <w:rFonts w:hint="eastAsia" w:ascii="仿宋_GB2312" w:hAnsi="宋体" w:eastAsia="仿宋_GB2312"/>
          <w:b/>
          <w:color w:val="000000"/>
          <w:sz w:val="28"/>
          <w:szCs w:val="28"/>
        </w:rPr>
        <w:t>未列出的其他类别严重失信行为，由招标人（代理机构）根据各类别行业主管部门下发的联合惩戒文件进行判</w:t>
      </w:r>
      <w:r>
        <w:rPr>
          <w:rFonts w:hint="eastAsia" w:ascii="仿宋_GB2312" w:hAnsi="宋体" w:eastAsia="仿宋_GB2312"/>
          <w:b/>
          <w:color w:val="000000"/>
          <w:sz w:val="32"/>
          <w:szCs w:val="32"/>
        </w:rPr>
        <w:t>断。</w:t>
      </w:r>
    </w:p>
    <w:p w14:paraId="4980C54E">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65BEF94D">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7EF897C3">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24ACAF91">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442441DF">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3C622500">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280BA1A8">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10D39A8D">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3FD69232">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4DB09D40">
      <w:pPr>
        <w:spacing w:line="440" w:lineRule="exact"/>
        <w:jc w:val="center"/>
        <w:outlineLvl w:val="0"/>
        <w:rPr>
          <w:rFonts w:hint="eastAsia" w:ascii="宋体"/>
          <w:color w:val="auto"/>
          <w:sz w:val="24"/>
          <w:highlight w:val="none"/>
          <w:u w:val="single"/>
        </w:rPr>
      </w:pPr>
      <w:bookmarkStart w:id="71" w:name="_GoBack"/>
      <w:bookmarkEnd w:id="71"/>
      <w:r>
        <w:rPr>
          <w:rFonts w:hint="eastAsia" w:ascii="Times New Roman" w:hAnsi="宋体" w:eastAsia="宋体" w:cs="Times New Roman"/>
          <w:b/>
          <w:bCs/>
          <w:color w:val="auto"/>
          <w:sz w:val="32"/>
          <w:szCs w:val="32"/>
          <w:highlight w:val="none"/>
          <w:lang w:val="en-US" w:eastAsia="zh-CN"/>
        </w:rPr>
        <w:t>第七章  招标单位、招标代理机构对本招标文件的确认</w:t>
      </w:r>
    </w:p>
    <w:tbl>
      <w:tblPr>
        <w:tblStyle w:val="26"/>
        <w:tblpPr w:leftFromText="180" w:rightFromText="180" w:vertAnchor="text" w:horzAnchor="page" w:tblpX="1353" w:tblpY="417"/>
        <w:tblOverlap w:val="never"/>
        <w:tblW w:w="0" w:type="auto"/>
        <w:tblInd w:w="0" w:type="dxa"/>
        <w:tblLayout w:type="fixed"/>
        <w:tblCellMar>
          <w:top w:w="0" w:type="dxa"/>
          <w:left w:w="108" w:type="dxa"/>
          <w:bottom w:w="0" w:type="dxa"/>
          <w:right w:w="108" w:type="dxa"/>
        </w:tblCellMar>
      </w:tblPr>
      <w:tblGrid>
        <w:gridCol w:w="9374"/>
      </w:tblGrid>
      <w:tr w14:paraId="153588D3">
        <w:trPr>
          <w:trHeight w:val="4493" w:hRule="atLeast"/>
        </w:trPr>
        <w:tc>
          <w:tcPr>
            <w:tcW w:w="9374" w:type="dxa"/>
            <w:tcBorders>
              <w:top w:val="single" w:color="auto" w:sz="4" w:space="0"/>
              <w:left w:val="single" w:color="auto" w:sz="4" w:space="0"/>
              <w:bottom w:val="single" w:color="auto" w:sz="4" w:space="0"/>
              <w:right w:val="single" w:color="auto" w:sz="4" w:space="0"/>
            </w:tcBorders>
            <w:noWrap w:val="0"/>
            <w:vAlign w:val="top"/>
          </w:tcPr>
          <w:p w14:paraId="6FB54732">
            <w:pPr>
              <w:keepNext w:val="0"/>
              <w:keepLines w:val="0"/>
              <w:suppressLineNumbers w:val="0"/>
              <w:spacing w:before="0" w:beforeAutospacing="0" w:after="0" w:afterAutospacing="0" w:line="440" w:lineRule="exact"/>
              <w:ind w:left="0" w:right="0" w:firstLine="560" w:firstLineChars="200"/>
              <w:rPr>
                <w:rFonts w:hint="eastAsia" w:ascii="宋体" w:cs="宋体"/>
                <w:color w:val="auto"/>
                <w:sz w:val="28"/>
                <w:szCs w:val="28"/>
                <w:highlight w:val="none"/>
              </w:rPr>
            </w:pPr>
          </w:p>
          <w:p w14:paraId="72E1ACBD">
            <w:pPr>
              <w:keepNext w:val="0"/>
              <w:keepLines w:val="0"/>
              <w:suppressLineNumbers w:val="0"/>
              <w:spacing w:before="0" w:beforeAutospacing="0" w:after="156" w:afterLines="50" w:afterAutospacing="0"/>
              <w:ind w:left="0" w:right="0"/>
              <w:rPr>
                <w:rFonts w:hint="eastAsia" w:ascii="宋体" w:cs="宋体"/>
                <w:color w:val="auto"/>
                <w:sz w:val="28"/>
                <w:szCs w:val="28"/>
                <w:highlight w:val="none"/>
              </w:rPr>
            </w:pPr>
            <w:r>
              <w:rPr>
                <w:rFonts w:hint="eastAsia" w:ascii="宋体" w:cs="宋体"/>
                <w:color w:val="auto"/>
                <w:sz w:val="28"/>
                <w:szCs w:val="28"/>
                <w:highlight w:val="none"/>
              </w:rPr>
              <w:t xml:space="preserve">   我单位对</w:t>
            </w:r>
            <w:r>
              <w:rPr>
                <w:rFonts w:hint="eastAsia" w:ascii="宋体" w:cs="宋体"/>
                <w:color w:val="auto"/>
                <w:sz w:val="28"/>
                <w:szCs w:val="28"/>
                <w:highlight w:val="none"/>
                <w:u w:val="single"/>
                <w:lang w:eastAsia="zh-CN"/>
              </w:rPr>
              <w:t>2025年琅琊山森林漂流皮划艇采购项目（二次）</w:t>
            </w:r>
            <w:r>
              <w:rPr>
                <w:rFonts w:hint="eastAsia" w:ascii="宋体" w:cs="宋体"/>
                <w:color w:val="auto"/>
                <w:sz w:val="28"/>
                <w:szCs w:val="28"/>
                <w:highlight w:val="none"/>
              </w:rPr>
              <w:t>的招标文件进行确认。</w:t>
            </w:r>
          </w:p>
          <w:p w14:paraId="0B1BFC9F">
            <w:pPr>
              <w:keepNext w:val="0"/>
              <w:keepLines w:val="0"/>
              <w:suppressLineNumbers w:val="0"/>
              <w:spacing w:before="0" w:beforeAutospacing="0" w:after="0" w:afterAutospacing="0" w:line="540" w:lineRule="exact"/>
              <w:ind w:left="0" w:right="0" w:firstLine="560" w:firstLineChars="200"/>
              <w:rPr>
                <w:rFonts w:hint="eastAsia" w:ascii="宋体" w:hAnsi="Times New Roman" w:eastAsia="宋体" w:cs="宋体"/>
                <w:b w:val="0"/>
                <w:bCs w:val="0"/>
                <w:color w:val="auto"/>
                <w:sz w:val="28"/>
                <w:szCs w:val="28"/>
                <w:highlight w:val="none"/>
                <w:lang w:val="en-US" w:eastAsia="zh-CN"/>
              </w:rPr>
            </w:pPr>
            <w:r>
              <w:rPr>
                <w:rFonts w:hint="eastAsia" w:ascii="宋体" w:cs="宋体"/>
                <w:color w:val="auto"/>
                <w:sz w:val="28"/>
                <w:szCs w:val="28"/>
                <w:highlight w:val="none"/>
                <w:lang w:eastAsia="zh-CN"/>
              </w:rPr>
              <w:t>招标人</w:t>
            </w:r>
            <w:r>
              <w:rPr>
                <w:rFonts w:hint="eastAsia" w:ascii="宋体" w:cs="宋体"/>
                <w:color w:val="auto"/>
                <w:sz w:val="28"/>
                <w:szCs w:val="28"/>
                <w:highlight w:val="none"/>
              </w:rPr>
              <w:t>：</w:t>
            </w:r>
            <w:r>
              <w:rPr>
                <w:rFonts w:hint="eastAsia" w:ascii="宋体" w:cs="宋体"/>
                <w:color w:val="auto"/>
                <w:sz w:val="28"/>
                <w:szCs w:val="28"/>
                <w:highlight w:val="none"/>
                <w:lang w:val="en-US" w:eastAsia="zh-CN"/>
              </w:rPr>
              <w:t>安徽省琅耶山健身休闲有限公司</w:t>
            </w:r>
          </w:p>
          <w:p w14:paraId="677509EE">
            <w:pPr>
              <w:keepNext w:val="0"/>
              <w:keepLines w:val="0"/>
              <w:suppressLineNumbers w:val="0"/>
              <w:spacing w:before="0" w:beforeAutospacing="0" w:after="0" w:afterAutospacing="0" w:line="540" w:lineRule="exact"/>
              <w:ind w:left="0" w:right="0" w:firstLine="560" w:firstLineChars="200"/>
              <w:rPr>
                <w:rFonts w:hint="default" w:ascii="宋体" w:hAnsi="Times New Roman" w:eastAsia="宋体" w:cs="宋体"/>
                <w:b w:val="0"/>
                <w:bCs w:val="0"/>
                <w:color w:val="auto"/>
                <w:sz w:val="28"/>
                <w:szCs w:val="28"/>
                <w:highlight w:val="none"/>
                <w:lang w:val="en-US" w:eastAsia="zh-CN"/>
              </w:rPr>
            </w:pPr>
            <w:r>
              <w:rPr>
                <w:rFonts w:hint="eastAsia" w:ascii="宋体" w:hAnsi="Times New Roman" w:eastAsia="宋体" w:cs="宋体"/>
                <w:b w:val="0"/>
                <w:bCs w:val="0"/>
                <w:color w:val="auto"/>
                <w:sz w:val="28"/>
                <w:szCs w:val="28"/>
                <w:highlight w:val="none"/>
                <w:lang w:val="en-US" w:eastAsia="zh-CN"/>
              </w:rPr>
              <w:t>经办人：钱宇欣</w:t>
            </w:r>
          </w:p>
          <w:p w14:paraId="21B318B8">
            <w:pPr>
              <w:keepNext w:val="0"/>
              <w:keepLines w:val="0"/>
              <w:suppressLineNumbers w:val="0"/>
              <w:spacing w:before="0" w:beforeAutospacing="0" w:after="0" w:afterAutospacing="0" w:line="540" w:lineRule="exact"/>
              <w:ind w:left="0" w:right="0" w:firstLine="560" w:firstLineChars="200"/>
              <w:rPr>
                <w:rFonts w:hint="default" w:ascii="宋体" w:hAnsi="Times New Roman" w:eastAsia="宋体" w:cs="宋体"/>
                <w:b w:val="0"/>
                <w:bCs w:val="0"/>
                <w:color w:val="auto"/>
                <w:sz w:val="28"/>
                <w:szCs w:val="28"/>
                <w:highlight w:val="none"/>
                <w:lang w:val="en-US" w:eastAsia="zh-CN"/>
              </w:rPr>
            </w:pPr>
            <w:r>
              <w:rPr>
                <w:rFonts w:hint="eastAsia" w:ascii="宋体" w:hAnsi="Times New Roman" w:eastAsia="宋体" w:cs="宋体"/>
                <w:b w:val="0"/>
                <w:bCs w:val="0"/>
                <w:color w:val="auto"/>
                <w:sz w:val="28"/>
                <w:szCs w:val="28"/>
                <w:highlight w:val="none"/>
                <w:lang w:val="en-US" w:eastAsia="zh-CN"/>
              </w:rPr>
              <w:t>联系电话：13365700719</w:t>
            </w:r>
          </w:p>
          <w:p w14:paraId="49285D07">
            <w:pPr>
              <w:keepNext w:val="0"/>
              <w:keepLines w:val="0"/>
              <w:suppressLineNumbers w:val="0"/>
              <w:spacing w:before="0" w:beforeAutospacing="0" w:after="0" w:afterAutospacing="0" w:line="540" w:lineRule="exact"/>
              <w:ind w:left="0" w:right="0" w:firstLine="5600" w:firstLineChars="2000"/>
              <w:rPr>
                <w:rFonts w:hint="eastAsia" w:ascii="宋体" w:cs="宋体"/>
                <w:color w:val="auto"/>
                <w:sz w:val="28"/>
                <w:szCs w:val="28"/>
                <w:highlight w:val="none"/>
              </w:rPr>
            </w:pPr>
          </w:p>
          <w:p w14:paraId="6C70BBCA">
            <w:pPr>
              <w:keepNext w:val="0"/>
              <w:keepLines w:val="0"/>
              <w:suppressLineNumbers w:val="0"/>
              <w:spacing w:before="0" w:beforeAutospacing="0" w:after="0" w:afterAutospacing="0" w:line="520" w:lineRule="exact"/>
              <w:ind w:right="0" w:firstLine="5880" w:firstLineChars="2100"/>
              <w:rPr>
                <w:rFonts w:hint="eastAsia" w:ascii="宋体" w:cs="宋体"/>
                <w:color w:val="auto"/>
                <w:sz w:val="28"/>
                <w:szCs w:val="28"/>
                <w:highlight w:val="none"/>
              </w:rPr>
            </w:pPr>
            <w:r>
              <w:rPr>
                <w:rFonts w:hint="eastAsia" w:ascii="宋体" w:cs="宋体"/>
                <w:color w:val="auto"/>
                <w:sz w:val="28"/>
                <w:szCs w:val="28"/>
                <w:highlight w:val="none"/>
                <w:lang w:eastAsia="zh-CN"/>
              </w:rPr>
              <w:t>（单位盖章）</w:t>
            </w:r>
          </w:p>
          <w:p w14:paraId="3EF21840">
            <w:pPr>
              <w:keepNext w:val="0"/>
              <w:keepLines w:val="0"/>
              <w:suppressLineNumbers w:val="0"/>
              <w:spacing w:before="0" w:beforeAutospacing="0" w:after="0" w:afterAutospacing="0" w:line="540" w:lineRule="exact"/>
              <w:ind w:left="0" w:right="0" w:firstLine="6160" w:firstLineChars="2200"/>
              <w:rPr>
                <w:rFonts w:hint="default" w:ascii="宋体" w:eastAsia="宋体" w:cs="宋体"/>
                <w:color w:val="auto"/>
                <w:sz w:val="28"/>
                <w:szCs w:val="28"/>
                <w:highlight w:val="none"/>
                <w:lang w:val="en-US" w:eastAsia="zh-CN"/>
              </w:rPr>
            </w:pPr>
            <w:r>
              <w:rPr>
                <w:rFonts w:hint="eastAsia" w:ascii="宋体" w:cs="宋体"/>
                <w:color w:val="auto"/>
                <w:sz w:val="28"/>
                <w:szCs w:val="28"/>
                <w:highlight w:val="none"/>
              </w:rPr>
              <w:t>20</w:t>
            </w:r>
            <w:r>
              <w:rPr>
                <w:rFonts w:hint="eastAsia" w:ascii="宋体" w:cs="宋体"/>
                <w:color w:val="auto"/>
                <w:sz w:val="28"/>
                <w:szCs w:val="28"/>
                <w:highlight w:val="none"/>
                <w:lang w:val="en-US" w:eastAsia="zh-CN"/>
              </w:rPr>
              <w:t>25</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3</w:t>
            </w:r>
            <w:r>
              <w:rPr>
                <w:rFonts w:hint="eastAsia" w:ascii="宋体" w:cs="宋体"/>
                <w:color w:val="auto"/>
                <w:sz w:val="28"/>
                <w:szCs w:val="28"/>
                <w:highlight w:val="none"/>
              </w:rPr>
              <w:t>月</w:t>
            </w:r>
            <w:r>
              <w:rPr>
                <w:rFonts w:hint="eastAsia" w:ascii="宋体" w:cs="宋体"/>
                <w:color w:val="auto"/>
                <w:sz w:val="28"/>
                <w:szCs w:val="28"/>
                <w:highlight w:val="none"/>
                <w:lang w:val="en-US" w:eastAsia="zh-CN"/>
              </w:rPr>
              <w:t xml:space="preserve"> </w:t>
            </w:r>
          </w:p>
          <w:p w14:paraId="13420964">
            <w:pPr>
              <w:keepNext w:val="0"/>
              <w:keepLines w:val="0"/>
              <w:suppressLineNumbers w:val="0"/>
              <w:spacing w:before="0" w:beforeAutospacing="0" w:after="0" w:afterAutospacing="0" w:line="540" w:lineRule="exact"/>
              <w:ind w:left="0" w:right="0" w:firstLine="5880" w:firstLineChars="2100"/>
              <w:rPr>
                <w:rFonts w:hint="eastAsia" w:ascii="宋体" w:cs="宋体"/>
                <w:color w:val="auto"/>
                <w:sz w:val="28"/>
                <w:szCs w:val="28"/>
                <w:highlight w:val="none"/>
              </w:rPr>
            </w:pPr>
          </w:p>
        </w:tc>
      </w:tr>
      <w:tr w14:paraId="5B62C27B">
        <w:tblPrEx>
          <w:tblCellMar>
            <w:top w:w="0" w:type="dxa"/>
            <w:left w:w="108" w:type="dxa"/>
            <w:bottom w:w="0" w:type="dxa"/>
            <w:right w:w="108" w:type="dxa"/>
          </w:tblCellMar>
        </w:tblPrEx>
        <w:trPr>
          <w:trHeight w:val="5310" w:hRule="atLeast"/>
        </w:trPr>
        <w:tc>
          <w:tcPr>
            <w:tcW w:w="9374" w:type="dxa"/>
            <w:tcBorders>
              <w:top w:val="single" w:color="auto" w:sz="4" w:space="0"/>
              <w:left w:val="single" w:color="auto" w:sz="4" w:space="0"/>
              <w:bottom w:val="single" w:color="auto" w:sz="4" w:space="0"/>
              <w:right w:val="single" w:color="auto" w:sz="4" w:space="0"/>
            </w:tcBorders>
            <w:noWrap w:val="0"/>
            <w:vAlign w:val="top"/>
          </w:tcPr>
          <w:p w14:paraId="4103B534">
            <w:pPr>
              <w:keepNext w:val="0"/>
              <w:keepLines w:val="0"/>
              <w:suppressLineNumbers w:val="0"/>
              <w:spacing w:before="0" w:beforeAutospacing="0" w:after="0" w:afterAutospacing="0" w:line="440" w:lineRule="exact"/>
              <w:ind w:left="0" w:right="0"/>
              <w:rPr>
                <w:rFonts w:hint="eastAsia" w:ascii="宋体" w:cs="宋体"/>
                <w:color w:val="auto"/>
                <w:sz w:val="28"/>
                <w:szCs w:val="28"/>
                <w:highlight w:val="none"/>
              </w:rPr>
            </w:pPr>
          </w:p>
          <w:p w14:paraId="24A15FBE">
            <w:pPr>
              <w:keepNext w:val="0"/>
              <w:keepLines w:val="0"/>
              <w:suppressLineNumbers w:val="0"/>
              <w:spacing w:before="0" w:beforeAutospacing="0" w:after="0" w:afterAutospacing="0" w:line="560" w:lineRule="exact"/>
              <w:ind w:left="0" w:right="0" w:firstLine="560" w:firstLineChars="200"/>
              <w:rPr>
                <w:rFonts w:hint="eastAsia" w:eastAsiaTheme="minorEastAsia"/>
                <w:color w:val="auto"/>
                <w:sz w:val="28"/>
                <w:szCs w:val="28"/>
                <w:highlight w:val="none"/>
                <w:lang w:eastAsia="zh-CN"/>
              </w:rPr>
            </w:pPr>
            <w:r>
              <w:rPr>
                <w:rFonts w:hint="eastAsia"/>
                <w:color w:val="auto"/>
                <w:sz w:val="28"/>
                <w:szCs w:val="28"/>
                <w:highlight w:val="none"/>
              </w:rPr>
              <w:t xml:space="preserve">招标代理机构： </w:t>
            </w:r>
            <w:r>
              <w:rPr>
                <w:rFonts w:hint="eastAsia"/>
                <w:color w:val="auto"/>
                <w:sz w:val="28"/>
                <w:szCs w:val="28"/>
                <w:highlight w:val="none"/>
                <w:lang w:eastAsia="zh-CN"/>
              </w:rPr>
              <w:t>安徽诚昇工程技术有限公司</w:t>
            </w:r>
          </w:p>
          <w:p w14:paraId="20DE938A">
            <w:pPr>
              <w:keepNext w:val="0"/>
              <w:keepLines w:val="0"/>
              <w:suppressLineNumbers w:val="0"/>
              <w:spacing w:before="0" w:beforeAutospacing="0" w:after="0" w:afterAutospacing="0" w:line="560" w:lineRule="exact"/>
              <w:ind w:left="0" w:right="0" w:firstLine="560" w:firstLineChars="200"/>
              <w:rPr>
                <w:rFonts w:hint="default" w:eastAsia="宋体"/>
                <w:color w:val="auto"/>
                <w:sz w:val="28"/>
                <w:szCs w:val="28"/>
                <w:highlight w:val="none"/>
                <w:lang w:val="en-US" w:eastAsia="zh-CN"/>
              </w:rPr>
            </w:pPr>
            <w:r>
              <w:rPr>
                <w:rFonts w:hint="eastAsia"/>
                <w:color w:val="auto"/>
                <w:sz w:val="28"/>
                <w:szCs w:val="28"/>
                <w:highlight w:val="none"/>
              </w:rPr>
              <w:t>联系人：</w:t>
            </w:r>
            <w:r>
              <w:rPr>
                <w:rFonts w:hint="eastAsia"/>
                <w:color w:val="auto"/>
                <w:sz w:val="28"/>
                <w:szCs w:val="28"/>
                <w:highlight w:val="none"/>
                <w:lang w:val="en-US" w:eastAsia="zh-CN"/>
              </w:rPr>
              <w:t>陈艳菊</w:t>
            </w:r>
          </w:p>
          <w:p w14:paraId="4E20AD16">
            <w:pPr>
              <w:keepNext w:val="0"/>
              <w:keepLines w:val="0"/>
              <w:suppressLineNumbers w:val="0"/>
              <w:spacing w:before="0" w:beforeAutospacing="0" w:after="0" w:afterAutospacing="0" w:line="560" w:lineRule="exact"/>
              <w:ind w:left="0" w:right="0" w:firstLine="560" w:firstLineChars="200"/>
              <w:rPr>
                <w:rFonts w:hint="default" w:eastAsia="宋体"/>
                <w:color w:val="auto"/>
                <w:sz w:val="28"/>
                <w:szCs w:val="28"/>
                <w:highlight w:val="none"/>
                <w:lang w:val="en-US" w:eastAsia="zh-CN"/>
              </w:rPr>
            </w:pPr>
            <w:r>
              <w:rPr>
                <w:rFonts w:hint="eastAsia"/>
                <w:color w:val="auto"/>
                <w:sz w:val="28"/>
                <w:szCs w:val="28"/>
                <w:highlight w:val="none"/>
              </w:rPr>
              <w:t>联系电话：</w:t>
            </w: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15255016513</w:t>
            </w:r>
          </w:p>
          <w:p w14:paraId="7068C2D0">
            <w:pPr>
              <w:keepNext w:val="0"/>
              <w:keepLines w:val="0"/>
              <w:suppressLineNumbers w:val="0"/>
              <w:spacing w:before="0" w:beforeAutospacing="0" w:after="0" w:afterAutospacing="0" w:line="560" w:lineRule="exact"/>
              <w:ind w:left="0" w:right="0" w:firstLine="280" w:firstLineChars="100"/>
              <w:rPr>
                <w:rFonts w:hint="eastAsia"/>
                <w:color w:val="auto"/>
                <w:sz w:val="28"/>
                <w:szCs w:val="28"/>
                <w:highlight w:val="none"/>
              </w:rPr>
            </w:pPr>
            <w:r>
              <w:rPr>
                <w:rFonts w:hint="eastAsia"/>
                <w:color w:val="auto"/>
                <w:sz w:val="28"/>
                <w:szCs w:val="28"/>
                <w:highlight w:val="none"/>
              </w:rPr>
              <w:t xml:space="preserve">                                  </w:t>
            </w:r>
          </w:p>
          <w:p w14:paraId="394B3D68">
            <w:pPr>
              <w:keepNext w:val="0"/>
              <w:keepLines w:val="0"/>
              <w:suppressLineNumbers w:val="0"/>
              <w:spacing w:before="0" w:beforeAutospacing="0" w:after="0" w:afterAutospacing="0" w:line="520" w:lineRule="exact"/>
              <w:ind w:left="0" w:right="0" w:firstLine="560" w:firstLineChars="200"/>
              <w:rPr>
                <w:rFonts w:hint="eastAsia" w:ascii="宋体" w:cs="宋体"/>
                <w:color w:val="auto"/>
                <w:sz w:val="28"/>
                <w:szCs w:val="28"/>
                <w:highlight w:val="none"/>
              </w:rPr>
            </w:pPr>
            <w:r>
              <w:rPr>
                <w:rFonts w:hint="eastAsia"/>
                <w:color w:val="auto"/>
                <w:sz w:val="28"/>
                <w:szCs w:val="28"/>
                <w:highlight w:val="none"/>
              </w:rPr>
              <w:t xml:space="preserve">                                      </w:t>
            </w:r>
          </w:p>
          <w:p w14:paraId="365CCB40">
            <w:pPr>
              <w:keepNext w:val="0"/>
              <w:keepLines w:val="0"/>
              <w:suppressLineNumbers w:val="0"/>
              <w:spacing w:before="0" w:beforeAutospacing="0" w:after="0" w:afterAutospacing="0" w:line="520" w:lineRule="exact"/>
              <w:ind w:left="0" w:right="0" w:firstLine="6300" w:firstLineChars="2250"/>
              <w:rPr>
                <w:rFonts w:hint="eastAsia" w:ascii="宋体" w:cs="宋体"/>
                <w:color w:val="auto"/>
                <w:sz w:val="28"/>
                <w:szCs w:val="28"/>
                <w:highlight w:val="none"/>
              </w:rPr>
            </w:pPr>
          </w:p>
          <w:p w14:paraId="74B32838">
            <w:pPr>
              <w:keepNext w:val="0"/>
              <w:keepLines w:val="0"/>
              <w:suppressLineNumbers w:val="0"/>
              <w:spacing w:before="0" w:beforeAutospacing="0" w:after="0" w:afterAutospacing="0" w:line="520" w:lineRule="exact"/>
              <w:ind w:right="0" w:firstLine="5880" w:firstLineChars="2100"/>
              <w:rPr>
                <w:rFonts w:hint="eastAsia" w:ascii="宋体" w:cs="宋体" w:eastAsiaTheme="minorEastAsia"/>
                <w:color w:val="auto"/>
                <w:sz w:val="28"/>
                <w:szCs w:val="28"/>
                <w:highlight w:val="none"/>
                <w:lang w:eastAsia="zh-CN"/>
              </w:rPr>
            </w:pPr>
            <w:r>
              <w:rPr>
                <w:rFonts w:hint="eastAsia" w:ascii="宋体" w:cs="宋体"/>
                <w:color w:val="auto"/>
                <w:sz w:val="28"/>
                <w:szCs w:val="28"/>
                <w:highlight w:val="none"/>
                <w:lang w:eastAsia="zh-CN"/>
              </w:rPr>
              <w:t>（单位盖章）</w:t>
            </w:r>
          </w:p>
          <w:p w14:paraId="3757DA17">
            <w:pPr>
              <w:keepNext w:val="0"/>
              <w:keepLines w:val="0"/>
              <w:suppressLineNumbers w:val="0"/>
              <w:spacing w:before="0" w:beforeAutospacing="0" w:after="0" w:afterAutospacing="0" w:line="540" w:lineRule="exact"/>
              <w:ind w:left="0" w:right="0" w:firstLine="6160" w:firstLineChars="2200"/>
              <w:rPr>
                <w:rFonts w:hint="default" w:ascii="宋体" w:eastAsia="宋体" w:cs="宋体"/>
                <w:color w:val="auto"/>
                <w:sz w:val="28"/>
                <w:szCs w:val="28"/>
                <w:highlight w:val="none"/>
                <w:lang w:val="en-US" w:eastAsia="zh-CN"/>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5</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3</w:t>
            </w:r>
            <w:r>
              <w:rPr>
                <w:rFonts w:hint="eastAsia" w:ascii="宋体" w:cs="宋体"/>
                <w:color w:val="auto"/>
                <w:sz w:val="28"/>
                <w:szCs w:val="28"/>
                <w:highlight w:val="none"/>
              </w:rPr>
              <w:t>月</w:t>
            </w:r>
            <w:r>
              <w:rPr>
                <w:rFonts w:hint="eastAsia" w:ascii="宋体" w:cs="宋体"/>
                <w:color w:val="auto"/>
                <w:sz w:val="28"/>
                <w:szCs w:val="28"/>
                <w:highlight w:val="none"/>
                <w:lang w:val="en-US" w:eastAsia="zh-CN"/>
              </w:rPr>
              <w:t xml:space="preserve"> </w:t>
            </w:r>
          </w:p>
          <w:p w14:paraId="63C6D131">
            <w:pPr>
              <w:keepNext w:val="0"/>
              <w:keepLines w:val="0"/>
              <w:suppressLineNumbers w:val="0"/>
              <w:spacing w:before="0" w:beforeAutospacing="0" w:after="0" w:afterAutospacing="0" w:line="540" w:lineRule="exact"/>
              <w:ind w:left="0" w:right="0" w:firstLine="5952" w:firstLineChars="2126"/>
              <w:rPr>
                <w:rFonts w:hint="eastAsia" w:ascii="宋体" w:cs="宋体"/>
                <w:color w:val="auto"/>
                <w:sz w:val="28"/>
                <w:szCs w:val="28"/>
                <w:highlight w:val="none"/>
              </w:rPr>
            </w:pPr>
          </w:p>
        </w:tc>
      </w:tr>
    </w:tbl>
    <w:p w14:paraId="706E3063">
      <w:pPr>
        <w:pStyle w:val="2"/>
        <w:ind w:left="0" w:leftChars="0" w:firstLine="0" w:firstLineChars="0"/>
        <w:rPr>
          <w:rFonts w:hint="default" w:eastAsia="宋体"/>
          <w:highlight w:val="none"/>
          <w:lang w:val="en-US" w:eastAsia="zh-CN"/>
        </w:rPr>
      </w:pPr>
    </w:p>
    <w:p w14:paraId="4BBDD889">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D3360">
    <w:pPr>
      <w:pStyle w:val="17"/>
      <w:ind w:right="360"/>
      <w:rPr>
        <w:rStyle w:val="29"/>
      </w:rPr>
    </w:pPr>
  </w:p>
  <w:p w14:paraId="05138752">
    <w:pPr>
      <w:pStyle w:val="17"/>
      <w:framePr w:wrap="around" w:vAnchor="text" w:hAnchor="margin" w:xAlign="center" w:y="1"/>
      <w:ind w:right="360"/>
      <w:rPr>
        <w:rStyle w:val="29"/>
      </w:rPr>
    </w:pPr>
  </w:p>
  <w:p w14:paraId="69BDB70B">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3EF0A">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07AF5F">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507AF5F">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E78D1">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98DC3"/>
    <w:multiLevelType w:val="singleLevel"/>
    <w:tmpl w:val="A5498DC3"/>
    <w:lvl w:ilvl="0" w:tentative="0">
      <w:start w:val="1"/>
      <w:numFmt w:val="decimal"/>
      <w:lvlText w:val="%1."/>
      <w:lvlJc w:val="left"/>
      <w:pPr>
        <w:tabs>
          <w:tab w:val="left" w:pos="312"/>
        </w:tabs>
      </w:pPr>
    </w:lvl>
  </w:abstractNum>
  <w:abstractNum w:abstractNumId="1">
    <w:nsid w:val="00000004"/>
    <w:multiLevelType w:val="multilevel"/>
    <w:tmpl w:val="00000004"/>
    <w:lvl w:ilvl="0" w:tentative="0">
      <w:start w:val="1"/>
      <w:numFmt w:val="chineseCountingThousand"/>
      <w:pStyle w:val="24"/>
      <w:lvlText w:val="%1、"/>
      <w:lvlJc w:val="left"/>
      <w:pPr>
        <w:ind w:left="420" w:hanging="420"/>
      </w:pPr>
      <w:rPr>
        <w:rFonts w:ascii="Times New Roman" w:hAnsi="Times New Roman" w:cs="Times New Roman"/>
        <w:b w:val="0"/>
        <w:bCs w:val="0"/>
        <w:i w:val="0"/>
        <w:iCs w:val="0"/>
        <w:caps w:val="0"/>
        <w:smallCaps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7"/>
    <w:multiLevelType w:val="singleLevel"/>
    <w:tmpl w:val="00000007"/>
    <w:lvl w:ilvl="0" w:tentative="0">
      <w:start w:val="1"/>
      <w:numFmt w:val="decimal"/>
      <w:suff w:val="nothing"/>
      <w:lvlText w:val="（%1）"/>
      <w:lvlJc w:val="left"/>
    </w:lvl>
  </w:abstractNum>
  <w:abstractNum w:abstractNumId="3">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602EDD58"/>
    <w:multiLevelType w:val="singleLevel"/>
    <w:tmpl w:val="602EDD58"/>
    <w:lvl w:ilvl="0" w:tentative="0">
      <w:start w:val="3"/>
      <w:numFmt w:val="chineseCounting"/>
      <w:suff w:val="nothing"/>
      <w:lvlText w:val="%1、"/>
      <w:lvlJc w:val="left"/>
      <w:rPr>
        <w:rFonts w:hint="eastAsia"/>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zNGJmZTJjZjYyOTAxNmU5OTk2Y2FjYTZmMzRiZmQifQ=="/>
  </w:docVars>
  <w:rsids>
    <w:rsidRoot w:val="440F4D94"/>
    <w:rsid w:val="00774D08"/>
    <w:rsid w:val="013C690E"/>
    <w:rsid w:val="01A21D6C"/>
    <w:rsid w:val="01AF0E8E"/>
    <w:rsid w:val="01D118B5"/>
    <w:rsid w:val="01E37862"/>
    <w:rsid w:val="01E872A1"/>
    <w:rsid w:val="0232372D"/>
    <w:rsid w:val="024B6E08"/>
    <w:rsid w:val="02502671"/>
    <w:rsid w:val="030D0562"/>
    <w:rsid w:val="032031D0"/>
    <w:rsid w:val="034F0B7A"/>
    <w:rsid w:val="03BB1D6C"/>
    <w:rsid w:val="03BD5AE4"/>
    <w:rsid w:val="03F1316B"/>
    <w:rsid w:val="04115E30"/>
    <w:rsid w:val="043D09D3"/>
    <w:rsid w:val="05031C1C"/>
    <w:rsid w:val="05045994"/>
    <w:rsid w:val="0523406D"/>
    <w:rsid w:val="052D4B75"/>
    <w:rsid w:val="05652BC5"/>
    <w:rsid w:val="05924D4E"/>
    <w:rsid w:val="059D1414"/>
    <w:rsid w:val="05A131E3"/>
    <w:rsid w:val="05A607FA"/>
    <w:rsid w:val="05F15F19"/>
    <w:rsid w:val="06D54ED0"/>
    <w:rsid w:val="06DC0977"/>
    <w:rsid w:val="07011EC4"/>
    <w:rsid w:val="079C0106"/>
    <w:rsid w:val="07C425FF"/>
    <w:rsid w:val="08355F1F"/>
    <w:rsid w:val="085D2841"/>
    <w:rsid w:val="08674270"/>
    <w:rsid w:val="08A47272"/>
    <w:rsid w:val="08E73603"/>
    <w:rsid w:val="091805FA"/>
    <w:rsid w:val="0946032A"/>
    <w:rsid w:val="09E6624A"/>
    <w:rsid w:val="0A932840"/>
    <w:rsid w:val="0ACE6829"/>
    <w:rsid w:val="0AFF501E"/>
    <w:rsid w:val="0B925AA8"/>
    <w:rsid w:val="0B9A670B"/>
    <w:rsid w:val="0CAF2B4C"/>
    <w:rsid w:val="0CEF01A1"/>
    <w:rsid w:val="0D1D75F3"/>
    <w:rsid w:val="0D4228C9"/>
    <w:rsid w:val="0D7116ED"/>
    <w:rsid w:val="0D7D3AFE"/>
    <w:rsid w:val="0DFA7935"/>
    <w:rsid w:val="0EAA4EB7"/>
    <w:rsid w:val="0EBB3464"/>
    <w:rsid w:val="0ECA5559"/>
    <w:rsid w:val="0ED15076"/>
    <w:rsid w:val="0F2E7896"/>
    <w:rsid w:val="0F5A3543"/>
    <w:rsid w:val="0FDF4C74"/>
    <w:rsid w:val="10161464"/>
    <w:rsid w:val="101C4945"/>
    <w:rsid w:val="10303AE2"/>
    <w:rsid w:val="10545A22"/>
    <w:rsid w:val="10AF2C58"/>
    <w:rsid w:val="10E43038"/>
    <w:rsid w:val="11273F56"/>
    <w:rsid w:val="11666BBB"/>
    <w:rsid w:val="11802A9D"/>
    <w:rsid w:val="11B524F0"/>
    <w:rsid w:val="12086AC4"/>
    <w:rsid w:val="12431559"/>
    <w:rsid w:val="12E63FA6"/>
    <w:rsid w:val="12F928B1"/>
    <w:rsid w:val="12F9372E"/>
    <w:rsid w:val="1323348A"/>
    <w:rsid w:val="132E09AA"/>
    <w:rsid w:val="13D23390"/>
    <w:rsid w:val="13DC1FB6"/>
    <w:rsid w:val="14334ED5"/>
    <w:rsid w:val="144E4536"/>
    <w:rsid w:val="145C581C"/>
    <w:rsid w:val="147C10A3"/>
    <w:rsid w:val="14A300CE"/>
    <w:rsid w:val="14CF38C9"/>
    <w:rsid w:val="14E629C1"/>
    <w:rsid w:val="154A7E94"/>
    <w:rsid w:val="159A586B"/>
    <w:rsid w:val="1621759F"/>
    <w:rsid w:val="162403C8"/>
    <w:rsid w:val="163623F0"/>
    <w:rsid w:val="16655F19"/>
    <w:rsid w:val="16E80C72"/>
    <w:rsid w:val="180669B0"/>
    <w:rsid w:val="18267CA4"/>
    <w:rsid w:val="190F0738"/>
    <w:rsid w:val="191775ED"/>
    <w:rsid w:val="196545EF"/>
    <w:rsid w:val="196B16E7"/>
    <w:rsid w:val="19762565"/>
    <w:rsid w:val="19E70870"/>
    <w:rsid w:val="19F65454"/>
    <w:rsid w:val="1A2C0203"/>
    <w:rsid w:val="1A772A39"/>
    <w:rsid w:val="1AD86698"/>
    <w:rsid w:val="1B0B6A26"/>
    <w:rsid w:val="1B3C77DE"/>
    <w:rsid w:val="1B6C188C"/>
    <w:rsid w:val="1BF9747E"/>
    <w:rsid w:val="1C4526C3"/>
    <w:rsid w:val="1C69015F"/>
    <w:rsid w:val="1C782A98"/>
    <w:rsid w:val="1C84143D"/>
    <w:rsid w:val="1CA92C52"/>
    <w:rsid w:val="1D232A04"/>
    <w:rsid w:val="1D33169F"/>
    <w:rsid w:val="1DD7722D"/>
    <w:rsid w:val="1E474369"/>
    <w:rsid w:val="1ED3045A"/>
    <w:rsid w:val="1EF26B32"/>
    <w:rsid w:val="1F737547"/>
    <w:rsid w:val="1FBE5586"/>
    <w:rsid w:val="2035457B"/>
    <w:rsid w:val="204506D8"/>
    <w:rsid w:val="20F63292"/>
    <w:rsid w:val="21272BF8"/>
    <w:rsid w:val="21391D2B"/>
    <w:rsid w:val="21416F2F"/>
    <w:rsid w:val="21545A4D"/>
    <w:rsid w:val="21763E82"/>
    <w:rsid w:val="21C04848"/>
    <w:rsid w:val="21D53CD0"/>
    <w:rsid w:val="21E108C6"/>
    <w:rsid w:val="21FC6157"/>
    <w:rsid w:val="220152DE"/>
    <w:rsid w:val="222D5B93"/>
    <w:rsid w:val="22596EC8"/>
    <w:rsid w:val="226F2247"/>
    <w:rsid w:val="22CD6F6E"/>
    <w:rsid w:val="22D32730"/>
    <w:rsid w:val="231D6147"/>
    <w:rsid w:val="2369138D"/>
    <w:rsid w:val="237B0CD6"/>
    <w:rsid w:val="24575689"/>
    <w:rsid w:val="251B0465"/>
    <w:rsid w:val="25C21DB8"/>
    <w:rsid w:val="266B4AD8"/>
    <w:rsid w:val="2685203A"/>
    <w:rsid w:val="26A655F4"/>
    <w:rsid w:val="26F954CE"/>
    <w:rsid w:val="27377E1D"/>
    <w:rsid w:val="27427F5F"/>
    <w:rsid w:val="27D8263D"/>
    <w:rsid w:val="27E62FAC"/>
    <w:rsid w:val="27F60D15"/>
    <w:rsid w:val="284952E9"/>
    <w:rsid w:val="287E4991"/>
    <w:rsid w:val="29DD03DE"/>
    <w:rsid w:val="2A61691A"/>
    <w:rsid w:val="2AB2378E"/>
    <w:rsid w:val="2AED63FF"/>
    <w:rsid w:val="2B2F07C6"/>
    <w:rsid w:val="2B4E2E20"/>
    <w:rsid w:val="2B900AAC"/>
    <w:rsid w:val="2C201D36"/>
    <w:rsid w:val="2C401128"/>
    <w:rsid w:val="2C867F83"/>
    <w:rsid w:val="2CD7749F"/>
    <w:rsid w:val="2CE13D42"/>
    <w:rsid w:val="2D340315"/>
    <w:rsid w:val="2D377E06"/>
    <w:rsid w:val="2D825525"/>
    <w:rsid w:val="2E071D36"/>
    <w:rsid w:val="2E1A451F"/>
    <w:rsid w:val="2E3A7BAD"/>
    <w:rsid w:val="2F61116A"/>
    <w:rsid w:val="2F727CE6"/>
    <w:rsid w:val="2FB13E9F"/>
    <w:rsid w:val="30146BDF"/>
    <w:rsid w:val="301B223A"/>
    <w:rsid w:val="30297EDA"/>
    <w:rsid w:val="30372F27"/>
    <w:rsid w:val="304A0BF0"/>
    <w:rsid w:val="30744ECD"/>
    <w:rsid w:val="31105507"/>
    <w:rsid w:val="31146559"/>
    <w:rsid w:val="3138414C"/>
    <w:rsid w:val="3163741B"/>
    <w:rsid w:val="32013042"/>
    <w:rsid w:val="32543208"/>
    <w:rsid w:val="327376B8"/>
    <w:rsid w:val="32870EE7"/>
    <w:rsid w:val="32EB3B6C"/>
    <w:rsid w:val="33083557"/>
    <w:rsid w:val="330E33B7"/>
    <w:rsid w:val="33864FF7"/>
    <w:rsid w:val="33D219EE"/>
    <w:rsid w:val="33FE6BEC"/>
    <w:rsid w:val="3412575F"/>
    <w:rsid w:val="34242DD3"/>
    <w:rsid w:val="34592D57"/>
    <w:rsid w:val="3463108F"/>
    <w:rsid w:val="34B306BA"/>
    <w:rsid w:val="35372467"/>
    <w:rsid w:val="35C04688"/>
    <w:rsid w:val="362819E9"/>
    <w:rsid w:val="36F31241"/>
    <w:rsid w:val="37040D59"/>
    <w:rsid w:val="37FE39FA"/>
    <w:rsid w:val="381274A5"/>
    <w:rsid w:val="387B14EE"/>
    <w:rsid w:val="39C562C9"/>
    <w:rsid w:val="3A483870"/>
    <w:rsid w:val="3A712BA9"/>
    <w:rsid w:val="3A8D5509"/>
    <w:rsid w:val="3A971EE4"/>
    <w:rsid w:val="3ABE3914"/>
    <w:rsid w:val="3AC10CF0"/>
    <w:rsid w:val="3AE57A8F"/>
    <w:rsid w:val="3B1112B0"/>
    <w:rsid w:val="3B2A348B"/>
    <w:rsid w:val="3B5E746C"/>
    <w:rsid w:val="3BCC2061"/>
    <w:rsid w:val="3C6F1609"/>
    <w:rsid w:val="3CCA77EC"/>
    <w:rsid w:val="3CD839E0"/>
    <w:rsid w:val="3D000214"/>
    <w:rsid w:val="3D2327C4"/>
    <w:rsid w:val="3D7F110E"/>
    <w:rsid w:val="3D8B68BD"/>
    <w:rsid w:val="3DA037A5"/>
    <w:rsid w:val="3DF71617"/>
    <w:rsid w:val="3DFF1504"/>
    <w:rsid w:val="3E0C2BE9"/>
    <w:rsid w:val="3E10723D"/>
    <w:rsid w:val="3E6C3C86"/>
    <w:rsid w:val="3E720C9E"/>
    <w:rsid w:val="3E725142"/>
    <w:rsid w:val="3EDC6A5F"/>
    <w:rsid w:val="3F400D9C"/>
    <w:rsid w:val="3F651E10"/>
    <w:rsid w:val="3FBB0422"/>
    <w:rsid w:val="3FDC1609"/>
    <w:rsid w:val="40585B1F"/>
    <w:rsid w:val="40A610D2"/>
    <w:rsid w:val="41067DC3"/>
    <w:rsid w:val="41C76417"/>
    <w:rsid w:val="421D3C7F"/>
    <w:rsid w:val="423157A6"/>
    <w:rsid w:val="428B3D82"/>
    <w:rsid w:val="42AB7679"/>
    <w:rsid w:val="42D60DEB"/>
    <w:rsid w:val="42F933B2"/>
    <w:rsid w:val="43340C18"/>
    <w:rsid w:val="43CC70A2"/>
    <w:rsid w:val="43DB72E5"/>
    <w:rsid w:val="43E73EDC"/>
    <w:rsid w:val="43EC32A0"/>
    <w:rsid w:val="440F4D94"/>
    <w:rsid w:val="44121234"/>
    <w:rsid w:val="441A605F"/>
    <w:rsid w:val="444A6219"/>
    <w:rsid w:val="4496320C"/>
    <w:rsid w:val="44DA759D"/>
    <w:rsid w:val="44FB36BB"/>
    <w:rsid w:val="44FF5255"/>
    <w:rsid w:val="45132EF4"/>
    <w:rsid w:val="452B7DF8"/>
    <w:rsid w:val="453749EF"/>
    <w:rsid w:val="4545710C"/>
    <w:rsid w:val="455E1F7C"/>
    <w:rsid w:val="45602117"/>
    <w:rsid w:val="4571765C"/>
    <w:rsid w:val="457C2402"/>
    <w:rsid w:val="45857508"/>
    <w:rsid w:val="45E961FB"/>
    <w:rsid w:val="46501639"/>
    <w:rsid w:val="465B64BB"/>
    <w:rsid w:val="465F41FD"/>
    <w:rsid w:val="46CC2552"/>
    <w:rsid w:val="472E3BD0"/>
    <w:rsid w:val="474318BA"/>
    <w:rsid w:val="47767A51"/>
    <w:rsid w:val="47C562E2"/>
    <w:rsid w:val="47DC16A5"/>
    <w:rsid w:val="48287183"/>
    <w:rsid w:val="48351379"/>
    <w:rsid w:val="484E463E"/>
    <w:rsid w:val="48A936DC"/>
    <w:rsid w:val="491938C4"/>
    <w:rsid w:val="49335641"/>
    <w:rsid w:val="49560276"/>
    <w:rsid w:val="49830A4D"/>
    <w:rsid w:val="4A484FA8"/>
    <w:rsid w:val="4A8A076F"/>
    <w:rsid w:val="4AB80380"/>
    <w:rsid w:val="4B78366B"/>
    <w:rsid w:val="4B8A2C90"/>
    <w:rsid w:val="4B9E1324"/>
    <w:rsid w:val="4BD531A1"/>
    <w:rsid w:val="4BE60F1D"/>
    <w:rsid w:val="4C2D08FA"/>
    <w:rsid w:val="4C3857CB"/>
    <w:rsid w:val="4C65665F"/>
    <w:rsid w:val="4C96649F"/>
    <w:rsid w:val="4CC10091"/>
    <w:rsid w:val="4CE657A0"/>
    <w:rsid w:val="4D043409"/>
    <w:rsid w:val="4D1A0E7E"/>
    <w:rsid w:val="4D551EB6"/>
    <w:rsid w:val="4DA1334D"/>
    <w:rsid w:val="4DDE110F"/>
    <w:rsid w:val="4DF27705"/>
    <w:rsid w:val="4E173610"/>
    <w:rsid w:val="4E21623C"/>
    <w:rsid w:val="4E7B3BF3"/>
    <w:rsid w:val="4EDF35D4"/>
    <w:rsid w:val="4F2C6C47"/>
    <w:rsid w:val="4F522371"/>
    <w:rsid w:val="4F625F52"/>
    <w:rsid w:val="4F652159"/>
    <w:rsid w:val="4FA12577"/>
    <w:rsid w:val="4FA1515E"/>
    <w:rsid w:val="4FE15C83"/>
    <w:rsid w:val="50271928"/>
    <w:rsid w:val="502838B2"/>
    <w:rsid w:val="502F586C"/>
    <w:rsid w:val="5052092F"/>
    <w:rsid w:val="506A143A"/>
    <w:rsid w:val="509C604E"/>
    <w:rsid w:val="50C07F8E"/>
    <w:rsid w:val="510E11AC"/>
    <w:rsid w:val="517D19DC"/>
    <w:rsid w:val="51A90A23"/>
    <w:rsid w:val="51AB479B"/>
    <w:rsid w:val="51BA49DE"/>
    <w:rsid w:val="51EE0B2B"/>
    <w:rsid w:val="539574B0"/>
    <w:rsid w:val="53A96AB8"/>
    <w:rsid w:val="53BF62DB"/>
    <w:rsid w:val="547F3CBD"/>
    <w:rsid w:val="54A379AB"/>
    <w:rsid w:val="54F616B0"/>
    <w:rsid w:val="551A0328"/>
    <w:rsid w:val="5523352E"/>
    <w:rsid w:val="55912550"/>
    <w:rsid w:val="55E069DD"/>
    <w:rsid w:val="564C5E20"/>
    <w:rsid w:val="56586573"/>
    <w:rsid w:val="565F3DA6"/>
    <w:rsid w:val="567468E6"/>
    <w:rsid w:val="5683704F"/>
    <w:rsid w:val="56981066"/>
    <w:rsid w:val="56A874FB"/>
    <w:rsid w:val="56EB2722"/>
    <w:rsid w:val="57D3727A"/>
    <w:rsid w:val="58133B49"/>
    <w:rsid w:val="581666E6"/>
    <w:rsid w:val="58444517"/>
    <w:rsid w:val="58466FA3"/>
    <w:rsid w:val="589C308F"/>
    <w:rsid w:val="58D81BED"/>
    <w:rsid w:val="590B0FBC"/>
    <w:rsid w:val="5987789B"/>
    <w:rsid w:val="59B95D94"/>
    <w:rsid w:val="5AB50438"/>
    <w:rsid w:val="5AB972A9"/>
    <w:rsid w:val="5AC41FE9"/>
    <w:rsid w:val="5B697EEF"/>
    <w:rsid w:val="5B8354A2"/>
    <w:rsid w:val="5BC36B85"/>
    <w:rsid w:val="5C78171D"/>
    <w:rsid w:val="5CC53758"/>
    <w:rsid w:val="5D2B5019"/>
    <w:rsid w:val="5D7002D3"/>
    <w:rsid w:val="5E062D59"/>
    <w:rsid w:val="5E2751A9"/>
    <w:rsid w:val="5E9860A7"/>
    <w:rsid w:val="5EF20DA9"/>
    <w:rsid w:val="5F37766E"/>
    <w:rsid w:val="5FFB4038"/>
    <w:rsid w:val="604D11B9"/>
    <w:rsid w:val="606103C9"/>
    <w:rsid w:val="606D7E92"/>
    <w:rsid w:val="60FE664A"/>
    <w:rsid w:val="613D2F35"/>
    <w:rsid w:val="61A86601"/>
    <w:rsid w:val="61CF3C72"/>
    <w:rsid w:val="62C47C43"/>
    <w:rsid w:val="635C3B47"/>
    <w:rsid w:val="642F4DB7"/>
    <w:rsid w:val="644A6569"/>
    <w:rsid w:val="64A21A2D"/>
    <w:rsid w:val="6509245E"/>
    <w:rsid w:val="65230060"/>
    <w:rsid w:val="65F31E15"/>
    <w:rsid w:val="65FE70CA"/>
    <w:rsid w:val="66171FA7"/>
    <w:rsid w:val="668A2779"/>
    <w:rsid w:val="668A652A"/>
    <w:rsid w:val="66A31A8D"/>
    <w:rsid w:val="67254250"/>
    <w:rsid w:val="672E75A8"/>
    <w:rsid w:val="678436AC"/>
    <w:rsid w:val="67980EC5"/>
    <w:rsid w:val="68021003"/>
    <w:rsid w:val="680E167E"/>
    <w:rsid w:val="6873723D"/>
    <w:rsid w:val="697119CE"/>
    <w:rsid w:val="6985190F"/>
    <w:rsid w:val="699B4C9D"/>
    <w:rsid w:val="6A1F767C"/>
    <w:rsid w:val="6A246A40"/>
    <w:rsid w:val="6A334ED5"/>
    <w:rsid w:val="6A507835"/>
    <w:rsid w:val="6B6C68F1"/>
    <w:rsid w:val="6C07661A"/>
    <w:rsid w:val="6C67530A"/>
    <w:rsid w:val="6C783074"/>
    <w:rsid w:val="6CEE52C1"/>
    <w:rsid w:val="6CF325ED"/>
    <w:rsid w:val="6D7B72BF"/>
    <w:rsid w:val="6D965EA7"/>
    <w:rsid w:val="6DCF760B"/>
    <w:rsid w:val="6E2B2A93"/>
    <w:rsid w:val="6E2F7DBD"/>
    <w:rsid w:val="6E6E75D4"/>
    <w:rsid w:val="6E82642B"/>
    <w:rsid w:val="6E9879FD"/>
    <w:rsid w:val="6EA934B6"/>
    <w:rsid w:val="6EAE0FCF"/>
    <w:rsid w:val="6EE24726"/>
    <w:rsid w:val="6F2A2D4B"/>
    <w:rsid w:val="6FAF3250"/>
    <w:rsid w:val="706E041E"/>
    <w:rsid w:val="709E4FFF"/>
    <w:rsid w:val="70CD6084"/>
    <w:rsid w:val="712A28CF"/>
    <w:rsid w:val="713A724C"/>
    <w:rsid w:val="71922E29"/>
    <w:rsid w:val="726C1C4A"/>
    <w:rsid w:val="72A03324"/>
    <w:rsid w:val="72EB3AA8"/>
    <w:rsid w:val="736600CA"/>
    <w:rsid w:val="73C848E1"/>
    <w:rsid w:val="73D6524F"/>
    <w:rsid w:val="73EC4A73"/>
    <w:rsid w:val="746C0AE0"/>
    <w:rsid w:val="74D13C69"/>
    <w:rsid w:val="75047B9A"/>
    <w:rsid w:val="75266C08"/>
    <w:rsid w:val="75466405"/>
    <w:rsid w:val="75675DB8"/>
    <w:rsid w:val="75843174"/>
    <w:rsid w:val="75EB3017"/>
    <w:rsid w:val="75F714AD"/>
    <w:rsid w:val="760F0C92"/>
    <w:rsid w:val="761B163F"/>
    <w:rsid w:val="76B7003F"/>
    <w:rsid w:val="7729634A"/>
    <w:rsid w:val="776C37AC"/>
    <w:rsid w:val="77BF5FFA"/>
    <w:rsid w:val="77CB4ADD"/>
    <w:rsid w:val="78DD498A"/>
    <w:rsid w:val="78E55F35"/>
    <w:rsid w:val="794E7636"/>
    <w:rsid w:val="79607369"/>
    <w:rsid w:val="79757E4E"/>
    <w:rsid w:val="79DD1288"/>
    <w:rsid w:val="79F301DD"/>
    <w:rsid w:val="7A2A6204"/>
    <w:rsid w:val="7A654670"/>
    <w:rsid w:val="7AA30CA1"/>
    <w:rsid w:val="7AF4420D"/>
    <w:rsid w:val="7AF5326F"/>
    <w:rsid w:val="7D256A57"/>
    <w:rsid w:val="7D2F76D5"/>
    <w:rsid w:val="7D913F95"/>
    <w:rsid w:val="7DF84902"/>
    <w:rsid w:val="7E134D72"/>
    <w:rsid w:val="7E783F85"/>
    <w:rsid w:val="7E7A711F"/>
    <w:rsid w:val="7E8D57A7"/>
    <w:rsid w:val="7EC87E8B"/>
    <w:rsid w:val="7EE822DB"/>
    <w:rsid w:val="7F572178"/>
    <w:rsid w:val="7F782CD8"/>
    <w:rsid w:val="7FB62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5"/>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39"/>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7">
    <w:name w:val="heading 3"/>
    <w:basedOn w:val="1"/>
    <w:next w:val="1"/>
    <w:qFormat/>
    <w:uiPriority w:val="0"/>
    <w:pPr>
      <w:keepNext/>
      <w:keepLines/>
      <w:outlineLvl w:val="2"/>
    </w:pPr>
    <w:rPr>
      <w:kern w:val="0"/>
      <w:sz w:val="28"/>
      <w:szCs w:val="20"/>
    </w:rPr>
  </w:style>
  <w:style w:type="character" w:default="1" w:styleId="28">
    <w:name w:val="Default Paragraph Font"/>
    <w:semiHidden/>
    <w:qFormat/>
    <w:uiPriority w:val="0"/>
  </w:style>
  <w:style w:type="table" w:default="1" w:styleId="26">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1"/>
    <w:link w:val="37"/>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36"/>
    <w:qFormat/>
    <w:uiPriority w:val="0"/>
    <w:pPr>
      <w:spacing w:after="120" w:afterLines="0" w:afterAutospacing="0"/>
      <w:ind w:left="420" w:leftChars="200"/>
    </w:pPr>
  </w:style>
  <w:style w:type="paragraph" w:styleId="4">
    <w:name w:val="envelope return"/>
    <w:basedOn w:val="1"/>
    <w:qFormat/>
    <w:uiPriority w:val="0"/>
    <w:pPr>
      <w:snapToGrid w:val="0"/>
    </w:pPr>
    <w:rPr>
      <w:rFonts w:ascii="Arial" w:hAnsi="Arial"/>
    </w:rPr>
  </w:style>
  <w:style w:type="paragraph" w:styleId="8">
    <w:name w:val="toc 7"/>
    <w:basedOn w:val="1"/>
    <w:next w:val="1"/>
    <w:qFormat/>
    <w:uiPriority w:val="39"/>
    <w:pPr>
      <w:ind w:left="1260"/>
      <w:jc w:val="left"/>
    </w:pPr>
    <w:rPr>
      <w:sz w:val="18"/>
      <w:szCs w:val="18"/>
    </w:rPr>
  </w:style>
  <w:style w:type="paragraph" w:styleId="9">
    <w:name w:val="Normal Indent"/>
    <w:basedOn w:val="1"/>
    <w:next w:val="2"/>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10">
    <w:name w:val="annotation text"/>
    <w:basedOn w:val="1"/>
    <w:qFormat/>
    <w:uiPriority w:val="0"/>
    <w:pPr>
      <w:jc w:val="left"/>
    </w:pPr>
  </w:style>
  <w:style w:type="paragraph" w:styleId="11">
    <w:name w:val="Body Text 3"/>
    <w:basedOn w:val="1"/>
    <w:qFormat/>
    <w:uiPriority w:val="0"/>
    <w:rPr>
      <w:rFonts w:ascii="宋体" w:hAnsi="Calibri" w:eastAsia="宋体" w:cs="Times New Roman"/>
      <w:sz w:val="24"/>
      <w:szCs w:val="20"/>
    </w:rPr>
  </w:style>
  <w:style w:type="paragraph" w:styleId="12">
    <w:name w:val="Body Text"/>
    <w:basedOn w:val="1"/>
    <w:next w:val="13"/>
    <w:qFormat/>
    <w:uiPriority w:val="0"/>
    <w:pPr>
      <w:widowControl w:val="0"/>
      <w:snapToGrid w:val="0"/>
      <w:spacing w:line="360" w:lineRule="auto"/>
    </w:pPr>
    <w:rPr>
      <w:rFonts w:ascii="Arial" w:hAnsi="Arial" w:eastAsia="仿宋_GB2312"/>
      <w:sz w:val="31"/>
    </w:rPr>
  </w:style>
  <w:style w:type="paragraph" w:customStyle="1" w:styleId="13">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4">
    <w:name w:val="toc 3"/>
    <w:basedOn w:val="1"/>
    <w:next w:val="1"/>
    <w:qFormat/>
    <w:uiPriority w:val="39"/>
    <w:pPr>
      <w:jc w:val="left"/>
    </w:pPr>
    <w:rPr>
      <w:rFonts w:ascii="Calibri" w:hAnsi="Calibri"/>
      <w:smallCaps/>
      <w:sz w:val="22"/>
      <w:szCs w:val="22"/>
    </w:rPr>
  </w:style>
  <w:style w:type="paragraph" w:styleId="15">
    <w:name w:val="Plain Text"/>
    <w:basedOn w:val="1"/>
    <w:next w:val="1"/>
    <w:link w:val="41"/>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6">
    <w:name w:val="Date"/>
    <w:basedOn w:val="1"/>
    <w:next w:val="1"/>
    <w:link w:val="38"/>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7">
    <w:name w:val="footer"/>
    <w:basedOn w:val="1"/>
    <w:link w:val="42"/>
    <w:qFormat/>
    <w:uiPriority w:val="0"/>
    <w:pPr>
      <w:tabs>
        <w:tab w:val="center" w:pos="4153"/>
        <w:tab w:val="right" w:pos="8306"/>
      </w:tabs>
      <w:snapToGrid w:val="0"/>
      <w:jc w:val="left"/>
    </w:pPr>
    <w:rPr>
      <w:sz w:val="18"/>
    </w:rPr>
  </w:style>
  <w:style w:type="paragraph" w:styleId="18">
    <w:name w:val="header"/>
    <w:basedOn w:val="1"/>
    <w:link w:val="4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toc 1"/>
    <w:basedOn w:val="1"/>
    <w:next w:val="1"/>
    <w:qFormat/>
    <w:uiPriority w:val="39"/>
    <w:pPr>
      <w:spacing w:before="120" w:after="120"/>
      <w:jc w:val="left"/>
    </w:pPr>
    <w:rPr>
      <w:b/>
      <w:bCs/>
      <w:caps/>
      <w:sz w:val="20"/>
    </w:rPr>
  </w:style>
  <w:style w:type="paragraph" w:styleId="20">
    <w:name w:val="List"/>
    <w:basedOn w:val="1"/>
    <w:next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1">
    <w:name w:val="footnote text"/>
    <w:basedOn w:val="1"/>
    <w:semiHidden/>
    <w:unhideWhenUsed/>
    <w:qFormat/>
    <w:uiPriority w:val="99"/>
    <w:pPr>
      <w:snapToGrid w:val="0"/>
      <w:jc w:val="left"/>
    </w:pPr>
    <w:rPr>
      <w:sz w:val="18"/>
    </w:rPr>
  </w:style>
  <w:style w:type="paragraph" w:styleId="22">
    <w:name w:val="Body Text 2"/>
    <w:basedOn w:val="1"/>
    <w:qFormat/>
    <w:uiPriority w:val="0"/>
    <w:rPr>
      <w:kern w:val="0"/>
      <w:sz w:val="24"/>
    </w:rPr>
  </w:style>
  <w:style w:type="paragraph" w:styleId="23">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4">
    <w:name w:val="Title"/>
    <w:basedOn w:val="1"/>
    <w:next w:val="1"/>
    <w:qFormat/>
    <w:uiPriority w:val="0"/>
    <w:pPr>
      <w:numPr>
        <w:ilvl w:val="0"/>
        <w:numId w:val="1"/>
      </w:numPr>
      <w:spacing w:line="360" w:lineRule="auto"/>
      <w:jc w:val="left"/>
      <w:outlineLvl w:val="0"/>
    </w:pPr>
    <w:rPr>
      <w:rFonts w:ascii="Cambria" w:hAnsi="Cambria" w:eastAsia="宋体" w:cs="Times New Roman"/>
      <w:b/>
      <w:bCs/>
      <w:sz w:val="28"/>
      <w:szCs w:val="32"/>
    </w:rPr>
  </w:style>
  <w:style w:type="paragraph" w:styleId="25">
    <w:name w:val="Body Text First Indent"/>
    <w:basedOn w:val="12"/>
    <w:qFormat/>
    <w:uiPriority w:val="0"/>
    <w:pPr>
      <w:adjustRightInd/>
      <w:spacing w:after="120" w:line="240" w:lineRule="auto"/>
      <w:ind w:firstLine="420" w:firstLineChars="100"/>
      <w:jc w:val="both"/>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basedOn w:val="28"/>
    <w:qFormat/>
    <w:uiPriority w:val="0"/>
  </w:style>
  <w:style w:type="character" w:styleId="30">
    <w:name w:val="FollowedHyperlink"/>
    <w:basedOn w:val="28"/>
    <w:qFormat/>
    <w:uiPriority w:val="0"/>
    <w:rPr>
      <w:color w:val="771CAA"/>
      <w:u w:val="none"/>
    </w:rPr>
  </w:style>
  <w:style w:type="character" w:styleId="31">
    <w:name w:val="Emphasis"/>
    <w:basedOn w:val="28"/>
    <w:qFormat/>
    <w:uiPriority w:val="0"/>
    <w:rPr>
      <w:color w:val="F73131"/>
    </w:rPr>
  </w:style>
  <w:style w:type="character" w:styleId="32">
    <w:name w:val="Hyperlink"/>
    <w:basedOn w:val="28"/>
    <w:qFormat/>
    <w:uiPriority w:val="99"/>
    <w:rPr>
      <w:color w:val="0000FF"/>
      <w:u w:val="single"/>
    </w:rPr>
  </w:style>
  <w:style w:type="character" w:styleId="33">
    <w:name w:val="HTML Cite"/>
    <w:basedOn w:val="28"/>
    <w:qFormat/>
    <w:uiPriority w:val="0"/>
    <w:rPr>
      <w:color w:val="008000"/>
    </w:rPr>
  </w:style>
  <w:style w:type="character" w:styleId="34">
    <w:name w:val="footnote reference"/>
    <w:basedOn w:val="28"/>
    <w:semiHidden/>
    <w:unhideWhenUsed/>
    <w:qFormat/>
    <w:uiPriority w:val="99"/>
    <w:rPr>
      <w:vertAlign w:val="superscript"/>
    </w:rPr>
  </w:style>
  <w:style w:type="paragraph" w:customStyle="1" w:styleId="35">
    <w:name w:val="正文文字 8"/>
    <w:basedOn w:val="1"/>
    <w:next w:val="1"/>
    <w:qFormat/>
    <w:uiPriority w:val="0"/>
    <w:pPr>
      <w:ind w:left="240"/>
    </w:pPr>
    <w:rPr>
      <w:sz w:val="16"/>
    </w:rPr>
  </w:style>
  <w:style w:type="character" w:customStyle="1" w:styleId="36">
    <w:name w:val="正文文本缩进 Char"/>
    <w:basedOn w:val="28"/>
    <w:link w:val="3"/>
    <w:qFormat/>
    <w:uiPriority w:val="0"/>
    <w:rPr>
      <w:rFonts w:hint="default" w:ascii="Times New Roman" w:hAnsi="Times New Roman" w:eastAsia="宋体" w:cs="Times New Roman"/>
      <w:color w:val="000000"/>
      <w:kern w:val="0"/>
      <w:szCs w:val="21"/>
      <w:u w:color="000000"/>
    </w:rPr>
  </w:style>
  <w:style w:type="character" w:customStyle="1" w:styleId="37">
    <w:name w:val="正文首行缩进 2 Char"/>
    <w:basedOn w:val="36"/>
    <w:link w:val="2"/>
    <w:qFormat/>
    <w:uiPriority w:val="0"/>
    <w:rPr>
      <w:rFonts w:hint="default" w:ascii="Times New Roman" w:hAnsi="Times New Roman" w:eastAsia="宋体" w:cs="Times New Roman"/>
      <w:color w:val="000000"/>
      <w:kern w:val="0"/>
      <w:szCs w:val="21"/>
      <w:u w:color="000000"/>
    </w:rPr>
  </w:style>
  <w:style w:type="character" w:customStyle="1" w:styleId="38">
    <w:name w:val="日期 Char"/>
    <w:basedOn w:val="28"/>
    <w:link w:val="16"/>
    <w:qFormat/>
    <w:uiPriority w:val="0"/>
    <w:rPr>
      <w:rFonts w:ascii="Arial" w:hAnsi="Arial" w:eastAsia="仿宋_GB2312" w:cs="Arial"/>
      <w:color w:val="000000"/>
      <w:sz w:val="32"/>
      <w:szCs w:val="32"/>
      <w:u w:color="000000"/>
    </w:rPr>
  </w:style>
  <w:style w:type="character" w:customStyle="1" w:styleId="39">
    <w:name w:val="标题 2 Char"/>
    <w:basedOn w:val="28"/>
    <w:link w:val="6"/>
    <w:qFormat/>
    <w:uiPriority w:val="0"/>
    <w:rPr>
      <w:rFonts w:hint="default" w:ascii="Times New Roman" w:hAnsi="Times New Roman" w:eastAsia="宋体" w:cs="Times New Roman"/>
      <w:kern w:val="0"/>
      <w:sz w:val="24"/>
      <w:szCs w:val="24"/>
    </w:rPr>
  </w:style>
  <w:style w:type="character" w:customStyle="1" w:styleId="40">
    <w:name w:val="页眉 Char"/>
    <w:basedOn w:val="28"/>
    <w:link w:val="18"/>
    <w:qFormat/>
    <w:uiPriority w:val="0"/>
    <w:rPr>
      <w:rFonts w:hint="default" w:ascii="Times New Roman" w:hAnsi="Times New Roman" w:eastAsia="宋体" w:cs="Times New Roman"/>
      <w:color w:val="000000"/>
      <w:kern w:val="0"/>
      <w:sz w:val="18"/>
      <w:szCs w:val="18"/>
      <w:u w:color="000000"/>
    </w:rPr>
  </w:style>
  <w:style w:type="character" w:customStyle="1" w:styleId="41">
    <w:name w:val="纯文本 Char"/>
    <w:basedOn w:val="28"/>
    <w:link w:val="15"/>
    <w:qFormat/>
    <w:uiPriority w:val="0"/>
    <w:rPr>
      <w:rFonts w:hint="eastAsia" w:ascii="宋体" w:hAnsi="宋体" w:eastAsia="宋体" w:cs="宋体"/>
      <w:szCs w:val="21"/>
    </w:rPr>
  </w:style>
  <w:style w:type="character" w:customStyle="1" w:styleId="42">
    <w:name w:val="页脚 Char"/>
    <w:basedOn w:val="28"/>
    <w:link w:val="17"/>
    <w:qFormat/>
    <w:uiPriority w:val="0"/>
    <w:rPr>
      <w:rFonts w:hint="default" w:ascii="Times New Roman" w:hAnsi="Times New Roman" w:eastAsia="宋体" w:cs="Times New Roman"/>
      <w:color w:val="000000"/>
      <w:kern w:val="0"/>
      <w:sz w:val="18"/>
      <w:szCs w:val="18"/>
      <w:u w:color="000000"/>
    </w:rPr>
  </w:style>
  <w:style w:type="paragraph" w:customStyle="1" w:styleId="43">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4">
    <w:name w:val="List Paragraph"/>
    <w:basedOn w:val="1"/>
    <w:qFormat/>
    <w:uiPriority w:val="0"/>
    <w:pPr>
      <w:widowControl w:val="0"/>
      <w:spacing w:line="240" w:lineRule="auto"/>
      <w:ind w:firstLine="200" w:firstLineChars="200"/>
      <w:textAlignment w:val="auto"/>
    </w:pPr>
    <w:rPr>
      <w:u w:val="none" w:color="000000"/>
    </w:rPr>
  </w:style>
  <w:style w:type="character" w:customStyle="1" w:styleId="45">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46">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7">
    <w:name w:val="font51"/>
    <w:basedOn w:val="28"/>
    <w:qFormat/>
    <w:uiPriority w:val="0"/>
    <w:rPr>
      <w:rFonts w:hint="eastAsia" w:ascii="宋体" w:hAnsi="宋体" w:eastAsia="宋体" w:cs="宋体"/>
      <w:color w:val="000000"/>
      <w:sz w:val="22"/>
      <w:szCs w:val="22"/>
      <w:u w:val="none"/>
    </w:rPr>
  </w:style>
  <w:style w:type="character" w:customStyle="1" w:styleId="48">
    <w:name w:val="font31"/>
    <w:basedOn w:val="28"/>
    <w:qFormat/>
    <w:uiPriority w:val="0"/>
    <w:rPr>
      <w:rFonts w:hint="default" w:ascii="Times New Roman" w:hAnsi="Times New Roman" w:cs="Times New Roman"/>
      <w:color w:val="000000"/>
      <w:sz w:val="22"/>
      <w:szCs w:val="22"/>
      <w:u w:val="none"/>
    </w:rPr>
  </w:style>
  <w:style w:type="character" w:customStyle="1" w:styleId="49">
    <w:name w:val="font61"/>
    <w:basedOn w:val="28"/>
    <w:qFormat/>
    <w:uiPriority w:val="0"/>
    <w:rPr>
      <w:rFonts w:hint="default" w:ascii="Times New Roman" w:hAnsi="Times New Roman" w:cs="Times New Roman"/>
      <w:color w:val="000000"/>
      <w:sz w:val="21"/>
      <w:szCs w:val="21"/>
      <w:u w:val="none"/>
    </w:rPr>
  </w:style>
  <w:style w:type="character" w:customStyle="1" w:styleId="50">
    <w:name w:val="font71"/>
    <w:basedOn w:val="28"/>
    <w:qFormat/>
    <w:uiPriority w:val="0"/>
    <w:rPr>
      <w:rFonts w:hint="eastAsia" w:ascii="宋体" w:hAnsi="宋体" w:eastAsia="宋体" w:cs="宋体"/>
      <w:color w:val="000000"/>
      <w:sz w:val="21"/>
      <w:szCs w:val="21"/>
      <w:u w:val="none"/>
    </w:rPr>
  </w:style>
  <w:style w:type="character" w:customStyle="1" w:styleId="51">
    <w:name w:val="font01"/>
    <w:basedOn w:val="28"/>
    <w:qFormat/>
    <w:uiPriority w:val="0"/>
    <w:rPr>
      <w:rFonts w:hint="eastAsia" w:ascii="宋体" w:hAnsi="宋体" w:eastAsia="宋体" w:cs="宋体"/>
      <w:color w:val="000000"/>
      <w:sz w:val="22"/>
      <w:szCs w:val="22"/>
      <w:u w:val="none"/>
    </w:rPr>
  </w:style>
  <w:style w:type="character" w:customStyle="1" w:styleId="52">
    <w:name w:val="font11"/>
    <w:basedOn w:val="28"/>
    <w:qFormat/>
    <w:uiPriority w:val="0"/>
    <w:rPr>
      <w:rFonts w:hint="eastAsia" w:ascii="宋体" w:hAnsi="宋体" w:eastAsia="宋体" w:cs="宋体"/>
      <w:color w:val="000000"/>
      <w:sz w:val="21"/>
      <w:szCs w:val="21"/>
      <w:u w:val="none"/>
    </w:rPr>
  </w:style>
  <w:style w:type="character" w:customStyle="1" w:styleId="53">
    <w:name w:val="font41"/>
    <w:basedOn w:val="28"/>
    <w:qFormat/>
    <w:uiPriority w:val="0"/>
    <w:rPr>
      <w:rFonts w:hint="default" w:ascii="Times New Roman" w:hAnsi="Times New Roman" w:cs="Times New Roman"/>
      <w:color w:val="000000"/>
      <w:sz w:val="22"/>
      <w:szCs w:val="22"/>
      <w:u w:val="none"/>
    </w:rPr>
  </w:style>
  <w:style w:type="paragraph" w:customStyle="1" w:styleId="54">
    <w:name w:val="二级标题"/>
    <w:basedOn w:val="1"/>
    <w:next w:val="1"/>
    <w:qFormat/>
    <w:uiPriority w:val="0"/>
    <w:rPr>
      <w:rFonts w:hint="eastAsia" w:eastAsia="楷体"/>
    </w:rPr>
  </w:style>
  <w:style w:type="paragraph" w:customStyle="1" w:styleId="55">
    <w:name w:val="首行缩进"/>
    <w:basedOn w:val="1"/>
    <w:qFormat/>
    <w:uiPriority w:val="0"/>
    <w:pPr>
      <w:ind w:firstLine="480" w:firstLineChars="200"/>
    </w:pPr>
    <w:rPr>
      <w:rFonts w:eastAsia="楷体_GB2312"/>
      <w:lang w:val="zh-CN"/>
    </w:rPr>
  </w:style>
  <w:style w:type="character" w:customStyle="1" w:styleId="56">
    <w:name w:val="c-icon28"/>
    <w:basedOn w:val="28"/>
    <w:qFormat/>
    <w:uiPriority w:val="0"/>
  </w:style>
  <w:style w:type="character" w:customStyle="1" w:styleId="57">
    <w:name w:val="hover26"/>
    <w:basedOn w:val="28"/>
    <w:qFormat/>
    <w:uiPriority w:val="0"/>
    <w:rPr>
      <w:color w:val="315EFB"/>
      <w:shd w:val="clear" w:fill="F0F3FD"/>
    </w:rPr>
  </w:style>
  <w:style w:type="character" w:customStyle="1" w:styleId="58">
    <w:name w:val="hover27"/>
    <w:basedOn w:val="28"/>
    <w:qFormat/>
    <w:uiPriority w:val="0"/>
    <w:rPr>
      <w:color w:val="315EFB"/>
    </w:rPr>
  </w:style>
  <w:style w:type="character" w:customStyle="1" w:styleId="59">
    <w:name w:val="hover28"/>
    <w:basedOn w:val="28"/>
    <w:qFormat/>
    <w:uiPriority w:val="0"/>
  </w:style>
  <w:style w:type="character" w:customStyle="1" w:styleId="60">
    <w:name w:val="hover29"/>
    <w:basedOn w:val="28"/>
    <w:qFormat/>
    <w:uiPriority w:val="0"/>
    <w:rPr>
      <w:color w:val="315EFB"/>
    </w:rPr>
  </w:style>
  <w:style w:type="paragraph" w:customStyle="1" w:styleId="61">
    <w:name w:val="xl25"/>
    <w:basedOn w:val="1"/>
    <w:qFormat/>
    <w:uiPriority w:val="0"/>
    <w:pPr>
      <w:widowControl/>
      <w:spacing w:before="100" w:beforeLines="0" w:beforeAutospacing="1" w:after="100" w:afterLines="0" w:afterAutospacing="1"/>
      <w:jc w:val="right"/>
    </w:pPr>
    <w:rPr>
      <w:rFonts w:ascii="Arial Unicode MS" w:hAnsi="Arial Unicode MS" w:eastAsia="宋体" w:cs="Arial Unicode MS"/>
      <w:color w:val="000000"/>
      <w:kern w:val="0"/>
      <w:sz w:val="18"/>
      <w:szCs w:val="18"/>
    </w:rPr>
  </w:style>
  <w:style w:type="paragraph" w:customStyle="1" w:styleId="62">
    <w:name w:val="Table Text"/>
    <w:basedOn w:val="1"/>
    <w:qFormat/>
    <w:uiPriority w:val="0"/>
    <w:rPr>
      <w:rFonts w:ascii="宋体" w:hAnsi="宋体" w:eastAsia="宋体" w:cs="宋体"/>
      <w:sz w:val="21"/>
      <w:szCs w:val="21"/>
      <w:lang w:val="en-US" w:eastAsia="en-US"/>
    </w:rPr>
  </w:style>
  <w:style w:type="paragraph" w:customStyle="1" w:styleId="63">
    <w:name w:val="正文 New"/>
    <w:qFormat/>
    <w:uiPriority w:val="0"/>
    <w:pPr>
      <w:widowControl w:val="0"/>
      <w:spacing w:line="440" w:lineRule="exact"/>
      <w:ind w:left="357" w:hanging="357"/>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28497</Words>
  <Characters>29793</Characters>
  <Lines>1</Lines>
  <Paragraphs>1</Paragraphs>
  <TotalTime>5</TotalTime>
  <ScaleCrop>false</ScaleCrop>
  <LinksUpToDate>false</LinksUpToDate>
  <CharactersWithSpaces>32662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WPS_1635819670</cp:lastModifiedBy>
  <cp:lastPrinted>2022-04-11T07:26:00Z</cp:lastPrinted>
  <dcterms:modified xsi:type="dcterms:W3CDTF">2025-03-24T00:56:39Z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6D9A791FE09F4AF69DC46F4A104A7358</vt:lpwstr>
  </property>
  <property fmtid="{D5CDD505-2E9C-101B-9397-08002B2CF9AE}" pid="4" name="KSOTemplateDocerSaveRecord">
    <vt:lpwstr>eyJoZGlkIjoiZTg3YjY4NDJhNzM5MTIyNGQ3NTA2NTQ1MGU4MDk2YjMiLCJ1c2VySWQiOiIxMjg0OTQyMzI4In0=</vt:lpwstr>
  </property>
</Properties>
</file>