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F8C7F7">
      <w:pPr>
        <w:spacing w:before="31" w:beforeLines="10" w:after="31" w:afterLines="10" w:line="1200" w:lineRule="exact"/>
        <w:ind w:right="-218" w:rightChars="-104"/>
        <w:jc w:val="center"/>
        <w:rPr>
          <w:rFonts w:hint="eastAsia" w:ascii="楷体_GB2312" w:eastAsia="楷体_GB2312"/>
          <w:b/>
          <w:bCs/>
          <w:color w:val="auto"/>
          <w:sz w:val="48"/>
          <w:szCs w:val="48"/>
          <w:highlight w:val="none"/>
        </w:rPr>
      </w:pPr>
      <w:r>
        <w:rPr>
          <w:rFonts w:hint="eastAsia" w:ascii="宋体" w:hAnsi="宋体" w:cs="宋体"/>
          <w:b/>
          <w:color w:val="auto"/>
          <w:sz w:val="48"/>
          <w:szCs w:val="48"/>
          <w:highlight w:val="none"/>
          <w:lang w:val="en-US" w:eastAsia="zh-CN"/>
        </w:rPr>
        <w:t>安徽省琅琊山商贸发展有限公司出口商店入口处增设玻璃门项目</w:t>
      </w:r>
    </w:p>
    <w:p w14:paraId="7FF72F95">
      <w:pPr>
        <w:spacing w:before="31" w:beforeLines="10" w:after="31" w:afterLines="10" w:line="1200" w:lineRule="exact"/>
        <w:ind w:right="-218" w:rightChars="-104"/>
        <w:jc w:val="center"/>
        <w:rPr>
          <w:rFonts w:hint="eastAsia" w:ascii="楷体_GB2312" w:eastAsia="楷体_GB2312"/>
          <w:b/>
          <w:bCs/>
          <w:color w:val="auto"/>
          <w:sz w:val="94"/>
          <w:highlight w:val="none"/>
        </w:rPr>
      </w:pPr>
    </w:p>
    <w:p w14:paraId="7AFC95D9">
      <w:pPr>
        <w:spacing w:before="31" w:beforeLines="10" w:after="31" w:afterLines="10" w:line="1200" w:lineRule="exact"/>
        <w:ind w:right="-218" w:rightChars="-104"/>
        <w:jc w:val="center"/>
        <w:rPr>
          <w:rFonts w:hint="eastAsia" w:ascii="楷体_GB2312" w:eastAsia="楷体_GB2312"/>
          <w:b/>
          <w:bCs/>
          <w:color w:val="auto"/>
          <w:sz w:val="94"/>
          <w:highlight w:val="none"/>
        </w:rPr>
      </w:pPr>
    </w:p>
    <w:p w14:paraId="37A8A9CD">
      <w:pPr>
        <w:spacing w:before="31" w:beforeLines="10" w:after="31" w:afterLines="10" w:line="1200" w:lineRule="exact"/>
        <w:ind w:right="-218" w:rightChars="-104"/>
        <w:jc w:val="center"/>
        <w:rPr>
          <w:rFonts w:hint="eastAsia" w:ascii="楷体_GB2312" w:eastAsia="楷体_GB2312"/>
          <w:b/>
          <w:bCs/>
          <w:color w:val="auto"/>
          <w:sz w:val="94"/>
          <w:highlight w:val="none"/>
        </w:rPr>
      </w:pPr>
      <w:r>
        <w:rPr>
          <w:rFonts w:hint="eastAsia" w:ascii="楷体_GB2312" w:eastAsia="楷体_GB2312"/>
          <w:b/>
          <w:bCs/>
          <w:color w:val="auto"/>
          <w:sz w:val="94"/>
          <w:highlight w:val="none"/>
        </w:rPr>
        <w:t>招 标 文 件</w:t>
      </w:r>
    </w:p>
    <w:p w14:paraId="32F7C5AC">
      <w:pPr>
        <w:spacing w:before="31" w:beforeLines="10" w:after="31" w:afterLines="10" w:line="600" w:lineRule="exact"/>
        <w:jc w:val="center"/>
        <w:rPr>
          <w:rFonts w:hint="eastAsia"/>
          <w:color w:val="auto"/>
          <w:sz w:val="28"/>
          <w:highlight w:val="none"/>
        </w:rPr>
      </w:pPr>
    </w:p>
    <w:p w14:paraId="442D28A2">
      <w:pPr>
        <w:spacing w:before="31" w:beforeLines="10" w:after="31" w:afterLines="10" w:line="600" w:lineRule="exact"/>
        <w:jc w:val="center"/>
        <w:rPr>
          <w:rFonts w:hint="eastAsia"/>
          <w:color w:val="auto"/>
          <w:sz w:val="28"/>
          <w:highlight w:val="none"/>
        </w:rPr>
      </w:pPr>
    </w:p>
    <w:p w14:paraId="13877F1E">
      <w:pPr>
        <w:spacing w:before="31" w:beforeLines="10" w:after="31" w:afterLines="10" w:line="800" w:lineRule="exact"/>
        <w:rPr>
          <w:rFonts w:hint="eastAsia"/>
          <w:b/>
          <w:bCs/>
          <w:color w:val="auto"/>
          <w:sz w:val="44"/>
          <w:highlight w:val="none"/>
        </w:rPr>
      </w:pPr>
    </w:p>
    <w:p w14:paraId="4C23C403">
      <w:pPr>
        <w:spacing w:before="31" w:beforeLines="10" w:after="31" w:afterLines="10" w:line="800" w:lineRule="exact"/>
        <w:rPr>
          <w:rFonts w:hint="eastAsia"/>
          <w:b/>
          <w:bCs/>
          <w:color w:val="auto"/>
          <w:sz w:val="44"/>
          <w:highlight w:val="none"/>
        </w:rPr>
      </w:pPr>
    </w:p>
    <w:p w14:paraId="45CEE539">
      <w:pPr>
        <w:spacing w:before="31" w:beforeLines="10" w:after="31" w:afterLines="10" w:line="800" w:lineRule="exact"/>
        <w:rPr>
          <w:rFonts w:hint="eastAsia"/>
          <w:b/>
          <w:bCs/>
          <w:color w:val="auto"/>
          <w:sz w:val="32"/>
          <w:highlight w:val="none"/>
        </w:rPr>
      </w:pPr>
    </w:p>
    <w:p w14:paraId="32025C4C">
      <w:pPr>
        <w:spacing w:before="156" w:beforeLines="50" w:after="156" w:afterLines="50" w:line="600" w:lineRule="exact"/>
        <w:ind w:right="-153" w:rightChars="-73" w:firstLine="366" w:firstLineChars="114"/>
        <w:rPr>
          <w:rFonts w:hint="eastAsia" w:ascii="宋体" w:hAnsi="宋体"/>
          <w:b/>
          <w:bCs/>
          <w:color w:val="auto"/>
          <w:spacing w:val="-20"/>
          <w:sz w:val="32"/>
          <w:highlight w:val="none"/>
          <w:u w:val="thick"/>
        </w:rPr>
      </w:pPr>
      <w:r>
        <w:rPr>
          <w:rFonts w:hint="eastAsia" w:ascii="宋体" w:hAnsi="宋体"/>
          <w:b/>
          <w:bCs/>
          <w:color w:val="auto"/>
          <w:sz w:val="32"/>
          <w:highlight w:val="none"/>
        </w:rPr>
        <w:t xml:space="preserve">招  标  人 </w:t>
      </w:r>
      <w:r>
        <w:rPr>
          <w:rFonts w:hint="eastAsia" w:ascii="宋体" w:hAnsi="宋体"/>
          <w:b/>
          <w:bCs/>
          <w:color w:val="auto"/>
          <w:sz w:val="32"/>
          <w:szCs w:val="32"/>
          <w:highlight w:val="none"/>
        </w:rPr>
        <w:t>：</w:t>
      </w:r>
      <w:r>
        <w:rPr>
          <w:rFonts w:hint="eastAsia"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lang w:eastAsia="zh-CN"/>
        </w:rPr>
        <w:t>安徽省琅琊山商贸发展有限公司</w:t>
      </w:r>
      <w:r>
        <w:rPr>
          <w:rFonts w:hint="eastAsia"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rPr>
        <w:t>（盖章）</w:t>
      </w:r>
    </w:p>
    <w:p w14:paraId="2355F89B">
      <w:pPr>
        <w:spacing w:before="156" w:beforeLines="50" w:after="156" w:afterLines="50" w:line="560" w:lineRule="exact"/>
        <w:ind w:right="-153" w:rightChars="-73" w:firstLine="368" w:firstLineChars="131"/>
        <w:rPr>
          <w:rFonts w:ascii="宋体" w:hAnsi="宋体"/>
          <w:b/>
          <w:color w:val="auto"/>
          <w:spacing w:val="20"/>
          <w:sz w:val="32"/>
          <w:szCs w:val="32"/>
          <w:highlight w:val="none"/>
        </w:rPr>
      </w:pPr>
      <w:r>
        <w:rPr>
          <w:rFonts w:hint="eastAsia" w:ascii="宋体" w:hAnsi="宋体"/>
          <w:b/>
          <w:bCs/>
          <w:color w:val="auto"/>
          <w:spacing w:val="-20"/>
          <w:sz w:val="32"/>
          <w:highlight w:val="none"/>
        </w:rPr>
        <w:t>发  布  日  期：</w:t>
      </w:r>
      <w:r>
        <w:rPr>
          <w:rFonts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rPr>
        <w:t xml:space="preserve">           202</w:t>
      </w:r>
      <w:r>
        <w:rPr>
          <w:rFonts w:hint="eastAsia" w:ascii="宋体" w:hAnsi="宋体"/>
          <w:b/>
          <w:bCs/>
          <w:color w:val="auto"/>
          <w:spacing w:val="-20"/>
          <w:sz w:val="32"/>
          <w:highlight w:val="none"/>
          <w:u w:val="single"/>
          <w:lang w:val="en-US" w:eastAsia="zh-CN"/>
        </w:rPr>
        <w:t>5</w:t>
      </w:r>
      <w:r>
        <w:rPr>
          <w:rFonts w:hint="eastAsia" w:ascii="宋体" w:hAnsi="宋体"/>
          <w:b/>
          <w:bCs/>
          <w:color w:val="auto"/>
          <w:spacing w:val="-20"/>
          <w:sz w:val="32"/>
          <w:highlight w:val="none"/>
          <w:u w:val="single"/>
        </w:rPr>
        <w:t>年</w:t>
      </w:r>
      <w:r>
        <w:rPr>
          <w:rFonts w:hint="eastAsia" w:ascii="宋体" w:hAnsi="宋体"/>
          <w:b/>
          <w:bCs/>
          <w:color w:val="auto"/>
          <w:spacing w:val="-20"/>
          <w:sz w:val="32"/>
          <w:highlight w:val="none"/>
          <w:u w:val="single"/>
          <w:lang w:val="en-US" w:eastAsia="zh-CN"/>
        </w:rPr>
        <w:t>4</w:t>
      </w:r>
      <w:r>
        <w:rPr>
          <w:rFonts w:hint="eastAsia" w:ascii="宋体" w:hAnsi="宋体"/>
          <w:b/>
          <w:bCs/>
          <w:color w:val="auto"/>
          <w:spacing w:val="-20"/>
          <w:sz w:val="32"/>
          <w:highlight w:val="none"/>
          <w:u w:val="single"/>
        </w:rPr>
        <w:t xml:space="preserve">月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rPr>
        <w:t xml:space="preserve">            </w:t>
      </w:r>
    </w:p>
    <w:p w14:paraId="3FF01D38">
      <w:pPr>
        <w:tabs>
          <w:tab w:val="left" w:pos="5042"/>
        </w:tabs>
        <w:jc w:val="left"/>
        <w:rPr>
          <w:color w:val="auto"/>
          <w:highlight w:val="none"/>
        </w:rPr>
      </w:pPr>
    </w:p>
    <w:p w14:paraId="5A6F64C9">
      <w:pPr>
        <w:pStyle w:val="2"/>
        <w:rPr>
          <w:color w:val="auto"/>
          <w:highlight w:val="none"/>
        </w:rPr>
      </w:pPr>
    </w:p>
    <w:p w14:paraId="5A030446">
      <w:pPr>
        <w:rPr>
          <w:color w:val="auto"/>
          <w:highlight w:val="none"/>
        </w:rPr>
      </w:pPr>
    </w:p>
    <w:p w14:paraId="00B3C029">
      <w:pPr>
        <w:pStyle w:val="2"/>
        <w:rPr>
          <w:color w:val="auto"/>
          <w:highlight w:val="none"/>
        </w:rPr>
      </w:pPr>
    </w:p>
    <w:p w14:paraId="1F696DDE">
      <w:pPr>
        <w:rPr>
          <w:color w:val="auto"/>
          <w:highlight w:val="none"/>
        </w:rPr>
      </w:pPr>
    </w:p>
    <w:p w14:paraId="272395C8">
      <w:pPr>
        <w:pStyle w:val="2"/>
        <w:rPr>
          <w:color w:val="auto"/>
          <w:highlight w:val="none"/>
        </w:rPr>
      </w:pPr>
    </w:p>
    <w:p w14:paraId="43140E2D">
      <w:pPr>
        <w:rPr>
          <w:color w:val="auto"/>
          <w:highlight w:val="none"/>
        </w:rPr>
      </w:pPr>
    </w:p>
    <w:p w14:paraId="59369872">
      <w:pPr>
        <w:pStyle w:val="2"/>
        <w:rPr>
          <w:color w:val="auto"/>
          <w:highlight w:val="none"/>
        </w:rPr>
      </w:pPr>
    </w:p>
    <w:p w14:paraId="514EEAF9"/>
    <w:p w14:paraId="584A5942">
      <w:pPr>
        <w:spacing w:before="0" w:beforeLines="0" w:after="0" w:afterLines="0" w:line="240" w:lineRule="auto"/>
        <w:ind w:left="0" w:leftChars="0" w:right="0" w:rightChars="0" w:firstLine="0" w:firstLineChars="0"/>
        <w:jc w:val="center"/>
        <w:rPr>
          <w:color w:val="auto"/>
          <w:sz w:val="32"/>
          <w:szCs w:val="32"/>
          <w:highlight w:val="none"/>
        </w:rPr>
      </w:pPr>
      <w:bookmarkStart w:id="0" w:name="OLE_LINK2"/>
      <w:bookmarkStart w:id="1" w:name="OLE_LINK3"/>
      <w:bookmarkStart w:id="2" w:name="_Toc21247_WPSOffice_Level1"/>
      <w:bookmarkStart w:id="3" w:name="OLE_LINK1"/>
      <w:r>
        <w:rPr>
          <w:rFonts w:ascii="宋体" w:hAnsi="宋体" w:eastAsia="宋体"/>
          <w:color w:val="auto"/>
          <w:sz w:val="32"/>
          <w:szCs w:val="32"/>
          <w:highlight w:val="none"/>
        </w:rPr>
        <w:t>目</w:t>
      </w:r>
      <w:r>
        <w:rPr>
          <w:rFonts w:hint="eastAsia" w:ascii="宋体" w:hAnsi="宋体" w:eastAsia="宋体"/>
          <w:color w:val="auto"/>
          <w:sz w:val="32"/>
          <w:szCs w:val="32"/>
          <w:highlight w:val="none"/>
          <w:lang w:val="en-US" w:eastAsia="zh-CN"/>
        </w:rPr>
        <w:t xml:space="preserve">  </w:t>
      </w:r>
      <w:r>
        <w:rPr>
          <w:rFonts w:ascii="宋体" w:hAnsi="宋体" w:eastAsia="宋体"/>
          <w:color w:val="auto"/>
          <w:sz w:val="32"/>
          <w:szCs w:val="32"/>
          <w:highlight w:val="none"/>
        </w:rPr>
        <w:t>录</w:t>
      </w:r>
    </w:p>
    <w:p w14:paraId="4E1D1438">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TOC \o "1-2" \h \u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_Toc4844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第一章  招标公告</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_Toc4844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3</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02597BC">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_Toc9935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w:t>
      </w:r>
      <w:r>
        <w:rPr>
          <w:rFonts w:hint="eastAsia" w:ascii="宋体" w:hAnsi="宋体" w:eastAsia="宋体" w:cs="宋体"/>
          <w:b w:val="0"/>
          <w:bCs/>
          <w:color w:val="auto"/>
          <w:sz w:val="24"/>
          <w:szCs w:val="24"/>
          <w:highlight w:val="none"/>
          <w:lang w:val="en-US" w:eastAsia="zh-CN"/>
        </w:rPr>
        <w:t>二</w:t>
      </w:r>
      <w:r>
        <w:rPr>
          <w:rFonts w:hint="eastAsia" w:ascii="宋体" w:hAnsi="宋体" w:eastAsia="宋体" w:cs="宋体"/>
          <w:b w:val="0"/>
          <w:bCs/>
          <w:color w:val="auto"/>
          <w:sz w:val="24"/>
          <w:szCs w:val="24"/>
          <w:highlight w:val="none"/>
        </w:rPr>
        <w:t>章  投标须知</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_Toc9935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5</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7B503BC6">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_Toc8739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1. 总则</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_Toc8739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7</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FEAFC24">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_Toc5229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 xml:space="preserve">2. </w:t>
      </w:r>
      <w:r>
        <w:rPr>
          <w:rFonts w:hint="eastAsia" w:ascii="宋体" w:hAnsi="宋体" w:eastAsia="宋体" w:cs="宋体"/>
          <w:b w:val="0"/>
          <w:bCs/>
          <w:color w:val="auto"/>
          <w:sz w:val="24"/>
          <w:szCs w:val="24"/>
          <w:highlight w:val="none"/>
          <w:lang w:val="en-US" w:eastAsia="zh-CN"/>
        </w:rPr>
        <w:t>招标文件</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_Toc5229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8</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5A2122C4">
      <w:pPr>
        <w:pStyle w:val="219"/>
        <w:keepNext w:val="0"/>
        <w:keepLines w:val="0"/>
        <w:pageBreakBefore w:val="0"/>
        <w:widowControl/>
        <w:tabs>
          <w:tab w:val="right" w:leader="dot" w:pos="9182"/>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_Toc19969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3. 投标文件</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_Toc19969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9</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6E706BF7">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_Toc26392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4.投标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_Toc26392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10</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4CC554F">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_Toc9416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5. 开标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_Toc9416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43645589">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_Toc396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6. 评标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_Toc396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6CD7B18B">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_Toc22455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7. 合同授予</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_Toc22455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380982FF">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_Toc17919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8. 纪律和监督</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_Toc17919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12</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C7A3CF4">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_Toc17982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9.需要补充的其他内容</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_Toc17982 \h </w:instrText>
      </w:r>
      <w:r>
        <w:rPr>
          <w:rFonts w:hint="eastAsia" w:ascii="宋体" w:hAnsi="宋体" w:eastAsia="宋体" w:cs="宋体"/>
          <w:b w:val="0"/>
          <w:bCs/>
          <w:color w:val="auto"/>
          <w:sz w:val="24"/>
          <w:szCs w:val="24"/>
          <w:highlight w:val="none"/>
        </w:rPr>
        <w:fldChar w:fldCharType="separate"/>
      </w:r>
      <w:r>
        <w:rPr>
          <w:b/>
        </w:rPr>
        <w:t>错误！未定义书签。</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4CA8DD13">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_Toc19437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lang w:val="en-US" w:eastAsia="zh-CN"/>
        </w:rPr>
        <w:t xml:space="preserve">第二章  </w:t>
      </w:r>
      <w:r>
        <w:rPr>
          <w:rFonts w:hint="eastAsia" w:ascii="宋体" w:hAnsi="宋体" w:eastAsia="宋体" w:cs="宋体"/>
          <w:b w:val="0"/>
          <w:bCs/>
          <w:color w:val="auto"/>
          <w:sz w:val="24"/>
          <w:szCs w:val="24"/>
          <w:highlight w:val="none"/>
        </w:rPr>
        <w:t>评标办法</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_Toc19437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14</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EF0B868">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_Toc14704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lang w:val="en-US" w:eastAsia="zh-CN"/>
        </w:rPr>
        <w:t>第三章 服务内容及要求</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pacing w:val="20"/>
          <w:sz w:val="24"/>
          <w:szCs w:val="24"/>
          <w:highlight w:val="none"/>
        </w:rPr>
        <w:fldChar w:fldCharType="end"/>
      </w:r>
      <w:r>
        <w:rPr>
          <w:rFonts w:hint="eastAsia" w:ascii="宋体" w:hAnsi="宋体" w:eastAsia="宋体" w:cs="宋体"/>
          <w:b w:val="0"/>
          <w:bCs/>
          <w:color w:val="auto"/>
          <w:spacing w:val="20"/>
          <w:sz w:val="24"/>
          <w:szCs w:val="24"/>
          <w:highlight w:val="none"/>
          <w:lang w:val="en-US" w:eastAsia="zh-CN"/>
        </w:rPr>
        <w:t>9</w:t>
      </w:r>
    </w:p>
    <w:p w14:paraId="3724E3A7">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_Toc16259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第四章 合同条款及格式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_Toc16259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7D079E39">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_Toc13063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一 合同协议书（格式）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_Toc13063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98AD3BD">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_Toc17078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二  合同条款</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_Toc17078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22</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DDFC916">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_Toc21133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w:t>
      </w:r>
      <w:r>
        <w:rPr>
          <w:rFonts w:hint="eastAsia" w:ascii="宋体" w:hAnsi="宋体" w:eastAsia="宋体" w:cs="宋体"/>
          <w:b w:val="0"/>
          <w:bCs/>
          <w:color w:val="auto"/>
          <w:sz w:val="24"/>
          <w:szCs w:val="24"/>
          <w:highlight w:val="none"/>
          <w:lang w:val="en-US" w:eastAsia="zh-CN"/>
        </w:rPr>
        <w:t>五</w:t>
      </w:r>
      <w:r>
        <w:rPr>
          <w:rFonts w:hint="eastAsia" w:ascii="宋体" w:hAnsi="宋体" w:eastAsia="宋体" w:cs="宋体"/>
          <w:b w:val="0"/>
          <w:bCs/>
          <w:color w:val="auto"/>
          <w:sz w:val="24"/>
          <w:szCs w:val="24"/>
          <w:highlight w:val="none"/>
        </w:rPr>
        <w:t>章  投标文件格式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_Toc21133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27</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09E4F39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cs="宋体"/>
          <w:b/>
          <w:color w:val="auto"/>
          <w:spacing w:val="20"/>
          <w:sz w:val="40"/>
          <w:highlight w:val="none"/>
        </w:rPr>
      </w:pPr>
      <w:r>
        <w:rPr>
          <w:rFonts w:hint="eastAsia" w:ascii="宋体" w:hAnsi="宋体" w:eastAsia="宋体" w:cs="宋体"/>
          <w:b w:val="0"/>
          <w:bCs/>
          <w:color w:val="auto"/>
          <w:spacing w:val="20"/>
          <w:sz w:val="24"/>
          <w:szCs w:val="24"/>
          <w:highlight w:val="none"/>
        </w:rPr>
        <w:fldChar w:fldCharType="end"/>
      </w:r>
    </w:p>
    <w:p w14:paraId="15105B07">
      <w:pPr>
        <w:rPr>
          <w:rFonts w:hint="eastAsia" w:ascii="宋体" w:hAnsi="宋体" w:cs="宋体"/>
          <w:color w:val="auto"/>
          <w:sz w:val="24"/>
          <w:highlight w:val="none"/>
        </w:rPr>
      </w:pPr>
    </w:p>
    <w:p w14:paraId="4884D7BF">
      <w:pPr>
        <w:rPr>
          <w:rFonts w:hint="eastAsia" w:ascii="宋体" w:hAnsi="宋体" w:cs="宋体"/>
          <w:bCs/>
          <w:color w:val="auto"/>
          <w:sz w:val="32"/>
          <w:highlight w:val="none"/>
        </w:rPr>
      </w:pPr>
    </w:p>
    <w:p w14:paraId="6CD763ED">
      <w:pPr>
        <w:pStyle w:val="8"/>
        <w:rPr>
          <w:rFonts w:hint="eastAsia" w:ascii="宋体" w:hAnsi="宋体" w:cs="宋体"/>
          <w:bCs w:val="0"/>
          <w:color w:val="auto"/>
          <w:sz w:val="32"/>
          <w:highlight w:val="none"/>
        </w:rPr>
      </w:pPr>
    </w:p>
    <w:p w14:paraId="3F17E62A">
      <w:pPr>
        <w:rPr>
          <w:rFonts w:hint="eastAsia" w:ascii="宋体" w:hAnsi="宋体" w:cs="宋体"/>
          <w:bCs/>
          <w:color w:val="auto"/>
          <w:sz w:val="32"/>
          <w:highlight w:val="none"/>
        </w:rPr>
      </w:pPr>
    </w:p>
    <w:p w14:paraId="40AC2DB4">
      <w:pPr>
        <w:pStyle w:val="2"/>
        <w:rPr>
          <w:rFonts w:hint="eastAsia" w:ascii="宋体" w:hAnsi="宋体" w:cs="宋体"/>
          <w:bCs/>
          <w:color w:val="auto"/>
          <w:sz w:val="32"/>
          <w:highlight w:val="none"/>
        </w:rPr>
      </w:pPr>
    </w:p>
    <w:p w14:paraId="627B3A86">
      <w:pPr>
        <w:rPr>
          <w:rFonts w:hint="eastAsia"/>
        </w:rPr>
      </w:pPr>
    </w:p>
    <w:p w14:paraId="07C0AF96">
      <w:pPr>
        <w:pStyle w:val="8"/>
        <w:rPr>
          <w:rFonts w:hint="eastAsia" w:ascii="宋体" w:hAnsi="宋体" w:cs="宋体"/>
          <w:bCs w:val="0"/>
          <w:color w:val="auto"/>
          <w:sz w:val="32"/>
          <w:highlight w:val="none"/>
        </w:rPr>
      </w:pPr>
    </w:p>
    <w:p w14:paraId="57CA9102">
      <w:pPr>
        <w:rPr>
          <w:rFonts w:hint="eastAsia"/>
          <w:color w:val="auto"/>
          <w:highlight w:val="none"/>
        </w:rPr>
      </w:pPr>
    </w:p>
    <w:p w14:paraId="424383E1">
      <w:pPr>
        <w:pStyle w:val="5"/>
        <w:rPr>
          <w:rFonts w:hint="eastAsia"/>
          <w:color w:val="auto"/>
          <w:highlight w:val="none"/>
        </w:rPr>
      </w:pPr>
      <w:bookmarkStart w:id="4" w:name="_Toc26370"/>
      <w:bookmarkStart w:id="5" w:name="_Toc4844"/>
      <w:bookmarkStart w:id="6" w:name="_Toc7143"/>
      <w:r>
        <w:rPr>
          <w:rFonts w:hint="eastAsia"/>
          <w:color w:val="auto"/>
          <w:highlight w:val="none"/>
        </w:rPr>
        <w:t>招标公告</w:t>
      </w:r>
      <w:bookmarkEnd w:id="4"/>
      <w:bookmarkEnd w:id="5"/>
    </w:p>
    <w:p w14:paraId="22E117CA">
      <w:pPr>
        <w:pageBreakBefore w:val="0"/>
        <w:kinsoku/>
        <w:wordWrap/>
        <w:overflowPunct/>
        <w:topLinePunct w:val="0"/>
        <w:autoSpaceDE/>
        <w:autoSpaceDN/>
        <w:bidi w:val="0"/>
        <w:snapToGrid/>
        <w:spacing w:line="380" w:lineRule="exact"/>
        <w:ind w:firstLine="420" w:firstLineChars="200"/>
        <w:rPr>
          <w:rFonts w:hint="eastAsia" w:ascii="宋体" w:hAnsi="宋体" w:eastAsia="宋体" w:cs="宋体"/>
          <w:color w:val="auto"/>
          <w:sz w:val="21"/>
          <w:szCs w:val="21"/>
          <w:highlight w:val="none"/>
        </w:rPr>
      </w:pPr>
      <w:bookmarkStart w:id="7" w:name="_Toc19211"/>
      <w:r>
        <w:rPr>
          <w:rFonts w:hint="eastAsia" w:ascii="宋体" w:hAnsi="宋体" w:cs="宋体"/>
          <w:color w:val="auto"/>
          <w:sz w:val="21"/>
          <w:szCs w:val="21"/>
          <w:highlight w:val="none"/>
          <w:lang w:val="en-US" w:eastAsia="zh-CN"/>
        </w:rPr>
        <w:t>安徽省琅琊山商贸发展有限公司出口商店入口处增设玻璃门项目</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公告栏（https://www.lysfjq.cn/）</w:t>
      </w:r>
      <w:r>
        <w:rPr>
          <w:rFonts w:hint="eastAsia" w:ascii="宋体" w:hAnsi="宋体" w:eastAsia="宋体" w:cs="宋体"/>
          <w:color w:val="auto"/>
          <w:sz w:val="21"/>
          <w:szCs w:val="21"/>
          <w:highlight w:val="none"/>
          <w:lang w:val="en-US" w:eastAsia="zh-CN"/>
        </w:rPr>
        <w:t>获取</w:t>
      </w:r>
      <w:r>
        <w:rPr>
          <w:rFonts w:hint="eastAsia" w:ascii="宋体" w:hAnsi="宋体" w:eastAsia="宋体" w:cs="宋体"/>
          <w:color w:val="auto"/>
          <w:sz w:val="21"/>
          <w:szCs w:val="21"/>
          <w:highlight w:val="none"/>
        </w:rPr>
        <w:t>招标文件，并于</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（北京时间）前递交投标文件。</w:t>
      </w:r>
    </w:p>
    <w:p w14:paraId="0D9A7FD3">
      <w:pPr>
        <w:pStyle w:val="6"/>
        <w:numPr>
          <w:ilvl w:val="1"/>
          <w:numId w:val="0"/>
        </w:numPr>
        <w:spacing w:before="93" w:beforeLines="30" w:after="93" w:afterLines="30" w:line="440" w:lineRule="exact"/>
        <w:jc w:val="left"/>
        <w:rPr>
          <w:rFonts w:hint="eastAsia" w:ascii="宋体" w:hAnsi="宋体" w:cs="宋体"/>
          <w:color w:val="auto"/>
          <w:szCs w:val="24"/>
          <w:highlight w:val="none"/>
        </w:rPr>
      </w:pPr>
      <w:bookmarkStart w:id="8" w:name="_Toc23453"/>
      <w:r>
        <w:rPr>
          <w:rFonts w:hint="eastAsia" w:ascii="宋体" w:hAnsi="宋体" w:cs="宋体"/>
          <w:b/>
          <w:color w:val="auto"/>
          <w:szCs w:val="24"/>
          <w:highlight w:val="none"/>
        </w:rPr>
        <w:t>一、项目基本情况</w:t>
      </w:r>
      <w:bookmarkEnd w:id="7"/>
      <w:bookmarkEnd w:id="8"/>
    </w:p>
    <w:p w14:paraId="5142E4AB">
      <w:pPr>
        <w:spacing w:line="440" w:lineRule="exact"/>
        <w:ind w:firstLine="420" w:firstLineChars="200"/>
        <w:jc w:val="left"/>
        <w:rPr>
          <w:rFonts w:hint="default" w:eastAsia="宋体"/>
          <w:color w:val="auto"/>
          <w:highlight w:val="none"/>
          <w:lang w:val="en-US"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安徽省琅琊山商贸发展有限公司出口商店入口处增设玻璃门项目</w:t>
      </w:r>
    </w:p>
    <w:p w14:paraId="70D418F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预算金</w:t>
      </w:r>
      <w:r>
        <w:rPr>
          <w:rFonts w:hint="eastAsia" w:ascii="宋体" w:hAnsi="宋体" w:eastAsia="宋体" w:cs="宋体"/>
          <w:color w:val="auto"/>
          <w:szCs w:val="21"/>
          <w:highlight w:val="none"/>
        </w:rPr>
        <w:t>额：</w:t>
      </w:r>
      <w:r>
        <w:rPr>
          <w:rFonts w:hint="eastAsia" w:ascii="宋体" w:hAnsi="宋体" w:cs="宋体"/>
          <w:color w:val="auto"/>
          <w:szCs w:val="21"/>
          <w:highlight w:val="none"/>
          <w:lang w:val="en-US" w:eastAsia="zh-CN"/>
        </w:rPr>
        <w:t>18000元</w:t>
      </w:r>
    </w:p>
    <w:p w14:paraId="2B2E387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18000元</w:t>
      </w:r>
      <w:r>
        <w:rPr>
          <w:rFonts w:hint="eastAsia" w:ascii="宋体" w:hAnsi="宋体" w:cs="宋体"/>
          <w:color w:val="auto"/>
          <w:kern w:val="0"/>
          <w:szCs w:val="21"/>
          <w:highlight w:val="none"/>
          <w:lang w:val="en-US" w:eastAsia="zh-CN"/>
        </w:rPr>
        <w:t>，高于最高投标限价的，按无效标处理</w:t>
      </w:r>
      <w:r>
        <w:rPr>
          <w:rFonts w:hint="eastAsia" w:ascii="宋体" w:hAnsi="宋体" w:eastAsia="宋体" w:cs="宋体"/>
          <w:color w:val="auto"/>
          <w:szCs w:val="21"/>
          <w:highlight w:val="none"/>
        </w:rPr>
        <w:t>。</w:t>
      </w:r>
    </w:p>
    <w:p w14:paraId="2718F829">
      <w:pPr>
        <w:spacing w:line="440" w:lineRule="exact"/>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建设</w:t>
      </w:r>
      <w:r>
        <w:rPr>
          <w:rFonts w:hint="eastAsia" w:ascii="宋体" w:hAnsi="宋体" w:cs="宋体"/>
          <w:color w:val="auto"/>
          <w:szCs w:val="21"/>
          <w:highlight w:val="none"/>
        </w:rPr>
        <w:t>需求：</w:t>
      </w:r>
      <w:r>
        <w:rPr>
          <w:rFonts w:hint="eastAsia" w:ascii="宋体" w:hAnsi="宋体" w:cs="宋体"/>
          <w:b/>
          <w:bCs/>
          <w:color w:val="auto"/>
          <w:szCs w:val="21"/>
          <w:highlight w:val="none"/>
          <w:lang w:val="en-US" w:eastAsia="zh-CN"/>
        </w:rPr>
        <w:t>洞口尺寸：约宽1.97米*高3.27米，门尺寸：约宽1.97米*高2.7米对开玻璃门，边框铝合金材质，规格：44cm*100cm方管，壁厚2.0mm,颜色深咖啡色，玻璃5+15A+5LOW-E钢化中空玻璃、同时须对原外侧无障碍通道进行改造，使之仍然发挥功能，并与改造后的通道兼容（该部分工程量须投标单位现场勘查）。施工内容包括但不限于以上内容，需根据业主要求完善效果图内各项施工内容</w:t>
      </w:r>
      <w:r>
        <w:rPr>
          <w:rFonts w:hint="eastAsia" w:ascii="宋体" w:hAnsi="宋体" w:cs="宋体"/>
          <w:color w:val="auto"/>
          <w:szCs w:val="21"/>
          <w:highlight w:val="none"/>
          <w:lang w:val="en-US" w:eastAsia="zh-CN"/>
        </w:rPr>
        <w:t>。</w:t>
      </w:r>
    </w:p>
    <w:p w14:paraId="313F95EF">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合同履行期限：自合同签订之日起</w:t>
      </w:r>
      <w:r>
        <w:rPr>
          <w:rFonts w:hint="eastAsia" w:ascii="宋体" w:hAnsi="宋体" w:cs="宋体"/>
          <w:color w:val="auto"/>
          <w:szCs w:val="21"/>
          <w:highlight w:val="none"/>
          <w:lang w:val="en-US" w:eastAsia="zh-CN"/>
        </w:rPr>
        <w:t>10个日历天</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投标人自报的承诺工期为考核标准，每推迟一天，按1000 元/天处以违约金。</w:t>
      </w:r>
    </w:p>
    <w:p w14:paraId="1A13753C">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本项目不接受联合体投标。</w:t>
      </w:r>
    </w:p>
    <w:p w14:paraId="7B96F4E7">
      <w:pPr>
        <w:pStyle w:val="6"/>
        <w:numPr>
          <w:ilvl w:val="1"/>
          <w:numId w:val="0"/>
        </w:numPr>
        <w:spacing w:before="93" w:beforeLines="30" w:after="93" w:afterLines="30" w:line="440" w:lineRule="exact"/>
        <w:jc w:val="left"/>
        <w:rPr>
          <w:rFonts w:hint="eastAsia" w:ascii="宋体" w:hAnsi="宋体" w:cs="宋体"/>
          <w:b/>
          <w:color w:val="auto"/>
          <w:szCs w:val="24"/>
          <w:highlight w:val="none"/>
        </w:rPr>
      </w:pPr>
      <w:bookmarkStart w:id="9" w:name="_Toc35393622"/>
      <w:bookmarkStart w:id="10" w:name="_Toc58430306"/>
      <w:bookmarkStart w:id="11" w:name="_Toc35393791"/>
      <w:bookmarkStart w:id="12" w:name="_Toc15472"/>
      <w:bookmarkStart w:id="13" w:name="_Toc28359003"/>
      <w:bookmarkStart w:id="14" w:name="_Toc28359080"/>
      <w:bookmarkStart w:id="15" w:name="_Toc2663"/>
      <w:r>
        <w:rPr>
          <w:rFonts w:hint="eastAsia" w:ascii="宋体" w:hAnsi="宋体" w:cs="宋体"/>
          <w:b/>
          <w:color w:val="auto"/>
          <w:szCs w:val="24"/>
          <w:highlight w:val="none"/>
        </w:rPr>
        <w:t>二、申请人的资格要求</w:t>
      </w:r>
      <w:bookmarkEnd w:id="9"/>
      <w:bookmarkEnd w:id="10"/>
      <w:bookmarkEnd w:id="11"/>
      <w:bookmarkEnd w:id="12"/>
      <w:bookmarkEnd w:id="13"/>
      <w:bookmarkEnd w:id="14"/>
      <w:bookmarkEnd w:id="15"/>
    </w:p>
    <w:p w14:paraId="1B5D8D5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eastAsia="宋体" w:cs="宋体"/>
          <w:color w:val="auto"/>
          <w:szCs w:val="21"/>
          <w:highlight w:val="none"/>
          <w:lang w:val="en-US" w:eastAsia="zh-CN"/>
        </w:rPr>
      </w:pPr>
      <w:bookmarkStart w:id="16" w:name="_Toc28359081"/>
      <w:bookmarkStart w:id="17" w:name="_Toc28359004"/>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企业资格</w:t>
      </w:r>
      <w:r>
        <w:rPr>
          <w:rFonts w:hint="eastAsia" w:ascii="宋体" w:hAnsi="宋体" w:eastAsia="宋体" w:cs="宋体"/>
          <w:color w:val="auto"/>
          <w:szCs w:val="21"/>
          <w:highlight w:val="none"/>
        </w:rPr>
        <w:t>要求：</w:t>
      </w:r>
      <w:r>
        <w:rPr>
          <w:rFonts w:hint="eastAsia" w:ascii="宋体" w:hAnsi="宋体" w:cs="宋体"/>
          <w:color w:val="auto"/>
          <w:szCs w:val="21"/>
          <w:highlight w:val="none"/>
          <w:lang w:val="en-US" w:eastAsia="zh-CN"/>
        </w:rPr>
        <w:t>具有门窗制作、安装等经营范围</w:t>
      </w:r>
    </w:p>
    <w:p w14:paraId="2DEC9E78">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、信誉要求：投标人</w:t>
      </w:r>
      <w:r>
        <w:rPr>
          <w:rFonts w:hint="eastAsia" w:ascii="宋体" w:hAnsi="宋体" w:cs="宋体"/>
          <w:color w:val="auto"/>
          <w:szCs w:val="21"/>
          <w:highlight w:val="none"/>
        </w:rPr>
        <w:t>不得存在以下情形：</w:t>
      </w:r>
    </w:p>
    <w:p w14:paraId="4F156FE0">
      <w:pPr>
        <w:spacing w:line="440" w:lineRule="exact"/>
        <w:ind w:firstLine="420" w:firstLineChars="200"/>
        <w:jc w:val="left"/>
        <w:rPr>
          <w:rFonts w:hint="eastAsia" w:ascii="宋体" w:hAnsi="宋体" w:eastAsia="宋体" w:cs="宋体"/>
          <w:color w:val="auto"/>
          <w:sz w:val="21"/>
          <w:szCs w:val="21"/>
          <w:highlight w:val="none"/>
          <w:lang w:val="en-US" w:eastAsia="zh-CN"/>
        </w:rPr>
      </w:pPr>
      <w:bookmarkStart w:id="18" w:name="_Toc35393792"/>
      <w:bookmarkStart w:id="19" w:name="_Toc58430307"/>
      <w:bookmarkStart w:id="20" w:name="_Toc348"/>
      <w:bookmarkStart w:id="21" w:name="_Toc35393623"/>
      <w:r>
        <w:rPr>
          <w:rFonts w:hint="eastAsia" w:ascii="宋体" w:hAnsi="宋体" w:eastAsia="宋体" w:cs="宋体"/>
          <w:color w:val="auto"/>
          <w:sz w:val="21"/>
          <w:szCs w:val="21"/>
          <w:highlight w:val="none"/>
          <w:lang w:val="en-US" w:eastAsia="zh-CN"/>
        </w:rPr>
        <w:t>①投标人被人民法院列入失信被执行人的；</w:t>
      </w:r>
    </w:p>
    <w:p w14:paraId="79890512">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②投标人或其法定代表人或拟派项目经理（项目负责人）前三年有行贿犯罪行为的；</w:t>
      </w:r>
    </w:p>
    <w:p w14:paraId="491C9D95">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③投标人被市场监督管理部门列入经营异常名录或者严重违法企业名单的；</w:t>
      </w:r>
    </w:p>
    <w:p w14:paraId="63748E91">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④投标人被税务部门列入重大税收违法案件当事人的；</w:t>
      </w:r>
    </w:p>
    <w:p w14:paraId="337F853A">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⑤投标人被政府采购监管部门列入政府采购严重违法失信行为记录名单的；</w:t>
      </w:r>
    </w:p>
    <w:p w14:paraId="4272F736">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⑥在“信用中国”网站上披露仍在公示期的严重失信行为的；</w:t>
      </w:r>
    </w:p>
    <w:p w14:paraId="22887034">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、投标人所属分公司、办事处等分支机构存在第2款信誉要求①-⑥项情形之一的，接受投标人参加本项目。</w:t>
      </w:r>
    </w:p>
    <w:p w14:paraId="4E60634A">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备注：第2、3条按照“关于联合惩戒失信行为加强信用查询管理的通知”查询或承诺。</w:t>
      </w:r>
    </w:p>
    <w:p w14:paraId="7D2A4A1D">
      <w:pPr>
        <w:pStyle w:val="6"/>
        <w:numPr>
          <w:ilvl w:val="1"/>
          <w:numId w:val="0"/>
        </w:numPr>
        <w:spacing w:before="93" w:beforeLines="30" w:after="93" w:afterLines="30" w:line="440" w:lineRule="exact"/>
        <w:jc w:val="left"/>
        <w:rPr>
          <w:rFonts w:hint="eastAsia" w:ascii="宋体" w:hAnsi="宋体" w:cs="宋体"/>
          <w:b/>
          <w:color w:val="auto"/>
          <w:szCs w:val="24"/>
          <w:highlight w:val="none"/>
        </w:rPr>
      </w:pPr>
      <w:bookmarkStart w:id="22" w:name="_Toc3924"/>
      <w:r>
        <w:rPr>
          <w:rFonts w:hint="eastAsia" w:ascii="宋体" w:hAnsi="宋体" w:cs="宋体"/>
          <w:b/>
          <w:color w:val="auto"/>
          <w:szCs w:val="24"/>
          <w:highlight w:val="none"/>
        </w:rPr>
        <w:t>三、</w:t>
      </w:r>
      <w:bookmarkEnd w:id="16"/>
      <w:bookmarkEnd w:id="17"/>
      <w:bookmarkEnd w:id="18"/>
      <w:bookmarkEnd w:id="19"/>
      <w:bookmarkEnd w:id="20"/>
      <w:bookmarkEnd w:id="21"/>
      <w:bookmarkEnd w:id="22"/>
      <w:r>
        <w:rPr>
          <w:rFonts w:hint="eastAsia" w:ascii="宋体" w:hAnsi="宋体" w:cs="宋体"/>
          <w:b/>
          <w:color w:val="auto"/>
          <w:szCs w:val="24"/>
          <w:highlight w:val="none"/>
        </w:rPr>
        <w:t>获取招标文件</w:t>
      </w:r>
    </w:p>
    <w:p w14:paraId="0D516ED6">
      <w:pPr>
        <w:pStyle w:val="6"/>
        <w:keepNext/>
        <w:keepLines/>
        <w:pageBreakBefore w:val="0"/>
        <w:widowControl w:val="0"/>
        <w:numPr>
          <w:ilvl w:val="1"/>
          <w:numId w:val="0"/>
        </w:numPr>
        <w:kinsoku/>
        <w:wordWrap w:val="0"/>
        <w:overflowPunct/>
        <w:topLinePunct w:val="0"/>
        <w:autoSpaceDE/>
        <w:autoSpaceDN/>
        <w:bidi w:val="0"/>
        <w:adjustRightInd/>
        <w:snapToGrid/>
        <w:spacing w:before="93" w:beforeLines="30" w:after="93" w:afterLines="30" w:line="440" w:lineRule="exact"/>
        <w:ind w:firstLine="241" w:firstLineChars="100"/>
        <w:jc w:val="left"/>
        <w:textAlignment w:val="auto"/>
        <w:rPr>
          <w:rFonts w:hint="eastAsia" w:ascii="宋体" w:hAnsi="宋体" w:cs="宋体"/>
          <w:b/>
          <w:color w:val="auto"/>
          <w:szCs w:val="24"/>
          <w:highlight w:val="none"/>
        </w:rPr>
      </w:pPr>
      <w:bookmarkStart w:id="23" w:name="_Toc28359005"/>
      <w:bookmarkStart w:id="24" w:name="_Toc28359082"/>
      <w:bookmarkStart w:id="25" w:name="_Toc58430308"/>
      <w:bookmarkStart w:id="26" w:name="_Toc35393793"/>
      <w:bookmarkStart w:id="27" w:name="_Toc22285"/>
      <w:bookmarkStart w:id="28" w:name="_Toc35393624"/>
      <w:bookmarkStart w:id="29" w:name="_Toc21400"/>
      <w:r>
        <w:rPr>
          <w:rFonts w:hint="eastAsia" w:ascii="宋体" w:hAnsi="宋体" w:cs="宋体"/>
          <w:b/>
          <w:color w:val="auto"/>
          <w:szCs w:val="24"/>
          <w:highlight w:val="none"/>
        </w:rPr>
        <w:t>潜在投标人在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公告栏（https://www.lysfjq.cn/）</w:t>
      </w:r>
      <w:r>
        <w:rPr>
          <w:rFonts w:hint="eastAsia" w:ascii="宋体" w:hAnsi="宋体" w:eastAsia="宋体" w:cs="宋体"/>
          <w:b/>
          <w:color w:val="auto"/>
          <w:szCs w:val="24"/>
          <w:highlight w:val="none"/>
        </w:rPr>
        <w:t>获取招标文件</w:t>
      </w:r>
      <w:r>
        <w:rPr>
          <w:rFonts w:hint="eastAsia" w:ascii="宋体" w:hAnsi="宋体" w:cs="宋体"/>
          <w:b/>
          <w:color w:val="auto"/>
          <w:szCs w:val="24"/>
          <w:highlight w:val="none"/>
        </w:rPr>
        <w:t xml:space="preserve"> </w:t>
      </w:r>
    </w:p>
    <w:p w14:paraId="4DC35440">
      <w:pPr>
        <w:pStyle w:val="6"/>
        <w:numPr>
          <w:ilvl w:val="1"/>
          <w:numId w:val="0"/>
        </w:numPr>
        <w:spacing w:before="93" w:beforeLines="30" w:after="93" w:afterLines="30" w:line="440" w:lineRule="exact"/>
        <w:jc w:val="left"/>
        <w:rPr>
          <w:rFonts w:hint="eastAsia" w:ascii="宋体" w:hAnsi="宋体" w:cs="宋体"/>
          <w:b/>
          <w:color w:val="auto"/>
          <w:szCs w:val="24"/>
          <w:highlight w:val="none"/>
        </w:rPr>
      </w:pPr>
      <w:r>
        <w:rPr>
          <w:rFonts w:hint="eastAsia" w:ascii="宋体" w:hAnsi="宋体" w:cs="宋体"/>
          <w:b/>
          <w:color w:val="auto"/>
          <w:szCs w:val="24"/>
          <w:highlight w:val="none"/>
        </w:rPr>
        <w:t>四、提交投标文件</w:t>
      </w:r>
      <w:bookmarkEnd w:id="23"/>
      <w:bookmarkEnd w:id="24"/>
      <w:r>
        <w:rPr>
          <w:rFonts w:hint="eastAsia" w:ascii="宋体" w:hAnsi="宋体" w:cs="宋体"/>
          <w:b/>
          <w:color w:val="auto"/>
          <w:szCs w:val="24"/>
          <w:highlight w:val="none"/>
        </w:rPr>
        <w:t>截止时间、开标时间和地点</w:t>
      </w:r>
      <w:bookmarkEnd w:id="25"/>
      <w:bookmarkEnd w:id="26"/>
      <w:bookmarkEnd w:id="27"/>
      <w:bookmarkEnd w:id="28"/>
      <w:bookmarkEnd w:id="29"/>
    </w:p>
    <w:p w14:paraId="0F9A9627">
      <w:pPr>
        <w:spacing w:line="44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 xml:space="preserve"> </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cs="宋体"/>
          <w:b/>
          <w:color w:val="auto"/>
          <w:szCs w:val="21"/>
          <w:highlight w:val="none"/>
        </w:rPr>
        <w:t>（北京时间）</w:t>
      </w:r>
    </w:p>
    <w:p w14:paraId="4EFAB7EA">
      <w:pPr>
        <w:spacing w:line="440" w:lineRule="exact"/>
        <w:ind w:firstLine="420" w:firstLineChars="200"/>
        <w:jc w:val="left"/>
        <w:rPr>
          <w:rFonts w:hint="eastAsia" w:ascii="宋体" w:hAnsi="宋体" w:cs="宋体"/>
          <w:bCs/>
          <w:color w:val="auto"/>
          <w:szCs w:val="21"/>
          <w:highlight w:val="none"/>
          <w:u w:val="single"/>
        </w:rPr>
      </w:pPr>
      <w:r>
        <w:rPr>
          <w:rFonts w:hint="eastAsia" w:ascii="宋体" w:hAnsi="宋体" w:cs="宋体"/>
          <w:color w:val="auto"/>
          <w:szCs w:val="21"/>
          <w:highlight w:val="none"/>
        </w:rPr>
        <w:t>地点：</w:t>
      </w:r>
      <w:r>
        <w:rPr>
          <w:rFonts w:hint="eastAsia" w:ascii="宋体" w:hAnsi="宋体" w:eastAsia="宋体" w:cs="宋体"/>
          <w:color w:val="auto"/>
          <w:kern w:val="0"/>
          <w:sz w:val="21"/>
          <w:szCs w:val="21"/>
          <w:highlight w:val="none"/>
          <w:u w:val="none"/>
          <w:lang w:eastAsia="zh-CN"/>
        </w:rPr>
        <w:t>琅琊山</w:t>
      </w:r>
      <w:r>
        <w:rPr>
          <w:rFonts w:hint="eastAsia" w:ascii="宋体" w:hAnsi="宋体" w:eastAsia="宋体" w:cs="宋体"/>
          <w:color w:val="auto"/>
          <w:kern w:val="0"/>
          <w:sz w:val="21"/>
          <w:szCs w:val="21"/>
          <w:highlight w:val="none"/>
          <w:u w:val="none"/>
          <w:lang w:val="en-US" w:eastAsia="zh-CN"/>
        </w:rPr>
        <w:t>旅游发展有限公司</w:t>
      </w:r>
      <w:r>
        <w:rPr>
          <w:rFonts w:hint="eastAsia" w:ascii="宋体" w:hAnsi="宋体" w:eastAsia="宋体" w:cs="宋体"/>
          <w:color w:val="auto"/>
          <w:kern w:val="0"/>
          <w:sz w:val="21"/>
          <w:szCs w:val="21"/>
          <w:highlight w:val="none"/>
          <w:u w:val="none"/>
          <w:lang w:eastAsia="zh-CN"/>
        </w:rPr>
        <w:t>（安徽省滁州市西涧中路4306号）会议室</w:t>
      </w:r>
      <w:r>
        <w:rPr>
          <w:rFonts w:hint="eastAsia" w:ascii="宋体" w:hAnsi="宋体" w:eastAsia="宋体" w:cs="宋体"/>
          <w:color w:val="auto"/>
          <w:szCs w:val="21"/>
          <w:highlight w:val="none"/>
          <w:lang w:eastAsia="zh-CN"/>
        </w:rPr>
        <w:t xml:space="preserve"> </w:t>
      </w:r>
    </w:p>
    <w:p w14:paraId="43F94A47">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30" w:name="_Toc28451"/>
      <w:bookmarkStart w:id="31" w:name="_Toc58430309"/>
      <w:bookmarkStart w:id="32" w:name="_Toc35393625"/>
      <w:bookmarkStart w:id="33" w:name="_Toc28359007"/>
      <w:bookmarkStart w:id="34" w:name="_Toc28359084"/>
      <w:bookmarkStart w:id="35" w:name="_Toc35393794"/>
      <w:bookmarkStart w:id="36" w:name="_Toc22843"/>
      <w:r>
        <w:rPr>
          <w:rFonts w:hint="eastAsia" w:ascii="宋体" w:hAnsi="宋体" w:cs="宋体"/>
          <w:b/>
          <w:color w:val="auto"/>
          <w:szCs w:val="24"/>
          <w:highlight w:val="none"/>
        </w:rPr>
        <w:t>五、公告期限</w:t>
      </w:r>
      <w:bookmarkEnd w:id="30"/>
      <w:bookmarkEnd w:id="31"/>
      <w:bookmarkEnd w:id="32"/>
      <w:bookmarkEnd w:id="33"/>
      <w:bookmarkEnd w:id="34"/>
      <w:bookmarkEnd w:id="35"/>
      <w:bookmarkEnd w:id="36"/>
    </w:p>
    <w:p w14:paraId="70C7562D">
      <w:pPr>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2025年4月15日-2025年4月18日</w:t>
      </w:r>
      <w:r>
        <w:rPr>
          <w:rFonts w:hint="eastAsia" w:ascii="宋体" w:hAnsi="宋体" w:cs="宋体"/>
          <w:color w:val="auto"/>
          <w:kern w:val="0"/>
          <w:szCs w:val="21"/>
          <w:highlight w:val="none"/>
        </w:rPr>
        <w:t>。</w:t>
      </w:r>
    </w:p>
    <w:p w14:paraId="0EEFA36B">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37" w:name="_Toc3884"/>
      <w:bookmarkStart w:id="38" w:name="_Toc28706"/>
      <w:bookmarkStart w:id="39" w:name="_Toc58430310"/>
      <w:r>
        <w:rPr>
          <w:rFonts w:hint="eastAsia" w:ascii="宋体" w:hAnsi="宋体" w:cs="宋体"/>
          <w:b/>
          <w:color w:val="auto"/>
          <w:szCs w:val="24"/>
          <w:highlight w:val="none"/>
        </w:rPr>
        <w:t>六、投标保证金金额及缴纳账户</w:t>
      </w:r>
      <w:bookmarkEnd w:id="37"/>
      <w:bookmarkEnd w:id="38"/>
      <w:bookmarkEnd w:id="39"/>
    </w:p>
    <w:p w14:paraId="714ACBD0">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本项目不要求提交投标保证金。</w:t>
      </w:r>
    </w:p>
    <w:p w14:paraId="70EB5584">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40" w:name="_Toc58430311"/>
      <w:bookmarkStart w:id="41" w:name="_Toc35393795"/>
      <w:bookmarkStart w:id="42" w:name="_Toc35393626"/>
      <w:bookmarkStart w:id="43" w:name="_Toc7564"/>
      <w:bookmarkStart w:id="44" w:name="_Toc5123"/>
      <w:r>
        <w:rPr>
          <w:rFonts w:hint="eastAsia" w:ascii="宋体" w:hAnsi="宋体" w:cs="宋体"/>
          <w:b/>
          <w:color w:val="auto"/>
          <w:szCs w:val="24"/>
          <w:highlight w:val="none"/>
        </w:rPr>
        <w:t>七、</w:t>
      </w:r>
      <w:bookmarkEnd w:id="40"/>
      <w:bookmarkEnd w:id="41"/>
      <w:bookmarkEnd w:id="42"/>
      <w:bookmarkEnd w:id="43"/>
      <w:bookmarkStart w:id="45" w:name="_Toc8092"/>
      <w:bookmarkStart w:id="46" w:name="_Toc58430312"/>
      <w:r>
        <w:rPr>
          <w:rFonts w:hint="eastAsia" w:ascii="宋体" w:hAnsi="宋体" w:cs="宋体"/>
          <w:b/>
          <w:color w:val="auto"/>
          <w:szCs w:val="24"/>
          <w:highlight w:val="none"/>
        </w:rPr>
        <w:t>对本次招标提出询问，请按以下方式联系</w:t>
      </w:r>
      <w:bookmarkEnd w:id="44"/>
      <w:bookmarkEnd w:id="45"/>
      <w:bookmarkEnd w:id="46"/>
    </w:p>
    <w:p w14:paraId="7E712D9E">
      <w:pPr>
        <w:pStyle w:val="6"/>
        <w:numPr>
          <w:ilvl w:val="1"/>
          <w:numId w:val="0"/>
        </w:numPr>
        <w:adjustRightInd/>
        <w:spacing w:line="440" w:lineRule="exact"/>
        <w:ind w:left="-199" w:leftChars="-95" w:firstLine="422"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w:t>
      </w:r>
      <w:bookmarkStart w:id="47" w:name="_Toc24540"/>
      <w:bookmarkStart w:id="48" w:name="_Toc6257"/>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招标人</w:t>
      </w:r>
      <w:r>
        <w:rPr>
          <w:rFonts w:hint="eastAsia" w:ascii="宋体" w:hAnsi="宋体" w:cs="宋体"/>
          <w:color w:val="auto"/>
          <w:sz w:val="21"/>
          <w:szCs w:val="21"/>
          <w:highlight w:val="none"/>
        </w:rPr>
        <w:t>信息</w:t>
      </w:r>
      <w:bookmarkEnd w:id="47"/>
      <w:bookmarkEnd w:id="48"/>
    </w:p>
    <w:p w14:paraId="36B53818">
      <w:pPr>
        <w:spacing w:line="5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u w:val="single"/>
          <w:lang w:eastAsia="zh-CN"/>
        </w:rPr>
        <w:t>安徽省琅琊山旅游发展有限公司</w:t>
      </w:r>
    </w:p>
    <w:p w14:paraId="7FDC5320">
      <w:pPr>
        <w:spacing w:line="440" w:lineRule="exact"/>
        <w:ind w:left="-199" w:leftChars="-95" w:firstLine="630" w:firstLineChars="3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地    址：</w:t>
      </w:r>
      <w:r>
        <w:rPr>
          <w:rFonts w:hint="eastAsia" w:ascii="宋体" w:hAnsi="宋体" w:eastAsia="宋体" w:cs="宋体"/>
          <w:color w:val="auto"/>
          <w:szCs w:val="21"/>
          <w:highlight w:val="none"/>
          <w:u w:val="single"/>
          <w:lang w:eastAsia="zh-CN"/>
        </w:rPr>
        <w:t>滁州市西涧中路4306号</w:t>
      </w:r>
    </w:p>
    <w:p w14:paraId="6B21A4FB">
      <w:pPr>
        <w:spacing w:line="440" w:lineRule="exact"/>
        <w:ind w:left="-199" w:leftChars="-95"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u w:val="single"/>
          <w:lang w:val="en-US" w:eastAsia="zh-CN"/>
        </w:rPr>
        <w:t xml:space="preserve">18655028972 </w:t>
      </w:r>
    </w:p>
    <w:p w14:paraId="17962507">
      <w:pPr>
        <w:pStyle w:val="2"/>
        <w:rPr>
          <w:rFonts w:hint="eastAsia"/>
          <w:color w:val="auto"/>
          <w:highlight w:val="none"/>
        </w:rPr>
      </w:pPr>
      <w:bookmarkStart w:id="49" w:name="_Toc9935"/>
    </w:p>
    <w:p w14:paraId="1114C230">
      <w:pPr>
        <w:rPr>
          <w:rFonts w:hint="eastAsia"/>
          <w:color w:val="auto"/>
          <w:highlight w:val="none"/>
        </w:rPr>
      </w:pPr>
    </w:p>
    <w:p w14:paraId="5C40E7B4">
      <w:pPr>
        <w:pStyle w:val="2"/>
        <w:rPr>
          <w:rFonts w:hint="eastAsia"/>
          <w:color w:val="auto"/>
          <w:highlight w:val="none"/>
        </w:rPr>
      </w:pPr>
    </w:p>
    <w:p w14:paraId="2FEA48A2">
      <w:pPr>
        <w:rPr>
          <w:rFonts w:hint="eastAsia"/>
        </w:rPr>
      </w:pPr>
    </w:p>
    <w:p w14:paraId="7C233ED9">
      <w:pPr>
        <w:pStyle w:val="5"/>
        <w:bidi w:val="0"/>
        <w:rPr>
          <w:rFonts w:hint="eastAsia"/>
          <w:color w:val="auto"/>
          <w:highlight w:val="none"/>
        </w:rPr>
      </w:pPr>
    </w:p>
    <w:p w14:paraId="0B38003B">
      <w:pPr>
        <w:pStyle w:val="5"/>
        <w:bidi w:val="0"/>
        <w:rPr>
          <w:rFonts w:hint="eastAsia"/>
          <w:color w:val="auto"/>
          <w:highlight w:val="none"/>
        </w:rPr>
      </w:pPr>
    </w:p>
    <w:p w14:paraId="5B261EF0">
      <w:pPr>
        <w:rPr>
          <w:rFonts w:hint="eastAsia"/>
          <w:color w:val="auto"/>
          <w:highlight w:val="none"/>
        </w:rPr>
      </w:pPr>
    </w:p>
    <w:p w14:paraId="53D308AB">
      <w:pPr>
        <w:pStyle w:val="6"/>
        <w:rPr>
          <w:rFonts w:hint="eastAsia"/>
          <w:color w:val="auto"/>
          <w:highlight w:val="none"/>
        </w:rPr>
      </w:pPr>
    </w:p>
    <w:p w14:paraId="5738396B">
      <w:pPr>
        <w:rPr>
          <w:rFonts w:hint="eastAsia"/>
        </w:rPr>
      </w:pPr>
    </w:p>
    <w:p w14:paraId="70597A72">
      <w:pPr>
        <w:rPr>
          <w:rFonts w:hint="eastAsia"/>
          <w:color w:val="auto"/>
          <w:highlight w:val="none"/>
        </w:rPr>
      </w:pPr>
    </w:p>
    <w:p w14:paraId="68CAC1DF">
      <w:pPr>
        <w:pStyle w:val="5"/>
        <w:bidi w:val="0"/>
        <w:rPr>
          <w:rFonts w:hint="eastAsia"/>
          <w:color w:val="auto"/>
          <w:highlight w:val="none"/>
        </w:rPr>
      </w:pPr>
      <w:r>
        <w:rPr>
          <w:rFonts w:hint="eastAsia"/>
          <w:color w:val="auto"/>
          <w:highlight w:val="none"/>
        </w:rPr>
        <w:t>第</w:t>
      </w:r>
      <w:r>
        <w:rPr>
          <w:rFonts w:hint="eastAsia"/>
          <w:color w:val="auto"/>
          <w:highlight w:val="none"/>
          <w:lang w:val="en-US" w:eastAsia="zh-CN"/>
        </w:rPr>
        <w:t>二</w:t>
      </w:r>
      <w:r>
        <w:rPr>
          <w:rFonts w:hint="eastAsia"/>
          <w:color w:val="auto"/>
          <w:highlight w:val="none"/>
        </w:rPr>
        <w:t>章  投标须知</w:t>
      </w:r>
      <w:bookmarkEnd w:id="6"/>
      <w:bookmarkEnd w:id="49"/>
    </w:p>
    <w:tbl>
      <w:tblPr>
        <w:tblStyle w:val="51"/>
        <w:tblW w:w="9289" w:type="dxa"/>
        <w:tblInd w:w="-176" w:type="dxa"/>
        <w:tblLayout w:type="fixed"/>
        <w:tblCellMar>
          <w:top w:w="0" w:type="dxa"/>
          <w:left w:w="108" w:type="dxa"/>
          <w:bottom w:w="0" w:type="dxa"/>
          <w:right w:w="108" w:type="dxa"/>
        </w:tblCellMar>
      </w:tblPr>
      <w:tblGrid>
        <w:gridCol w:w="925"/>
        <w:gridCol w:w="777"/>
        <w:gridCol w:w="1440"/>
        <w:gridCol w:w="6147"/>
      </w:tblGrid>
      <w:tr w14:paraId="1937AB81">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7277D443">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BB3322C">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  款  名  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D1D51E4">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  列  内  容</w:t>
            </w:r>
          </w:p>
        </w:tc>
      </w:tr>
      <w:tr w14:paraId="5FA44389">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0308596">
            <w:pPr>
              <w:spacing w:line="440" w:lineRule="exact"/>
              <w:ind w:left="-718" w:leftChars="-342" w:firstLine="718" w:firstLineChars="3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C64610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招标单位</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6524C38">
            <w:pPr>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招标单位：</w:t>
            </w:r>
            <w:r>
              <w:rPr>
                <w:rFonts w:hint="eastAsia" w:ascii="宋体" w:hAnsi="宋体" w:cs="宋体"/>
                <w:color w:val="auto"/>
                <w:szCs w:val="21"/>
                <w:highlight w:val="none"/>
                <w:lang w:val="en-US" w:eastAsia="zh-CN"/>
              </w:rPr>
              <w:t>安徽省琅琊山商贸发展有限公司</w:t>
            </w:r>
            <w:r>
              <w:rPr>
                <w:rFonts w:hint="eastAsia" w:ascii="宋体" w:hAnsi="宋体" w:eastAsia="宋体" w:cs="宋体"/>
                <w:color w:val="auto"/>
                <w:kern w:val="0"/>
                <w:szCs w:val="21"/>
                <w:highlight w:val="none"/>
                <w:lang w:val="en-US" w:eastAsia="zh-CN"/>
              </w:rPr>
              <w:t xml:space="preserve"> </w:t>
            </w:r>
          </w:p>
          <w:p w14:paraId="0D4D1811">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kern w:val="0"/>
                <w:szCs w:val="21"/>
                <w:highlight w:val="none"/>
                <w:lang w:eastAsia="zh-CN"/>
              </w:rPr>
              <w:t>滁州市西涧中路4306号</w:t>
            </w:r>
          </w:p>
        </w:tc>
      </w:tr>
      <w:tr w14:paraId="37B004AC">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2B174D1E">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74A7FE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9C4378C">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安徽省琅琊山商贸发展有限公司出口商店入口处增设玻璃门项目</w:t>
            </w:r>
          </w:p>
        </w:tc>
      </w:tr>
      <w:tr w14:paraId="1DC38987">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7BF5C629">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418402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建设地点</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A79DAA1">
            <w:pPr>
              <w:spacing w:line="44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滁州市</w:t>
            </w:r>
          </w:p>
        </w:tc>
      </w:tr>
      <w:tr w14:paraId="394161E2">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4BD903B5">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5EAF4F">
            <w:pPr>
              <w:widowControl/>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规模</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3C73CE">
            <w:pPr>
              <w:widowControl/>
              <w:spacing w:line="440" w:lineRule="exact"/>
              <w:rPr>
                <w:rFonts w:hint="eastAsia" w:ascii="宋体" w:hAnsi="宋体" w:eastAsia="宋体" w:cs="宋体"/>
                <w:color w:val="auto"/>
                <w:highlight w:val="none"/>
              </w:rPr>
            </w:pPr>
            <w:r>
              <w:rPr>
                <w:rFonts w:hint="eastAsia" w:ascii="宋体" w:hAnsi="宋体" w:cs="宋体"/>
                <w:color w:val="auto"/>
                <w:kern w:val="0"/>
                <w:szCs w:val="21"/>
                <w:highlight w:val="none"/>
                <w:lang w:val="en-US" w:eastAsia="zh-CN"/>
              </w:rPr>
              <w:t>18000元</w:t>
            </w:r>
          </w:p>
        </w:tc>
      </w:tr>
      <w:tr w14:paraId="10C0351D">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19F5C826">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E5FA07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资金来源及比例</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FBA8FD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自筹</w:t>
            </w:r>
            <w:r>
              <w:rPr>
                <w:rFonts w:hint="eastAsia" w:ascii="宋体" w:hAnsi="宋体" w:eastAsia="宋体" w:cs="宋体"/>
                <w:color w:val="auto"/>
                <w:szCs w:val="21"/>
                <w:highlight w:val="none"/>
              </w:rPr>
              <w:t>资金，100%</w:t>
            </w:r>
          </w:p>
        </w:tc>
      </w:tr>
      <w:tr w14:paraId="4AB6A267">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B37862E">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0ABB15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招标范围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91A53CA">
            <w:pPr>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安徽省琅琊山商贸发展有限公司出口商店入口处增设玻璃门项目</w:t>
            </w:r>
          </w:p>
        </w:tc>
      </w:tr>
      <w:tr w14:paraId="7AAD802B">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34729C88">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822A15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标段划分</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C62C665">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一个标段</w:t>
            </w:r>
          </w:p>
        </w:tc>
      </w:tr>
      <w:tr w14:paraId="578DB604">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344F8DDD">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8</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AFF417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评标办法</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0867543">
            <w:pPr>
              <w:spacing w:line="440" w:lineRule="exact"/>
              <w:rPr>
                <w:rFonts w:hint="default" w:ascii="宋体" w:hAnsi="宋体" w:eastAsia="宋体" w:cs="宋体"/>
                <w:b/>
                <w:color w:val="auto"/>
                <w:szCs w:val="21"/>
                <w:highlight w:val="none"/>
                <w:lang w:val="en-US" w:eastAsia="zh-CN"/>
              </w:rPr>
            </w:pPr>
            <w:r>
              <w:rPr>
                <w:rFonts w:hint="eastAsia" w:ascii="宋体" w:hAnsi="宋体" w:eastAsia="宋体" w:cs="宋体"/>
                <w:b/>
                <w:bCs/>
                <w:color w:val="auto"/>
                <w:szCs w:val="21"/>
                <w:highlight w:val="none"/>
                <w:lang w:val="en-US" w:eastAsia="zh-CN"/>
              </w:rPr>
              <w:t>最低评标价法</w:t>
            </w:r>
          </w:p>
        </w:tc>
      </w:tr>
      <w:tr w14:paraId="5067F772">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7F3ECBA">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9</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5E3B61">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rPr>
              <w:t>工期</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857E19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自合同签订之日起</w:t>
            </w:r>
            <w:r>
              <w:rPr>
                <w:rFonts w:hint="eastAsia" w:ascii="宋体" w:hAnsi="宋体" w:cs="宋体"/>
                <w:color w:val="auto"/>
                <w:szCs w:val="21"/>
                <w:highlight w:val="none"/>
                <w:lang w:val="en-US" w:eastAsia="zh-CN"/>
              </w:rPr>
              <w:t>10个日历天</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及验收完成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投标人自报的承诺工期为考核标准，每推迟一天，按1000 元/天处以违约金。</w:t>
            </w:r>
          </w:p>
        </w:tc>
      </w:tr>
      <w:tr w14:paraId="360A02CB">
        <w:tblPrEx>
          <w:tblCellMar>
            <w:top w:w="0" w:type="dxa"/>
            <w:left w:w="108" w:type="dxa"/>
            <w:bottom w:w="0" w:type="dxa"/>
            <w:right w:w="108" w:type="dxa"/>
          </w:tblCellMar>
        </w:tblPrEx>
        <w:tc>
          <w:tcPr>
            <w:tcW w:w="925" w:type="dxa"/>
            <w:vMerge w:val="restart"/>
            <w:tcBorders>
              <w:top w:val="single" w:color="auto" w:sz="4" w:space="0"/>
              <w:left w:val="single" w:color="auto" w:sz="4" w:space="0"/>
              <w:right w:val="single" w:color="auto" w:sz="4" w:space="0"/>
            </w:tcBorders>
            <w:noWrap w:val="0"/>
            <w:vAlign w:val="center"/>
          </w:tcPr>
          <w:p w14:paraId="28EFA17B">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574366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投标人资质条件、能力</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1703810">
            <w:pPr>
              <w:pStyle w:val="92"/>
              <w:ind w:left="0" w:leftChars="0" w:firstLine="0" w:firstLineChars="0"/>
              <w:rPr>
                <w:rFonts w:hint="default"/>
                <w:color w:val="auto"/>
                <w:highlight w:val="none"/>
                <w:lang w:val="en-US" w:eastAsia="zh-CN"/>
              </w:rPr>
            </w:pPr>
            <w:r>
              <w:rPr>
                <w:rFonts w:hint="eastAsia" w:ascii="宋体" w:hAnsi="宋体" w:eastAsia="宋体" w:cs="宋体"/>
                <w:color w:val="auto"/>
                <w:kern w:val="2"/>
                <w:sz w:val="21"/>
                <w:szCs w:val="21"/>
                <w:highlight w:val="none"/>
                <w:lang w:val="en-US" w:eastAsia="zh-CN" w:bidi="ar-SA"/>
              </w:rPr>
              <w:t>见招标公告</w:t>
            </w:r>
          </w:p>
        </w:tc>
      </w:tr>
      <w:tr w14:paraId="749C65BC">
        <w:tblPrEx>
          <w:tblCellMar>
            <w:top w:w="0" w:type="dxa"/>
            <w:left w:w="108" w:type="dxa"/>
            <w:bottom w:w="0" w:type="dxa"/>
            <w:right w:w="108" w:type="dxa"/>
          </w:tblCellMar>
        </w:tblPrEx>
        <w:tc>
          <w:tcPr>
            <w:tcW w:w="925" w:type="dxa"/>
            <w:vMerge w:val="continue"/>
            <w:tcBorders>
              <w:left w:val="single" w:color="auto" w:sz="4" w:space="0"/>
              <w:bottom w:val="single" w:color="auto" w:sz="4" w:space="0"/>
              <w:right w:val="single" w:color="auto" w:sz="4" w:space="0"/>
            </w:tcBorders>
            <w:noWrap w:val="0"/>
            <w:vAlign w:val="center"/>
          </w:tcPr>
          <w:p w14:paraId="23583BD7">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ABEE8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领取文件方式及时间：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8DDCC0B">
            <w:pPr>
              <w:spacing w:line="440" w:lineRule="exact"/>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eastAsia="zh-CN"/>
              </w:rPr>
              <w:t>招标文件</w:t>
            </w:r>
            <w:r>
              <w:rPr>
                <w:rFonts w:hint="eastAsia" w:ascii="宋体" w:hAnsi="宋体" w:eastAsia="宋体" w:cs="宋体"/>
                <w:color w:val="auto"/>
                <w:kern w:val="0"/>
                <w:szCs w:val="21"/>
                <w:highlight w:val="none"/>
              </w:rPr>
              <w:t>获取方式：</w:t>
            </w:r>
            <w:r>
              <w:rPr>
                <w:rFonts w:hint="eastAsia" w:ascii="宋体" w:hAnsi="宋体" w:cs="宋体"/>
                <w:color w:val="auto"/>
                <w:szCs w:val="21"/>
                <w:highlight w:val="none"/>
                <w:lang w:val="en-US" w:eastAsia="zh-CN"/>
              </w:rPr>
              <w:t>网上下载</w:t>
            </w:r>
          </w:p>
        </w:tc>
      </w:tr>
      <w:tr w14:paraId="12E6B274">
        <w:tblPrEx>
          <w:tblCellMar>
            <w:top w:w="0" w:type="dxa"/>
            <w:left w:w="108" w:type="dxa"/>
            <w:bottom w:w="0" w:type="dxa"/>
            <w:right w:w="108" w:type="dxa"/>
          </w:tblCellMar>
        </w:tblPrEx>
        <w:trPr>
          <w:trHeight w:val="90"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C56AEA5">
            <w:pPr>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5987E3A7">
            <w:pPr>
              <w:spacing w:line="440" w:lineRule="exact"/>
              <w:jc w:val="center"/>
              <w:rPr>
                <w:rFonts w:hint="eastAsia" w:ascii="宋体" w:hAnsi="宋体" w:eastAsia="宋体" w:cs="宋体"/>
                <w:color w:val="auto"/>
                <w:spacing w:val="-4"/>
                <w:kern w:val="0"/>
                <w:szCs w:val="21"/>
                <w:highlight w:val="none"/>
              </w:rPr>
            </w:pPr>
            <w:r>
              <w:rPr>
                <w:rFonts w:hint="eastAsia" w:ascii="宋体" w:hAnsi="宋体" w:eastAsia="宋体" w:cs="宋体"/>
                <w:color w:val="auto"/>
                <w:spacing w:val="-4"/>
                <w:kern w:val="0"/>
                <w:szCs w:val="21"/>
                <w:highlight w:val="none"/>
              </w:rPr>
              <w:t>踏勘现场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7908BBF">
            <w:pPr>
              <w:pStyle w:val="18"/>
              <w:topLinePunct/>
              <w:spacing w:line="440" w:lineRule="exact"/>
              <w:rPr>
                <w:rFonts w:hint="default" w:ascii="宋体" w:hAnsi="宋体" w:eastAsia="宋体" w:cs="宋体"/>
                <w:color w:val="auto"/>
                <w:spacing w:val="-4"/>
                <w:kern w:val="0"/>
                <w:sz w:val="21"/>
                <w:szCs w:val="21"/>
                <w:highlight w:val="none"/>
                <w:lang w:val="en-US" w:eastAsia="zh-CN"/>
              </w:rPr>
            </w:pPr>
            <w:bookmarkStart w:id="50" w:name="OLE_LINK17"/>
            <w:r>
              <w:rPr>
                <w:rFonts w:hint="eastAsia" w:ascii="宋体" w:hAnsi="宋体" w:eastAsia="宋体" w:cs="宋体"/>
                <w:b/>
                <w:bCs/>
                <w:color w:val="auto"/>
                <w:sz w:val="21"/>
                <w:szCs w:val="21"/>
                <w:highlight w:val="none"/>
                <w:lang w:val="en-US" w:eastAsia="zh-CN"/>
              </w:rPr>
              <w:t>本项目于202</w:t>
            </w: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年4月1</w:t>
            </w:r>
            <w:r>
              <w:rPr>
                <w:rFonts w:hint="eastAsia"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日</w:t>
            </w:r>
            <w:r>
              <w:rPr>
                <w:rFonts w:hint="eastAsia"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en-US" w:eastAsia="zh-CN"/>
              </w:rPr>
              <w:t>：00集中组织现场勘察会（联系人：杨杰18009608987），请意向投标单位按时前往琅琊山北大门（老山门）出口商店参加（无原始图纸，自行携带测量工具）。</w:t>
            </w:r>
            <w:bookmarkEnd w:id="50"/>
          </w:p>
        </w:tc>
      </w:tr>
      <w:tr w14:paraId="27601838">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AB4C6B8">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5BF4FF06">
            <w:pPr>
              <w:spacing w:line="440" w:lineRule="exact"/>
              <w:jc w:val="center"/>
              <w:rPr>
                <w:rFonts w:hint="eastAsia" w:ascii="宋体" w:hAnsi="宋体" w:eastAsia="宋体" w:cs="宋体"/>
                <w:color w:val="auto"/>
                <w:spacing w:val="-4"/>
                <w:kern w:val="0"/>
                <w:szCs w:val="21"/>
                <w:highlight w:val="none"/>
              </w:rPr>
            </w:pPr>
            <w:r>
              <w:rPr>
                <w:rFonts w:hint="eastAsia" w:ascii="宋体" w:hAnsi="宋体" w:eastAsia="宋体" w:cs="宋体"/>
                <w:color w:val="auto"/>
                <w:spacing w:val="-4"/>
                <w:kern w:val="0"/>
                <w:szCs w:val="21"/>
                <w:highlight w:val="none"/>
              </w:rPr>
              <w:t>投标预备会</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308D47C">
            <w:pPr>
              <w:pStyle w:val="18"/>
              <w:topLinePunct/>
              <w:spacing w:line="440" w:lineRule="exact"/>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不召开</w:t>
            </w:r>
          </w:p>
        </w:tc>
      </w:tr>
      <w:tr w14:paraId="5A88C0ED">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3029AEC">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B91E0C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投标人提出问题的截止时间及方式</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30CDD3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答疑及澄清:如投标人对</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有疑问，请于</w:t>
            </w:r>
            <w:r>
              <w:rPr>
                <w:rFonts w:hint="eastAsia" w:ascii="宋体" w:hAnsi="宋体" w:eastAsia="宋体" w:cs="宋体"/>
                <w:color w:val="auto"/>
                <w:szCs w:val="21"/>
                <w:highlight w:val="none"/>
                <w:lang w:val="en-US" w:eastAsia="zh-CN"/>
              </w:rPr>
              <w:t xml:space="preserve">2025年  </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u w:val="none"/>
              </w:rPr>
              <w:fldChar w:fldCharType="begin"/>
            </w:r>
            <w:r>
              <w:rPr>
                <w:rFonts w:hint="eastAsia" w:ascii="宋体" w:hAnsi="宋体" w:eastAsia="宋体" w:cs="宋体"/>
                <w:color w:val="auto"/>
                <w:szCs w:val="21"/>
                <w:highlight w:val="none"/>
                <w:u w:val="none"/>
              </w:rPr>
              <w:instrText xml:space="preserve"> HYPERLINK "mailto:日11时前将疑问内容以电子邮件形式发送至czsctgczx@163.com（滁州市城投工程咨询管理有限公司邮箱），招标人将在2022年" </w:instrText>
            </w:r>
            <w:r>
              <w:rPr>
                <w:rFonts w:hint="eastAsia" w:ascii="宋体" w:hAnsi="宋体" w:eastAsia="宋体" w:cs="宋体"/>
                <w:color w:val="auto"/>
                <w:szCs w:val="21"/>
                <w:highlight w:val="none"/>
                <w:u w:val="none"/>
              </w:rPr>
              <w:fldChar w:fldCharType="separate"/>
            </w:r>
            <w:r>
              <w:rPr>
                <w:rStyle w:val="62"/>
                <w:rFonts w:hint="eastAsia" w:ascii="宋体" w:hAnsi="宋体" w:eastAsia="宋体" w:cs="宋体"/>
                <w:color w:val="auto"/>
                <w:szCs w:val="21"/>
                <w:highlight w:val="none"/>
              </w:rPr>
              <w:t>日</w:t>
            </w:r>
            <w:r>
              <w:rPr>
                <w:rStyle w:val="62"/>
                <w:rFonts w:hint="eastAsia" w:ascii="宋体" w:hAnsi="宋体" w:cs="宋体"/>
                <w:color w:val="auto"/>
                <w:szCs w:val="21"/>
                <w:highlight w:val="none"/>
                <w:lang w:val="en-US" w:eastAsia="zh-CN"/>
              </w:rPr>
              <w:t>15</w:t>
            </w:r>
            <w:r>
              <w:rPr>
                <w:rStyle w:val="62"/>
                <w:rFonts w:hint="eastAsia" w:ascii="宋体" w:hAnsi="宋体" w:eastAsia="宋体" w:cs="宋体"/>
                <w:color w:val="auto"/>
                <w:szCs w:val="21"/>
                <w:highlight w:val="none"/>
              </w:rPr>
              <w:t>时前将疑问内容以电子邮件形式发送至</w:t>
            </w:r>
            <w:r>
              <w:rPr>
                <w:rStyle w:val="62"/>
                <w:rFonts w:hint="eastAsia" w:ascii="宋体" w:hAnsi="宋体" w:eastAsia="宋体" w:cs="宋体"/>
                <w:color w:val="auto"/>
                <w:szCs w:val="21"/>
                <w:highlight w:val="none"/>
                <w:lang w:val="en-US" w:eastAsia="zh-CN"/>
              </w:rPr>
              <w:t>357931123@qq.com</w:t>
            </w:r>
            <w:r>
              <w:rPr>
                <w:rStyle w:val="62"/>
                <w:rFonts w:hint="eastAsia" w:ascii="宋体" w:hAnsi="宋体" w:eastAsia="宋体" w:cs="宋体"/>
                <w:color w:val="auto"/>
                <w:szCs w:val="21"/>
                <w:highlight w:val="none"/>
              </w:rPr>
              <w:t>，招标人将在</w:t>
            </w:r>
            <w:r>
              <w:rPr>
                <w:rStyle w:val="62"/>
                <w:rFonts w:hint="eastAsia" w:ascii="宋体" w:hAnsi="宋体" w:eastAsia="宋体" w:cs="宋体"/>
                <w:color w:val="auto"/>
                <w:szCs w:val="21"/>
                <w:highlight w:val="none"/>
                <w:lang w:eastAsia="zh-CN"/>
              </w:rPr>
              <w:t>202</w:t>
            </w:r>
            <w:r>
              <w:rPr>
                <w:rStyle w:val="62"/>
                <w:rFonts w:hint="eastAsia" w:ascii="宋体" w:hAnsi="宋体" w:eastAsia="宋体" w:cs="宋体"/>
                <w:color w:val="auto"/>
                <w:szCs w:val="21"/>
                <w:highlight w:val="none"/>
                <w:lang w:val="en-US" w:eastAsia="zh-CN"/>
              </w:rPr>
              <w:t>5</w:t>
            </w:r>
            <w:r>
              <w:rPr>
                <w:rStyle w:val="62"/>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u w:val="none"/>
              </w:rPr>
              <w:fldChar w:fldCharType="end"/>
            </w:r>
            <w:r>
              <w:rPr>
                <w:rFonts w:hint="eastAsia" w:ascii="宋体" w:hAnsi="宋体" w:cs="宋体"/>
                <w:color w:val="auto"/>
                <w:szCs w:val="21"/>
                <w:highlight w:val="none"/>
                <w:u w:val="none"/>
                <w:lang w:val="en-US" w:eastAsia="zh-CN"/>
              </w:rPr>
              <w:t>4</w:t>
            </w:r>
            <w:r>
              <w:rPr>
                <w:rFonts w:hint="eastAsia" w:ascii="宋体" w:hAnsi="宋体" w:eastAsia="宋体" w:cs="宋体"/>
                <w:color w:val="auto"/>
                <w:szCs w:val="21"/>
                <w:highlight w:val="none"/>
                <w:u w:val="none"/>
              </w:rPr>
              <w:t>月</w:t>
            </w: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日</w:t>
            </w: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后</w:t>
            </w:r>
            <w:r>
              <w:rPr>
                <w:rFonts w:hint="eastAsia" w:ascii="宋体" w:hAnsi="宋体" w:eastAsia="宋体" w:cs="宋体"/>
                <w:color w:val="auto"/>
                <w:szCs w:val="21"/>
                <w:highlight w:val="none"/>
              </w:rPr>
              <w:t>以澄清公告形式在</w:t>
            </w:r>
            <w:r>
              <w:rPr>
                <w:rFonts w:hint="eastAsia" w:ascii="宋体" w:hAnsi="宋体" w:eastAsia="宋体" w:cs="宋体"/>
                <w:color w:val="auto"/>
                <w:szCs w:val="21"/>
                <w:highlight w:val="none"/>
                <w:lang w:eastAsia="zh-CN"/>
              </w:rPr>
              <w:t>安徽省琅琊山旅游发展有限公司通知公告栏（https://www.lysfjq.cn/）</w:t>
            </w:r>
            <w:r>
              <w:rPr>
                <w:rFonts w:hint="eastAsia" w:ascii="宋体" w:hAnsi="宋体" w:eastAsia="宋体" w:cs="宋体"/>
                <w:color w:val="auto"/>
                <w:szCs w:val="21"/>
                <w:highlight w:val="none"/>
              </w:rPr>
              <w:t>网站公告，请各位投标人注意查看有关澄清内容，如不及时查看造成后果由投标人自负。</w:t>
            </w:r>
          </w:p>
        </w:tc>
      </w:tr>
      <w:tr w14:paraId="0EF71F01">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66EE44A0">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FAB775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52C62B2F">
            <w:pPr>
              <w:pStyle w:val="18"/>
              <w:topLinePunct/>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180839B8">
        <w:tblPrEx>
          <w:tblCellMar>
            <w:top w:w="0" w:type="dxa"/>
            <w:left w:w="108" w:type="dxa"/>
            <w:bottom w:w="0" w:type="dxa"/>
            <w:right w:w="108" w:type="dxa"/>
          </w:tblCellMar>
        </w:tblPrEx>
        <w:trPr>
          <w:trHeight w:val="1023"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5EE987F">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468749A">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最高投标限价</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75E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hAnsi="宋体" w:cs="宋体"/>
                <w:b/>
                <w:bCs/>
                <w:color w:val="auto"/>
                <w:szCs w:val="21"/>
                <w:highlight w:val="none"/>
              </w:rPr>
              <w:t>投标</w:t>
            </w:r>
            <w:r>
              <w:rPr>
                <w:rFonts w:hint="eastAsia" w:hAnsi="宋体" w:cs="宋体"/>
                <w:b/>
                <w:bCs/>
                <w:color w:val="auto"/>
                <w:szCs w:val="21"/>
                <w:highlight w:val="none"/>
                <w:lang w:val="en-US" w:eastAsia="zh-CN"/>
              </w:rPr>
              <w:t>总</w:t>
            </w:r>
            <w:r>
              <w:rPr>
                <w:rFonts w:hint="eastAsia" w:hAnsi="宋体" w:cs="宋体"/>
                <w:b/>
                <w:bCs/>
                <w:color w:val="auto"/>
                <w:szCs w:val="21"/>
                <w:highlight w:val="none"/>
              </w:rPr>
              <w:t>报价最高限价</w:t>
            </w:r>
            <w:r>
              <w:rPr>
                <w:rFonts w:hint="eastAsia" w:hAnsi="宋体" w:cs="宋体"/>
                <w:b/>
                <w:bCs/>
                <w:color w:val="auto"/>
                <w:szCs w:val="21"/>
                <w:highlight w:val="none"/>
                <w:lang w:val="en-US" w:eastAsia="zh-CN"/>
              </w:rPr>
              <w:t>18000元</w:t>
            </w:r>
            <w:r>
              <w:rPr>
                <w:rFonts w:hint="eastAsia" w:ascii="Times New Roman" w:hAnsi="宋体" w:eastAsia="宋体" w:cs="宋体"/>
                <w:b/>
                <w:bCs/>
                <w:color w:val="auto"/>
                <w:szCs w:val="21"/>
                <w:highlight w:val="none"/>
              </w:rPr>
              <w:t>人民币</w:t>
            </w:r>
            <w:r>
              <w:rPr>
                <w:rFonts w:hint="eastAsia" w:hAnsi="宋体" w:cs="宋体"/>
                <w:b/>
                <w:bCs/>
                <w:color w:val="auto"/>
                <w:szCs w:val="21"/>
                <w:highlight w:val="none"/>
              </w:rPr>
              <w:t>，</w:t>
            </w:r>
            <w:r>
              <w:rPr>
                <w:rFonts w:hint="eastAsia" w:ascii="宋体" w:hAnsi="宋体" w:eastAsia="宋体" w:cs="宋体"/>
                <w:b/>
                <w:bCs/>
                <w:color w:val="auto"/>
                <w:kern w:val="2"/>
                <w:sz w:val="21"/>
                <w:szCs w:val="21"/>
                <w:highlight w:val="none"/>
                <w:u w:val="none" w:color="auto"/>
                <w:lang w:val="en-US" w:eastAsia="zh-CN" w:bidi="ar-SA"/>
              </w:rPr>
              <w:t>投标人的投标总价不得高于本次招标最高限价，否则，其投标文件按无效标处理。</w:t>
            </w:r>
          </w:p>
        </w:tc>
      </w:tr>
      <w:tr w14:paraId="14F2BDCF">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1B1A328D">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19</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3CC50B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4E00A87">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投标有效期为</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rPr>
              <w:t>日历天（从投标截止之日算起）。在此期限内，凡符合本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要求的投标文件均保持有效。</w:t>
            </w:r>
          </w:p>
        </w:tc>
      </w:tr>
      <w:tr w14:paraId="2ABE00FE">
        <w:tblPrEx>
          <w:tblCellMar>
            <w:top w:w="0" w:type="dxa"/>
            <w:left w:w="108" w:type="dxa"/>
            <w:bottom w:w="0" w:type="dxa"/>
            <w:right w:w="108" w:type="dxa"/>
          </w:tblCellMar>
        </w:tblPrEx>
        <w:trPr>
          <w:trHeight w:val="90"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33D71D49">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95C238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BB9E601">
            <w:pPr>
              <w:pStyle w:val="46"/>
              <w:snapToGrid w:val="0"/>
              <w:spacing w:line="440" w:lineRule="exact"/>
              <w:jc w:val="both"/>
              <w:rPr>
                <w:rFonts w:hint="default" w:ascii="宋体" w:hAnsi="宋体" w:eastAsia="宋体" w:cs="宋体"/>
                <w:color w:val="auto"/>
                <w:highlight w:val="none"/>
                <w:lang w:val="en-US" w:eastAsia="zh-CN"/>
              </w:rPr>
            </w:pPr>
            <w:r>
              <w:rPr>
                <w:rFonts w:hint="eastAsia" w:eastAsia="宋体" w:cs="宋体"/>
                <w:color w:val="auto"/>
                <w:sz w:val="21"/>
                <w:szCs w:val="21"/>
                <w:highlight w:val="none"/>
                <w:lang w:val="en-US" w:eastAsia="zh-CN"/>
              </w:rPr>
              <w:t>本项目不需要缴纳投保保证金。</w:t>
            </w:r>
          </w:p>
        </w:tc>
      </w:tr>
      <w:tr w14:paraId="59FC0B05">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4F05BA71">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13172C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签字或盖章要求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4C687A8">
            <w:pPr>
              <w:spacing w:line="4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投标文件须按格式文件要求签字或盖章</w:t>
            </w:r>
            <w:r>
              <w:rPr>
                <w:rFonts w:hint="eastAsia" w:ascii="宋体" w:hAnsi="宋体" w:eastAsia="宋体" w:cs="宋体"/>
                <w:color w:val="auto"/>
                <w:szCs w:val="21"/>
                <w:highlight w:val="none"/>
                <w:lang w:eastAsia="zh-CN"/>
              </w:rPr>
              <w:t>。</w:t>
            </w:r>
          </w:p>
        </w:tc>
      </w:tr>
      <w:tr w14:paraId="3DE19DC8">
        <w:tblPrEx>
          <w:tblCellMar>
            <w:top w:w="0" w:type="dxa"/>
            <w:left w:w="108" w:type="dxa"/>
            <w:bottom w:w="0" w:type="dxa"/>
            <w:right w:w="108" w:type="dxa"/>
          </w:tblCellMar>
        </w:tblPrEx>
        <w:trPr>
          <w:trHeight w:val="572"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00AD20CF">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EF1628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46CB372A">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正本一份，副本</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份。密封后递交。</w:t>
            </w:r>
          </w:p>
        </w:tc>
      </w:tr>
      <w:tr w14:paraId="493F187E">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60266262">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C65924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装订要求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AE8C4EB">
            <w:pPr>
              <w:spacing w:line="440" w:lineRule="exact"/>
              <w:rPr>
                <w:rFonts w:hint="eastAsia" w:ascii="宋体" w:hAnsi="宋体" w:eastAsia="宋体" w:cs="宋体"/>
                <w:color w:val="auto"/>
                <w:szCs w:val="21"/>
                <w:highlight w:val="none"/>
              </w:rPr>
            </w:pPr>
            <w:r>
              <w:rPr>
                <w:rFonts w:hint="eastAsia"/>
                <w:color w:val="auto"/>
                <w:szCs w:val="21"/>
                <w:highlight w:val="none"/>
              </w:rPr>
              <w:t>资信证明文件、商务标文件</w:t>
            </w:r>
            <w:r>
              <w:rPr>
                <w:rFonts w:hint="eastAsia"/>
                <w:color w:val="auto"/>
                <w:szCs w:val="21"/>
                <w:highlight w:val="none"/>
                <w:lang w:val="en-US" w:eastAsia="zh-CN"/>
              </w:rPr>
              <w:t>装入一个</w:t>
            </w:r>
            <w:r>
              <w:rPr>
                <w:rFonts w:hint="eastAsia"/>
                <w:color w:val="auto"/>
                <w:szCs w:val="21"/>
                <w:highlight w:val="none"/>
              </w:rPr>
              <w:t>密封袋中。</w:t>
            </w:r>
          </w:p>
        </w:tc>
      </w:tr>
      <w:tr w14:paraId="1F638D20">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7C6D098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0A3516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投标文件封套上应载明的信息</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143BE5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投标人地址：</w:t>
            </w:r>
          </w:p>
          <w:p w14:paraId="2A356A8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p>
          <w:p w14:paraId="7D1FD823">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（项目名称）投标文件</w:t>
            </w:r>
          </w:p>
          <w:p w14:paraId="4C951406">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color w:val="auto"/>
                <w:szCs w:val="21"/>
                <w:highlight w:val="none"/>
              </w:rPr>
              <w:t>前不得开启</w:t>
            </w:r>
          </w:p>
        </w:tc>
      </w:tr>
      <w:tr w14:paraId="64EBB6D1">
        <w:tblPrEx>
          <w:tblCellMar>
            <w:top w:w="0" w:type="dxa"/>
            <w:left w:w="108" w:type="dxa"/>
            <w:bottom w:w="0" w:type="dxa"/>
            <w:right w:w="108" w:type="dxa"/>
          </w:tblCellMar>
        </w:tblPrEx>
        <w:trPr>
          <w:trHeight w:val="569" w:hRule="atLeast"/>
        </w:trPr>
        <w:tc>
          <w:tcPr>
            <w:tcW w:w="925" w:type="dxa"/>
            <w:vMerge w:val="restart"/>
            <w:tcBorders>
              <w:left w:val="single" w:color="auto" w:sz="4" w:space="0"/>
              <w:right w:val="single" w:color="auto" w:sz="4" w:space="0"/>
            </w:tcBorders>
            <w:noWrap w:val="0"/>
            <w:vAlign w:val="center"/>
          </w:tcPr>
          <w:p w14:paraId="2B9E7C3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600EA4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4C10454">
            <w:pPr>
              <w:spacing w:line="440" w:lineRule="exact"/>
              <w:ind w:firstLine="18" w:firstLineChars="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b w:val="0"/>
                <w:bCs/>
                <w:color w:val="auto"/>
                <w:spacing w:val="-4"/>
                <w:kern w:val="0"/>
                <w:szCs w:val="21"/>
                <w:highlight w:val="none"/>
              </w:rPr>
              <w:t>（北京时间）</w:t>
            </w:r>
          </w:p>
        </w:tc>
      </w:tr>
      <w:tr w14:paraId="060D5C9C">
        <w:tblPrEx>
          <w:tblCellMar>
            <w:top w:w="0" w:type="dxa"/>
            <w:left w:w="108" w:type="dxa"/>
            <w:bottom w:w="0" w:type="dxa"/>
            <w:right w:w="108" w:type="dxa"/>
          </w:tblCellMar>
        </w:tblPrEx>
        <w:trPr>
          <w:trHeight w:val="930" w:hRule="atLeast"/>
        </w:trPr>
        <w:tc>
          <w:tcPr>
            <w:tcW w:w="925" w:type="dxa"/>
            <w:vMerge w:val="continue"/>
            <w:tcBorders>
              <w:left w:val="single" w:color="auto" w:sz="4" w:space="0"/>
              <w:right w:val="single" w:color="auto" w:sz="4" w:space="0"/>
            </w:tcBorders>
            <w:noWrap w:val="0"/>
            <w:vAlign w:val="center"/>
          </w:tcPr>
          <w:p w14:paraId="72B369F1">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723B4D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递交投标文件地点</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C7DF163">
            <w:pPr>
              <w:spacing w:line="440" w:lineRule="exact"/>
              <w:rPr>
                <w:rFonts w:hint="eastAsia" w:ascii="宋体" w:hAnsi="宋体" w:eastAsia="宋体" w:cs="宋体"/>
                <w:color w:val="auto"/>
                <w:sz w:val="24"/>
                <w:highlight w:val="none"/>
                <w:lang w:eastAsia="zh-CN"/>
              </w:rPr>
            </w:pPr>
            <w:r>
              <w:rPr>
                <w:rFonts w:hint="eastAsia" w:ascii="宋体" w:hAnsi="宋体" w:eastAsia="宋体" w:cs="宋体"/>
                <w:color w:val="auto"/>
                <w:szCs w:val="21"/>
                <w:highlight w:val="none"/>
              </w:rPr>
              <w:t>收件人：</w:t>
            </w:r>
            <w:r>
              <w:rPr>
                <w:rFonts w:hint="eastAsia" w:ascii="宋体" w:hAnsi="宋体" w:eastAsia="宋体" w:cs="宋体"/>
                <w:color w:val="auto"/>
                <w:szCs w:val="21"/>
                <w:highlight w:val="none"/>
                <w:lang w:val="en-US" w:eastAsia="zh-CN"/>
              </w:rPr>
              <w:t>安徽省琅琊山商贸发展有限公司</w:t>
            </w:r>
          </w:p>
          <w:p w14:paraId="4BE03133">
            <w:pPr>
              <w:spacing w:line="440" w:lineRule="exact"/>
              <w:rPr>
                <w:rFonts w:hint="default" w:ascii="宋体" w:hAnsi="宋体" w:eastAsia="宋体" w:cs="宋体"/>
                <w:b/>
                <w:bCs/>
                <w:color w:val="auto"/>
                <w:szCs w:val="21"/>
                <w:highlight w:val="none"/>
                <w:u w:val="single"/>
                <w:lang w:val="en-US" w:eastAsia="zh-CN"/>
              </w:rPr>
            </w:pPr>
            <w:r>
              <w:rPr>
                <w:rFonts w:hint="eastAsia" w:ascii="宋体" w:hAnsi="宋体" w:eastAsia="宋体" w:cs="宋体"/>
                <w:color w:val="auto"/>
                <w:szCs w:val="21"/>
                <w:highlight w:val="none"/>
              </w:rPr>
              <w:t>时 间：</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p>
          <w:p w14:paraId="53E6121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点：</w:t>
            </w:r>
            <w:r>
              <w:rPr>
                <w:rFonts w:hint="eastAsia" w:ascii="宋体" w:hAnsi="宋体" w:eastAsia="宋体" w:cs="宋体"/>
                <w:color w:val="auto"/>
                <w:kern w:val="0"/>
                <w:sz w:val="21"/>
                <w:szCs w:val="21"/>
                <w:highlight w:val="none"/>
                <w:u w:val="none"/>
                <w:lang w:val="en-US" w:eastAsia="zh-CN"/>
              </w:rPr>
              <w:t>安徽省琅琊山旅游发展有限公司</w:t>
            </w:r>
            <w:r>
              <w:rPr>
                <w:rFonts w:hint="eastAsia" w:ascii="宋体" w:hAnsi="宋体" w:eastAsia="宋体" w:cs="宋体"/>
                <w:color w:val="auto"/>
                <w:kern w:val="0"/>
                <w:sz w:val="21"/>
                <w:szCs w:val="21"/>
                <w:highlight w:val="none"/>
                <w:u w:val="none"/>
                <w:lang w:eastAsia="zh-CN"/>
              </w:rPr>
              <w:t>（安徽省滁州市西涧中路4306号）会议室</w:t>
            </w:r>
          </w:p>
        </w:tc>
      </w:tr>
      <w:tr w14:paraId="2521B529">
        <w:tblPrEx>
          <w:tblCellMar>
            <w:top w:w="0" w:type="dxa"/>
            <w:left w:w="108" w:type="dxa"/>
            <w:bottom w:w="0" w:type="dxa"/>
            <w:right w:w="108" w:type="dxa"/>
          </w:tblCellMar>
        </w:tblPrEx>
        <w:trPr>
          <w:trHeight w:val="1378" w:hRule="atLeast"/>
        </w:trPr>
        <w:tc>
          <w:tcPr>
            <w:tcW w:w="925" w:type="dxa"/>
            <w:vMerge w:val="continue"/>
            <w:tcBorders>
              <w:left w:val="single" w:color="auto" w:sz="4" w:space="0"/>
              <w:right w:val="single" w:color="auto" w:sz="4" w:space="0"/>
            </w:tcBorders>
            <w:noWrap w:val="0"/>
            <w:vAlign w:val="center"/>
          </w:tcPr>
          <w:p w14:paraId="3FB901D8">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31E03A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开标顺序</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4934449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密封情况：由投标人或其推选的代表检查投标文件的密封情况，也可以由招标人委托的公证机构检查并公证；</w:t>
            </w:r>
          </w:p>
          <w:p w14:paraId="330D8FE1">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开标顺序：先资格审查，</w:t>
            </w:r>
            <w:r>
              <w:rPr>
                <w:rFonts w:hint="eastAsia" w:ascii="宋体" w:hAnsi="宋体" w:eastAsia="宋体" w:cs="宋体"/>
                <w:color w:val="auto"/>
                <w:szCs w:val="21"/>
                <w:highlight w:val="none"/>
                <w:lang w:val="en-US" w:eastAsia="zh-CN"/>
              </w:rPr>
              <w:t>再进行评审</w:t>
            </w:r>
            <w:r>
              <w:rPr>
                <w:rFonts w:hint="eastAsia" w:ascii="宋体" w:hAnsi="宋体" w:eastAsia="宋体" w:cs="宋体"/>
                <w:color w:val="auto"/>
                <w:szCs w:val="21"/>
                <w:highlight w:val="none"/>
              </w:rPr>
              <w:t>。</w:t>
            </w:r>
          </w:p>
        </w:tc>
      </w:tr>
      <w:tr w14:paraId="7C40F86E">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EF8975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FE299F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是否退还投标文件</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D64D51">
            <w:pPr>
              <w:pStyle w:val="18"/>
              <w:topLinePunct/>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\o\ac(□,√)</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highlight w:val="none"/>
              </w:rPr>
              <w:t>否；</w:t>
            </w:r>
            <w:r>
              <w:rPr>
                <w:rFonts w:hint="eastAsia" w:ascii="宋体" w:hAnsi="宋体" w:eastAsia="宋体" w:cs="宋体"/>
                <w:color w:val="auto"/>
                <w:szCs w:val="32"/>
                <w:highlight w:val="none"/>
              </w:rPr>
              <w:t>□</w:t>
            </w:r>
            <w:r>
              <w:rPr>
                <w:rFonts w:hint="eastAsia" w:ascii="宋体" w:hAnsi="宋体" w:eastAsia="宋体" w:cs="宋体"/>
                <w:color w:val="auto"/>
                <w:highlight w:val="none"/>
              </w:rPr>
              <w:t>是</w:t>
            </w:r>
          </w:p>
        </w:tc>
      </w:tr>
      <w:tr w14:paraId="52F58947">
        <w:tblPrEx>
          <w:tblCellMar>
            <w:top w:w="0" w:type="dxa"/>
            <w:left w:w="108" w:type="dxa"/>
            <w:bottom w:w="0" w:type="dxa"/>
            <w:right w:w="108" w:type="dxa"/>
          </w:tblCellMar>
        </w:tblPrEx>
        <w:trPr>
          <w:trHeight w:val="488"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09B45298">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7B8086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评标委员会的组建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5113B90">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w:t>
            </w:r>
            <w:r>
              <w:rPr>
                <w:rFonts w:hint="eastAsia" w:ascii="Times New Roman" w:hAnsi="Times New Roman" w:eastAsia="宋体" w:cs="Times New Roman"/>
                <w:color w:val="auto"/>
                <w:kern w:val="2"/>
                <w:sz w:val="21"/>
                <w:szCs w:val="21"/>
                <w:highlight w:val="none"/>
                <w:u w:val="none"/>
                <w:lang w:val="en-US" w:eastAsia="zh-CN" w:bidi="ar-SA"/>
              </w:rPr>
              <w:t>由招标人依法组建。</w:t>
            </w:r>
          </w:p>
        </w:tc>
      </w:tr>
      <w:tr w14:paraId="4C566384">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368018DC">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053913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是否授权评标委员会推荐中标候选人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6176BD5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是，推荐的中标候选人数</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名，并标明排序。</w:t>
            </w:r>
          </w:p>
        </w:tc>
      </w:tr>
      <w:tr w14:paraId="7572B5E9">
        <w:tblPrEx>
          <w:tblCellMar>
            <w:top w:w="0" w:type="dxa"/>
            <w:left w:w="108" w:type="dxa"/>
            <w:bottom w:w="0" w:type="dxa"/>
            <w:right w:w="108" w:type="dxa"/>
          </w:tblCellMar>
        </w:tblPrEx>
        <w:trPr>
          <w:trHeight w:val="449" w:hRule="atLeast"/>
        </w:trPr>
        <w:tc>
          <w:tcPr>
            <w:tcW w:w="925" w:type="dxa"/>
            <w:tcBorders>
              <w:top w:val="single" w:color="auto" w:sz="4" w:space="0"/>
              <w:left w:val="single" w:color="auto" w:sz="4" w:space="0"/>
              <w:right w:val="single" w:color="auto" w:sz="4" w:space="0"/>
            </w:tcBorders>
            <w:noWrap w:val="0"/>
            <w:vAlign w:val="center"/>
          </w:tcPr>
          <w:p w14:paraId="34817B1B">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29</w:t>
            </w:r>
          </w:p>
        </w:tc>
        <w:tc>
          <w:tcPr>
            <w:tcW w:w="2217" w:type="dxa"/>
            <w:gridSpan w:val="2"/>
            <w:tcBorders>
              <w:top w:val="single" w:color="auto" w:sz="4" w:space="0"/>
              <w:left w:val="single" w:color="auto" w:sz="4" w:space="0"/>
              <w:right w:val="single" w:color="auto" w:sz="4" w:space="0"/>
            </w:tcBorders>
            <w:noWrap w:val="0"/>
            <w:vAlign w:val="center"/>
          </w:tcPr>
          <w:p w14:paraId="30CBFE8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中标候选人公示媒介</w:t>
            </w:r>
          </w:p>
        </w:tc>
        <w:tc>
          <w:tcPr>
            <w:tcW w:w="6147" w:type="dxa"/>
            <w:tcBorders>
              <w:top w:val="single" w:color="auto" w:sz="4" w:space="0"/>
              <w:left w:val="single" w:color="auto" w:sz="4" w:space="0"/>
              <w:right w:val="single" w:color="auto" w:sz="4" w:space="0"/>
            </w:tcBorders>
            <w:noWrap w:val="0"/>
            <w:vAlign w:val="center"/>
          </w:tcPr>
          <w:p w14:paraId="6DCBA724">
            <w:pPr>
              <w:spacing w:line="440" w:lineRule="exact"/>
              <w:rPr>
                <w:rFonts w:hint="default" w:ascii="宋体" w:hAnsi="宋体" w:eastAsia="宋体" w:cs="宋体"/>
                <w:color w:val="auto"/>
                <w:sz w:val="32"/>
                <w:szCs w:val="32"/>
                <w:highlight w:val="none"/>
                <w:lang w:val="en-US"/>
              </w:rPr>
            </w:pP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公告栏（https://www.lysfjq.cn/）</w:t>
            </w:r>
            <w:r>
              <w:rPr>
                <w:rFonts w:hint="eastAsia" w:ascii="宋体" w:hAnsi="宋体" w:eastAsia="宋体" w:cs="宋体"/>
                <w:color w:val="auto"/>
                <w:szCs w:val="21"/>
                <w:highlight w:val="none"/>
                <w:lang w:val="en-US" w:eastAsia="zh-CN"/>
              </w:rPr>
              <w:t>招标公告</w:t>
            </w:r>
          </w:p>
        </w:tc>
      </w:tr>
      <w:tr w14:paraId="58590316">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1F96003D">
            <w:pPr>
              <w:spacing w:line="44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Cs w:val="21"/>
                <w:highlight w:val="none"/>
                <w:lang w:val="en-US" w:eastAsia="zh-CN"/>
              </w:rPr>
              <w:t>30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698DA3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6D8676AE">
            <w:pPr>
              <w:spacing w:line="312" w:lineRule="auto"/>
              <w:rPr>
                <w:rFonts w:hint="default" w:eastAsia="宋体"/>
                <w:color w:val="auto"/>
                <w:highlight w:val="none"/>
                <w:lang w:val="en-US" w:eastAsia="zh-CN"/>
              </w:rPr>
            </w:pPr>
            <w:r>
              <w:rPr>
                <w:rFonts w:hint="eastAsia" w:ascii="宋体" w:hAnsi="Times New Roman" w:eastAsia="宋体" w:cs="Times New Roman"/>
                <w:color w:val="auto"/>
                <w:szCs w:val="21"/>
                <w:highlight w:val="none"/>
              </w:rPr>
              <w:t>是否收取履约担保：</w:t>
            </w: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rPr>
              <w:t>收取，</w:t>
            </w: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rPr>
              <w:t>不收取</w:t>
            </w:r>
          </w:p>
        </w:tc>
      </w:tr>
      <w:tr w14:paraId="4925BF90">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343FC44">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D16C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近年财务状况的年份要求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5FF69C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4BB67FFC">
        <w:tblPrEx>
          <w:tblCellMar>
            <w:top w:w="0" w:type="dxa"/>
            <w:left w:w="108" w:type="dxa"/>
            <w:bottom w:w="0" w:type="dxa"/>
            <w:right w:w="108" w:type="dxa"/>
          </w:tblCellMar>
        </w:tblPrEx>
        <w:trPr>
          <w:trHeight w:val="472" w:hRule="atLeast"/>
        </w:trPr>
        <w:tc>
          <w:tcPr>
            <w:tcW w:w="9289" w:type="dxa"/>
            <w:gridSpan w:val="4"/>
            <w:tcBorders>
              <w:top w:val="single" w:color="auto" w:sz="4" w:space="0"/>
              <w:left w:val="single" w:color="auto" w:sz="4" w:space="0"/>
              <w:bottom w:val="single" w:color="auto" w:sz="4" w:space="0"/>
              <w:right w:val="single" w:color="auto" w:sz="4" w:space="0"/>
            </w:tcBorders>
            <w:noWrap w:val="0"/>
            <w:vAlign w:val="center"/>
          </w:tcPr>
          <w:p w14:paraId="3E8B73D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需要补充的其他内容</w:t>
            </w:r>
          </w:p>
        </w:tc>
      </w:tr>
      <w:tr w14:paraId="1EE710ED">
        <w:tblPrEx>
          <w:tblCellMar>
            <w:top w:w="0" w:type="dxa"/>
            <w:left w:w="108" w:type="dxa"/>
            <w:bottom w:w="0" w:type="dxa"/>
            <w:right w:w="108" w:type="dxa"/>
          </w:tblCellMar>
        </w:tblPrEx>
        <w:trPr>
          <w:trHeight w:val="397"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88CB91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电子招标投标</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4AA8ED8F">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eq \o\ac(□,√)</w:instrTex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否； □是，具体要求：按</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规定。</w:t>
            </w:r>
          </w:p>
        </w:tc>
      </w:tr>
      <w:tr w14:paraId="46D98247">
        <w:tblPrEx>
          <w:tblCellMar>
            <w:top w:w="0" w:type="dxa"/>
            <w:left w:w="108" w:type="dxa"/>
            <w:bottom w:w="0" w:type="dxa"/>
            <w:right w:w="108" w:type="dxa"/>
          </w:tblCellMar>
        </w:tblPrEx>
        <w:trPr>
          <w:trHeight w:val="806"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40268AC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招标代理服务费</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4F2707DF">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不收取</w:t>
            </w:r>
            <w:r>
              <w:rPr>
                <w:rFonts w:hint="eastAsia" w:ascii="宋体" w:hAnsi="宋体" w:eastAsia="宋体" w:cs="宋体"/>
                <w:color w:val="auto"/>
                <w:szCs w:val="21"/>
                <w:highlight w:val="none"/>
              </w:rPr>
              <w:t>招标代理服务费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专家评审费另计（已实际发生为准）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上述费用</w:t>
            </w:r>
            <w:r>
              <w:rPr>
                <w:rFonts w:hint="eastAsia" w:ascii="宋体" w:hAnsi="宋体" w:eastAsia="宋体" w:cs="宋体"/>
                <w:color w:val="auto"/>
                <w:szCs w:val="21"/>
                <w:highlight w:val="none"/>
              </w:rPr>
              <w:t>由中标人</w:t>
            </w:r>
            <w:r>
              <w:rPr>
                <w:rFonts w:hint="eastAsia" w:ascii="宋体" w:hAnsi="宋体" w:eastAsia="宋体" w:cs="宋体"/>
                <w:color w:val="auto"/>
                <w:szCs w:val="21"/>
                <w:highlight w:val="none"/>
                <w:lang w:val="en-US" w:eastAsia="zh-CN"/>
              </w:rPr>
              <w:t>支付</w:t>
            </w:r>
            <w:r>
              <w:rPr>
                <w:rFonts w:hint="eastAsia" w:ascii="宋体" w:hAnsi="宋体" w:eastAsia="宋体" w:cs="宋体"/>
                <w:color w:val="auto"/>
                <w:szCs w:val="21"/>
                <w:highlight w:val="none"/>
              </w:rPr>
              <w:t>。</w:t>
            </w:r>
          </w:p>
        </w:tc>
      </w:tr>
      <w:tr w14:paraId="52F28D80">
        <w:tblPrEx>
          <w:tblCellMar>
            <w:top w:w="0" w:type="dxa"/>
            <w:left w:w="108" w:type="dxa"/>
            <w:bottom w:w="0" w:type="dxa"/>
            <w:right w:w="108" w:type="dxa"/>
          </w:tblCellMar>
        </w:tblPrEx>
        <w:trPr>
          <w:trHeight w:val="590"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5F1F61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541765B7">
            <w:pPr>
              <w:pStyle w:val="92"/>
              <w:ind w:left="0" w:leftChars="0" w:firstLine="0" w:firstLineChars="0"/>
              <w:rPr>
                <w:rFonts w:hint="default"/>
                <w:color w:val="auto"/>
                <w:highlight w:val="none"/>
                <w:lang w:val="en-US"/>
              </w:rPr>
            </w:pPr>
            <w:r>
              <w:rPr>
                <w:rFonts w:hint="eastAsia" w:ascii="宋体" w:hAnsi="宋体" w:eastAsia="宋体" w:cs="宋体"/>
                <w:color w:val="auto"/>
                <w:kern w:val="2"/>
                <w:sz w:val="21"/>
                <w:szCs w:val="21"/>
                <w:highlight w:val="none"/>
                <w:lang w:val="en-US" w:eastAsia="zh-CN" w:bidi="ar-SA"/>
              </w:rPr>
              <w:t>项目施工安装完成且经招标人验收合格后付至验收合格价款的</w:t>
            </w:r>
            <w:r>
              <w:rPr>
                <w:rFonts w:hint="eastAsia" w:ascii="宋体" w:hAnsi="宋体" w:cs="宋体"/>
                <w:color w:val="auto"/>
                <w:kern w:val="2"/>
                <w:sz w:val="21"/>
                <w:szCs w:val="21"/>
                <w:highlight w:val="none"/>
                <w:lang w:val="en-US" w:eastAsia="zh-CN" w:bidi="ar-SA"/>
              </w:rPr>
              <w:t>98</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质保金2%，</w:t>
            </w:r>
            <w:r>
              <w:rPr>
                <w:rFonts w:hint="eastAsia" w:ascii="宋体" w:hAnsi="宋体" w:eastAsia="宋体" w:cs="宋体"/>
                <w:color w:val="auto"/>
                <w:kern w:val="2"/>
                <w:sz w:val="21"/>
                <w:szCs w:val="21"/>
                <w:highlight w:val="none"/>
                <w:lang w:val="en-US" w:eastAsia="zh-CN" w:bidi="ar-SA"/>
              </w:rPr>
              <w:t>质保期（一年），质保期</w:t>
            </w:r>
            <w:r>
              <w:rPr>
                <w:rFonts w:hint="eastAsia" w:ascii="宋体" w:hAnsi="宋体" w:cs="宋体"/>
                <w:color w:val="auto"/>
                <w:kern w:val="2"/>
                <w:sz w:val="21"/>
                <w:szCs w:val="21"/>
                <w:highlight w:val="none"/>
                <w:lang w:val="en-US" w:eastAsia="zh-CN" w:bidi="ar-SA"/>
              </w:rPr>
              <w:t>满后并经招标人验收合格后无息支付</w:t>
            </w:r>
            <w:r>
              <w:rPr>
                <w:rFonts w:hint="eastAsia" w:ascii="宋体" w:hAnsi="宋体" w:eastAsia="宋体" w:cs="宋体"/>
                <w:color w:val="auto"/>
                <w:kern w:val="2"/>
                <w:sz w:val="21"/>
                <w:szCs w:val="21"/>
                <w:highlight w:val="none"/>
                <w:lang w:val="en-US" w:eastAsia="zh-CN" w:bidi="ar-SA"/>
              </w:rPr>
              <w:t>。</w:t>
            </w:r>
          </w:p>
        </w:tc>
      </w:tr>
      <w:tr w14:paraId="08DEF775">
        <w:tblPrEx>
          <w:tblCellMar>
            <w:top w:w="0" w:type="dxa"/>
            <w:left w:w="108" w:type="dxa"/>
            <w:bottom w:w="0" w:type="dxa"/>
            <w:right w:w="108" w:type="dxa"/>
          </w:tblCellMar>
        </w:tblPrEx>
        <w:trPr>
          <w:trHeight w:val="801"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4513D0AF">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重要要求</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7B686A95">
            <w:pPr>
              <w:pStyle w:val="92"/>
              <w:ind w:left="0" w:leftChars="0" w:firstLine="0" w:firstLineChars="0"/>
              <w:rPr>
                <w:rFonts w:hint="default"/>
                <w:color w:val="auto"/>
                <w:highlight w:val="none"/>
                <w:lang w:val="en-US" w:eastAsia="zh-CN"/>
              </w:rPr>
            </w:pPr>
            <w:r>
              <w:rPr>
                <w:rFonts w:hint="default" w:ascii="宋体" w:hAnsi="宋体" w:eastAsia="宋体" w:cs="宋体"/>
                <w:color w:val="auto"/>
                <w:kern w:val="2"/>
                <w:sz w:val="21"/>
                <w:szCs w:val="21"/>
                <w:highlight w:val="none"/>
                <w:lang w:val="en-US" w:eastAsia="zh-CN" w:bidi="ar-SA"/>
              </w:rPr>
              <w:t>投标人须开具增值税专用发票，开具发票的抬头必须与投标人名称相一致</w:t>
            </w:r>
            <w:r>
              <w:rPr>
                <w:rFonts w:hint="eastAsia" w:ascii="宋体" w:hAnsi="宋体" w:cs="宋体"/>
                <w:color w:val="auto"/>
                <w:kern w:val="2"/>
                <w:sz w:val="21"/>
                <w:szCs w:val="21"/>
                <w:highlight w:val="none"/>
                <w:lang w:val="en-US" w:eastAsia="zh-CN" w:bidi="ar-SA"/>
              </w:rPr>
              <w:t>并符合招标人需求的税点</w:t>
            </w:r>
            <w:r>
              <w:rPr>
                <w:rFonts w:hint="default" w:ascii="宋体" w:hAnsi="宋体" w:eastAsia="宋体" w:cs="宋体"/>
                <w:color w:val="auto"/>
                <w:kern w:val="2"/>
                <w:sz w:val="21"/>
                <w:szCs w:val="21"/>
                <w:highlight w:val="none"/>
                <w:lang w:val="en-US" w:eastAsia="zh-CN" w:bidi="ar-SA"/>
              </w:rPr>
              <w:t>，否则不予结算。</w:t>
            </w:r>
          </w:p>
        </w:tc>
      </w:tr>
      <w:tr w14:paraId="5298BEF1">
        <w:tblPrEx>
          <w:tblCellMar>
            <w:top w:w="0" w:type="dxa"/>
            <w:left w:w="108" w:type="dxa"/>
            <w:bottom w:w="0" w:type="dxa"/>
            <w:right w:w="108" w:type="dxa"/>
          </w:tblCellMar>
        </w:tblPrEx>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D3CA473">
            <w:pPr>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解释权</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5352ADE6">
            <w:pPr>
              <w:pStyle w:val="221"/>
              <w:adjustRightInd w:val="0"/>
              <w:snapToGrid w:val="0"/>
              <w:spacing w:line="400" w:lineRule="exact"/>
              <w:rPr>
                <w:color w:val="auto"/>
                <w:spacing w:val="-3"/>
                <w:szCs w:val="21"/>
                <w:highlight w:val="none"/>
              </w:rPr>
            </w:pPr>
            <w:r>
              <w:rPr>
                <w:color w:val="auto"/>
                <w:spacing w:val="-3"/>
                <w:szCs w:val="21"/>
                <w:highlight w:val="none"/>
              </w:rPr>
              <w:t>1</w:t>
            </w:r>
            <w:r>
              <w:rPr>
                <w:rFonts w:hint="eastAsia"/>
                <w:color w:val="auto"/>
                <w:spacing w:val="-3"/>
                <w:szCs w:val="21"/>
                <w:highlight w:val="none"/>
              </w:rPr>
              <w:t>、构成本招标文件的各个组成文件应互为解释，互为说明；</w:t>
            </w:r>
          </w:p>
          <w:p w14:paraId="710AF67E">
            <w:pPr>
              <w:pStyle w:val="221"/>
              <w:adjustRightInd w:val="0"/>
              <w:snapToGrid w:val="0"/>
              <w:spacing w:line="400" w:lineRule="exact"/>
              <w:rPr>
                <w:color w:val="auto"/>
                <w:szCs w:val="21"/>
                <w:highlight w:val="none"/>
              </w:rPr>
            </w:pPr>
            <w:r>
              <w:rPr>
                <w:color w:val="auto"/>
                <w:spacing w:val="-3"/>
                <w:szCs w:val="21"/>
                <w:highlight w:val="none"/>
              </w:rPr>
              <w:t>2</w:t>
            </w:r>
            <w:r>
              <w:rPr>
                <w:rFonts w:hint="eastAsia"/>
                <w:color w:val="auto"/>
                <w:spacing w:val="-3"/>
                <w:szCs w:val="21"/>
                <w:highlight w:val="none"/>
              </w:rPr>
              <w:t>、</w:t>
            </w:r>
            <w:r>
              <w:rPr>
                <w:rFonts w:hint="eastAsia"/>
                <w:color w:val="auto"/>
                <w:spacing w:val="-7"/>
                <w:szCs w:val="21"/>
                <w:highlight w:val="none"/>
              </w:rPr>
              <w:t>同一组成文件中就同一事项的规定或约定不一致的，以编排</w:t>
            </w:r>
            <w:r>
              <w:rPr>
                <w:rFonts w:hint="eastAsia"/>
                <w:color w:val="auto"/>
                <w:spacing w:val="-5"/>
                <w:szCs w:val="21"/>
                <w:highlight w:val="none"/>
              </w:rPr>
              <w:t>顺序在后者为准；</w:t>
            </w:r>
          </w:p>
          <w:p w14:paraId="024AC27A">
            <w:pPr>
              <w:pStyle w:val="221"/>
              <w:tabs>
                <w:tab w:val="left" w:pos="351"/>
              </w:tabs>
              <w:adjustRightInd w:val="0"/>
              <w:snapToGrid w:val="0"/>
              <w:spacing w:line="400" w:lineRule="exact"/>
              <w:rPr>
                <w:color w:val="auto"/>
                <w:szCs w:val="21"/>
                <w:highlight w:val="none"/>
              </w:rPr>
            </w:pPr>
            <w:r>
              <w:rPr>
                <w:color w:val="auto"/>
                <w:spacing w:val="-10"/>
                <w:szCs w:val="21"/>
                <w:highlight w:val="none"/>
              </w:rPr>
              <w:t>3</w:t>
            </w:r>
            <w:r>
              <w:rPr>
                <w:rFonts w:hint="eastAsia"/>
                <w:color w:val="auto"/>
                <w:spacing w:val="-10"/>
                <w:szCs w:val="21"/>
                <w:highlight w:val="none"/>
              </w:rPr>
              <w:t>、如有不明确或不一致，构成合同文件组成内容的，以合同文件约定内容为准，且以专用合同条款约定的合同文件优先顺序解释；</w:t>
            </w:r>
          </w:p>
          <w:p w14:paraId="4D1BDE13">
            <w:pPr>
              <w:pStyle w:val="221"/>
              <w:tabs>
                <w:tab w:val="left" w:pos="636"/>
              </w:tabs>
              <w:adjustRightInd w:val="0"/>
              <w:snapToGrid w:val="0"/>
              <w:spacing w:line="400" w:lineRule="exact"/>
              <w:jc w:val="left"/>
              <w:rPr>
                <w:rFonts w:hint="eastAsia" w:ascii="宋体" w:hAnsi="宋体" w:eastAsia="宋体" w:cs="宋体"/>
                <w:color w:val="auto"/>
                <w:szCs w:val="21"/>
                <w:highlight w:val="none"/>
              </w:rPr>
            </w:pPr>
            <w:r>
              <w:rPr>
                <w:color w:val="auto"/>
                <w:spacing w:val="-2"/>
                <w:szCs w:val="21"/>
                <w:highlight w:val="none"/>
              </w:rPr>
              <w:t>4</w:t>
            </w:r>
            <w:r>
              <w:rPr>
                <w:rFonts w:hint="eastAsia"/>
                <w:color w:val="auto"/>
                <w:spacing w:val="-2"/>
                <w:szCs w:val="21"/>
                <w:highlight w:val="none"/>
              </w:rPr>
              <w:t>、</w:t>
            </w:r>
            <w:r>
              <w:rPr>
                <w:rFonts w:hint="eastAsia"/>
                <w:color w:val="auto"/>
                <w:spacing w:val="-3"/>
                <w:szCs w:val="21"/>
                <w:highlight w:val="none"/>
              </w:rPr>
              <w:t>按本款前述规定仍不能形成结论的，由招标人负责解释。</w:t>
            </w:r>
          </w:p>
        </w:tc>
      </w:tr>
      <w:bookmarkEnd w:id="0"/>
      <w:bookmarkEnd w:id="1"/>
      <w:bookmarkEnd w:id="2"/>
      <w:bookmarkEnd w:id="3"/>
    </w:tbl>
    <w:p w14:paraId="1FED2F86">
      <w:pPr>
        <w:pStyle w:val="6"/>
        <w:bidi w:val="0"/>
        <w:rPr>
          <w:rFonts w:hint="eastAsia"/>
          <w:color w:val="auto"/>
          <w:highlight w:val="none"/>
        </w:rPr>
      </w:pPr>
      <w:bookmarkStart w:id="51" w:name="_Toc13234"/>
      <w:bookmarkStart w:id="52" w:name="_Toc35947170"/>
      <w:bookmarkStart w:id="53" w:name="_Toc35425053"/>
      <w:bookmarkStart w:id="54" w:name="_Toc15058846"/>
      <w:bookmarkStart w:id="55" w:name="_Toc35424887"/>
      <w:bookmarkStart w:id="56" w:name="_Toc8739"/>
      <w:bookmarkStart w:id="57" w:name="_Toc531771949"/>
      <w:bookmarkStart w:id="58" w:name="_Toc8218_WPSOffice_Level1"/>
    </w:p>
    <w:p w14:paraId="19EC6A62">
      <w:pPr>
        <w:pStyle w:val="6"/>
        <w:bidi w:val="0"/>
        <w:rPr>
          <w:rFonts w:hint="eastAsia"/>
          <w:color w:val="auto"/>
          <w:highlight w:val="none"/>
        </w:rPr>
      </w:pPr>
      <w:r>
        <w:rPr>
          <w:rFonts w:hint="eastAsia"/>
          <w:color w:val="auto"/>
          <w:highlight w:val="none"/>
        </w:rPr>
        <w:t>1. 总则</w:t>
      </w:r>
      <w:bookmarkEnd w:id="51"/>
      <w:bookmarkEnd w:id="52"/>
      <w:bookmarkEnd w:id="53"/>
      <w:bookmarkEnd w:id="54"/>
      <w:bookmarkEnd w:id="55"/>
      <w:bookmarkEnd w:id="56"/>
    </w:p>
    <w:p w14:paraId="0233B10F">
      <w:pPr>
        <w:spacing w:line="440" w:lineRule="atLeast"/>
        <w:ind w:firstLine="422" w:firstLineChars="200"/>
        <w:outlineLvl w:val="2"/>
        <w:rPr>
          <w:rFonts w:hint="eastAsia" w:ascii="宋体" w:hAnsi="宋体" w:cs="宋体"/>
          <w:b/>
          <w:bCs/>
          <w:color w:val="auto"/>
          <w:szCs w:val="21"/>
          <w:highlight w:val="none"/>
        </w:rPr>
      </w:pPr>
      <w:bookmarkStart w:id="59" w:name="_Toc15058847"/>
      <w:bookmarkStart w:id="60" w:name="_Toc152045530"/>
      <w:bookmarkStart w:id="61" w:name="_Toc324404816"/>
      <w:bookmarkStart w:id="62" w:name="_Toc35425054"/>
      <w:bookmarkStart w:id="63" w:name="_Toc296602421"/>
      <w:bookmarkStart w:id="64" w:name="_Toc144974498"/>
      <w:bookmarkStart w:id="65" w:name="_Toc35424888"/>
      <w:bookmarkStart w:id="66" w:name="_Toc246996919"/>
      <w:bookmarkStart w:id="67" w:name="_Toc22151"/>
      <w:bookmarkStart w:id="68" w:name="_Toc152042306"/>
      <w:bookmarkStart w:id="69" w:name="_Toc246996176"/>
      <w:bookmarkStart w:id="70" w:name="_Toc247085690"/>
      <w:bookmarkStart w:id="71" w:name="_Toc506107270"/>
      <w:bookmarkStart w:id="72" w:name="_Toc35947171"/>
      <w:bookmarkStart w:id="73" w:name="_Toc179632547"/>
      <w:r>
        <w:rPr>
          <w:rFonts w:hint="eastAsia" w:ascii="宋体" w:hAnsi="宋体" w:cs="宋体"/>
          <w:b/>
          <w:bCs/>
          <w:color w:val="auto"/>
          <w:szCs w:val="21"/>
          <w:highlight w:val="none"/>
        </w:rPr>
        <w:t>1.1 项目概况</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6ED7B0C">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1.1</w:t>
      </w:r>
      <w:r>
        <w:rPr>
          <w:rFonts w:hint="eastAsia" w:ascii="宋体"/>
          <w:color w:val="auto"/>
          <w:szCs w:val="21"/>
          <w:highlight w:val="none"/>
          <w:lang w:val="en-US" w:eastAsia="zh-CN"/>
        </w:rPr>
        <w:t>.1</w:t>
      </w:r>
      <w:r>
        <w:rPr>
          <w:rFonts w:hint="eastAsia" w:ascii="宋体"/>
          <w:color w:val="auto"/>
          <w:szCs w:val="21"/>
          <w:highlight w:val="none"/>
        </w:rPr>
        <w:t>本次招标采购项目名称：见投标人须知前附表。</w:t>
      </w:r>
    </w:p>
    <w:p w14:paraId="7448A22C">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w:t>
      </w:r>
      <w:r>
        <w:rPr>
          <w:rFonts w:hint="eastAsia" w:ascii="宋体"/>
          <w:color w:val="auto"/>
          <w:szCs w:val="21"/>
          <w:highlight w:val="none"/>
          <w:lang w:val="en-US" w:eastAsia="zh-CN"/>
        </w:rPr>
        <w:t xml:space="preserve">    采购人</w:t>
      </w:r>
      <w:r>
        <w:rPr>
          <w:rFonts w:hint="eastAsia" w:ascii="宋体"/>
          <w:color w:val="auto"/>
          <w:szCs w:val="21"/>
          <w:highlight w:val="none"/>
        </w:rPr>
        <w:t>：见投标人须知前附表。</w:t>
      </w:r>
    </w:p>
    <w:p w14:paraId="1CC4ADDF">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w:t>
      </w:r>
      <w:r>
        <w:rPr>
          <w:rFonts w:hint="eastAsia" w:ascii="宋体"/>
          <w:color w:val="auto"/>
          <w:szCs w:val="21"/>
          <w:highlight w:val="none"/>
          <w:lang w:val="en-US" w:eastAsia="zh-CN"/>
        </w:rPr>
        <w:t>合同履行期</w:t>
      </w:r>
      <w:r>
        <w:rPr>
          <w:rFonts w:hint="eastAsia" w:ascii="宋体"/>
          <w:color w:val="auto"/>
          <w:szCs w:val="21"/>
          <w:highlight w:val="none"/>
        </w:rPr>
        <w:t>：见投标人须知前附表。</w:t>
      </w:r>
    </w:p>
    <w:p w14:paraId="6BC3B6C7">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供货地点：见投标人须知前附表。</w:t>
      </w:r>
    </w:p>
    <w:p w14:paraId="0D91C20B">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2</w:t>
      </w:r>
      <w:r>
        <w:rPr>
          <w:rFonts w:hint="eastAsia" w:ascii="宋体"/>
          <w:color w:val="auto"/>
          <w:szCs w:val="21"/>
          <w:highlight w:val="none"/>
          <w:lang w:val="en-US" w:eastAsia="zh-CN"/>
        </w:rPr>
        <w:t>招标</w:t>
      </w:r>
      <w:r>
        <w:rPr>
          <w:rFonts w:hint="eastAsia" w:ascii="宋体"/>
          <w:color w:val="auto"/>
          <w:szCs w:val="21"/>
          <w:highlight w:val="none"/>
          <w:lang w:eastAsia="zh-CN"/>
        </w:rPr>
        <w:t>人</w:t>
      </w:r>
      <w:r>
        <w:rPr>
          <w:rFonts w:hint="eastAsia" w:ascii="宋体"/>
          <w:color w:val="auto"/>
          <w:szCs w:val="21"/>
          <w:highlight w:val="none"/>
        </w:rPr>
        <w:t>及联系人: 见投标人须知前附表。</w:t>
      </w:r>
    </w:p>
    <w:p w14:paraId="41900113">
      <w:pPr>
        <w:pageBreakBefore w:val="0"/>
        <w:widowControl w:val="0"/>
        <w:kinsoku/>
        <w:overflowPunct/>
        <w:topLinePunct w:val="0"/>
        <w:bidi w:val="0"/>
        <w:snapToGrid w:val="0"/>
        <w:spacing w:line="400" w:lineRule="exact"/>
        <w:ind w:firstLine="735" w:firstLineChars="350"/>
        <w:rPr>
          <w:rFonts w:hint="eastAsia" w:ascii="宋体"/>
          <w:color w:val="auto"/>
          <w:szCs w:val="21"/>
          <w:highlight w:val="none"/>
          <w:u w:val="single"/>
        </w:rPr>
      </w:pPr>
      <w:r>
        <w:rPr>
          <w:rFonts w:hint="eastAsia" w:ascii="宋体"/>
          <w:color w:val="auto"/>
          <w:szCs w:val="21"/>
          <w:highlight w:val="none"/>
        </w:rPr>
        <w:t xml:space="preserve"> 代理机构及联系人: 见投标人须知前附表。</w:t>
      </w:r>
    </w:p>
    <w:p w14:paraId="121D9A97">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3资金来源：见投标人须知前附表。</w:t>
      </w:r>
    </w:p>
    <w:p w14:paraId="02A7E971">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4本项目预算：见投标人须知前附表。</w:t>
      </w:r>
    </w:p>
    <w:p w14:paraId="5FBEB46F">
      <w:pPr>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5本项目最高限价：见投标人须知前附表。</w:t>
      </w:r>
    </w:p>
    <w:p w14:paraId="344298B0">
      <w:pPr>
        <w:spacing w:line="440" w:lineRule="atLeast"/>
        <w:ind w:firstLine="422" w:firstLineChars="200"/>
        <w:outlineLvl w:val="2"/>
        <w:rPr>
          <w:rFonts w:hint="eastAsia" w:ascii="宋体" w:hAnsi="宋体" w:cs="宋体"/>
          <w:b/>
          <w:bCs/>
          <w:color w:val="auto"/>
          <w:szCs w:val="21"/>
          <w:highlight w:val="none"/>
        </w:rPr>
      </w:pPr>
      <w:bookmarkStart w:id="74" w:name="_Toc324404817"/>
      <w:bookmarkStart w:id="75" w:name="_Toc152045531"/>
      <w:bookmarkStart w:id="76" w:name="_Toc144974499"/>
      <w:bookmarkStart w:id="77" w:name="_Toc35424889"/>
      <w:bookmarkStart w:id="78" w:name="_Toc506107271"/>
      <w:bookmarkStart w:id="79" w:name="_Toc247085691"/>
      <w:bookmarkStart w:id="80" w:name="_Toc246996920"/>
      <w:bookmarkStart w:id="81" w:name="_Toc13913"/>
      <w:bookmarkStart w:id="82" w:name="_Toc246996177"/>
      <w:bookmarkStart w:id="83" w:name="_Toc152042307"/>
      <w:bookmarkStart w:id="84" w:name="_Toc179632548"/>
      <w:bookmarkStart w:id="85" w:name="_Toc15058848"/>
      <w:bookmarkStart w:id="86" w:name="_Toc35425055"/>
      <w:bookmarkStart w:id="87" w:name="_Toc35947172"/>
      <w:bookmarkStart w:id="88" w:name="_Toc296602422"/>
      <w:r>
        <w:rPr>
          <w:rFonts w:hint="eastAsia" w:ascii="宋体" w:hAnsi="宋体" w:cs="宋体"/>
          <w:b/>
          <w:bCs/>
          <w:color w:val="auto"/>
          <w:szCs w:val="21"/>
          <w:highlight w:val="none"/>
        </w:rPr>
        <w:t>1.2 资金来源和落实情况</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05E11CB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36ED23F0">
      <w:pPr>
        <w:spacing w:line="440" w:lineRule="atLeast"/>
        <w:ind w:firstLine="422" w:firstLineChars="200"/>
        <w:outlineLvl w:val="2"/>
        <w:rPr>
          <w:rFonts w:hint="eastAsia" w:ascii="宋体" w:hAnsi="宋体" w:cs="宋体"/>
          <w:b/>
          <w:bCs/>
          <w:color w:val="auto"/>
          <w:szCs w:val="21"/>
          <w:highlight w:val="none"/>
        </w:rPr>
      </w:pPr>
      <w:bookmarkStart w:id="89" w:name="_Toc324404818"/>
      <w:bookmarkStart w:id="90" w:name="_Toc247085692"/>
      <w:bookmarkStart w:id="91" w:name="_Toc35947173"/>
      <w:bookmarkStart w:id="92" w:name="_Toc35424890"/>
      <w:bookmarkStart w:id="93" w:name="_Toc144974500"/>
      <w:bookmarkStart w:id="94" w:name="_Toc15058849"/>
      <w:bookmarkStart w:id="95" w:name="_Toc26911"/>
      <w:bookmarkStart w:id="96" w:name="_Toc296602423"/>
      <w:bookmarkStart w:id="97" w:name="_Toc506107272"/>
      <w:bookmarkStart w:id="98" w:name="_Toc152045532"/>
      <w:bookmarkStart w:id="99" w:name="_Toc35425056"/>
      <w:bookmarkStart w:id="100" w:name="_Toc152042308"/>
      <w:bookmarkStart w:id="101" w:name="_Toc179632549"/>
      <w:bookmarkStart w:id="102" w:name="_Toc246996921"/>
      <w:bookmarkStart w:id="103" w:name="_Toc246996178"/>
      <w:r>
        <w:rPr>
          <w:rFonts w:hint="eastAsia" w:ascii="宋体" w:hAnsi="宋体" w:cs="宋体"/>
          <w:b/>
          <w:bCs/>
          <w:color w:val="auto"/>
          <w:szCs w:val="21"/>
          <w:highlight w:val="none"/>
        </w:rPr>
        <w:t>1.3 招标范围、质量要求</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41FD01C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50C3E86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 本招标项目的质量要求：见投标人须知前附表。</w:t>
      </w:r>
    </w:p>
    <w:p w14:paraId="0B0F07CD">
      <w:pPr>
        <w:spacing w:line="440" w:lineRule="atLeast"/>
        <w:ind w:firstLine="422" w:firstLineChars="200"/>
        <w:outlineLvl w:val="2"/>
        <w:rPr>
          <w:rFonts w:hint="eastAsia" w:ascii="宋体" w:hAnsi="宋体" w:cs="宋体"/>
          <w:b/>
          <w:bCs/>
          <w:color w:val="auto"/>
          <w:szCs w:val="21"/>
          <w:highlight w:val="none"/>
        </w:rPr>
      </w:pPr>
      <w:bookmarkStart w:id="104" w:name="_Toc6279"/>
      <w:bookmarkStart w:id="105" w:name="_Toc506107273"/>
      <w:bookmarkStart w:id="106" w:name="_Toc15058850"/>
      <w:bookmarkStart w:id="107" w:name="_Toc246996922"/>
      <w:bookmarkStart w:id="108" w:name="_Toc144974502"/>
      <w:bookmarkStart w:id="109" w:name="_Toc152045534"/>
      <w:bookmarkStart w:id="110" w:name="_Toc35424891"/>
      <w:bookmarkStart w:id="111" w:name="_Toc247085693"/>
      <w:bookmarkStart w:id="112" w:name="_Toc152042310"/>
      <w:bookmarkStart w:id="113" w:name="_Toc324404819"/>
      <w:bookmarkStart w:id="114" w:name="_Toc179632551"/>
      <w:bookmarkStart w:id="115" w:name="_Toc35425057"/>
      <w:bookmarkStart w:id="116" w:name="_Toc246996179"/>
      <w:bookmarkStart w:id="117" w:name="_Toc35947174"/>
      <w:bookmarkStart w:id="118" w:name="_Toc296602424"/>
      <w:r>
        <w:rPr>
          <w:rFonts w:hint="eastAsia" w:ascii="宋体" w:hAnsi="宋体" w:cs="宋体"/>
          <w:b/>
          <w:bCs/>
          <w:color w:val="auto"/>
          <w:szCs w:val="21"/>
          <w:highlight w:val="none"/>
        </w:rPr>
        <w:t>1.4 投标人资格要求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432A885A">
      <w:pPr>
        <w:spacing w:line="440" w:lineRule="atLeas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 xml:space="preserve">1.4.1 </w:t>
      </w:r>
      <w:r>
        <w:rPr>
          <w:rFonts w:hint="eastAsia" w:ascii="宋体" w:hAnsi="宋体" w:cs="宋体"/>
          <w:b/>
          <w:bCs/>
          <w:color w:val="auto"/>
          <w:szCs w:val="21"/>
          <w:highlight w:val="none"/>
        </w:rPr>
        <w:t>投标人资格要求</w:t>
      </w:r>
      <w:r>
        <w:rPr>
          <w:rFonts w:hint="eastAsia" w:ascii="宋体" w:hAnsi="宋体" w:cs="宋体"/>
          <w:b/>
          <w:bCs/>
          <w:color w:val="auto"/>
          <w:szCs w:val="21"/>
          <w:highlight w:val="none"/>
          <w:lang w:eastAsia="zh-CN"/>
        </w:rPr>
        <w:t>：</w:t>
      </w:r>
      <w:r>
        <w:rPr>
          <w:rFonts w:hint="eastAsia" w:ascii="宋体" w:hAnsi="宋体" w:cs="宋体"/>
          <w:color w:val="auto"/>
          <w:szCs w:val="21"/>
          <w:highlight w:val="none"/>
        </w:rPr>
        <w:t>见投标人须知前附表。</w:t>
      </w:r>
    </w:p>
    <w:p w14:paraId="7E184B33">
      <w:pPr>
        <w:spacing w:line="440" w:lineRule="atLeast"/>
        <w:ind w:firstLine="422" w:firstLineChars="200"/>
        <w:outlineLvl w:val="2"/>
        <w:rPr>
          <w:rFonts w:hint="eastAsia" w:ascii="宋体" w:hAnsi="宋体" w:cs="宋体"/>
          <w:b/>
          <w:bCs/>
          <w:color w:val="auto"/>
          <w:szCs w:val="21"/>
          <w:highlight w:val="none"/>
        </w:rPr>
      </w:pPr>
      <w:bookmarkStart w:id="119" w:name="_Toc152042311"/>
      <w:bookmarkStart w:id="120" w:name="_Toc144974503"/>
      <w:bookmarkStart w:id="121" w:name="_Toc246996180"/>
      <w:bookmarkStart w:id="122" w:name="_Toc35947175"/>
      <w:bookmarkStart w:id="123" w:name="_Toc247085694"/>
      <w:bookmarkStart w:id="124" w:name="_Toc324404820"/>
      <w:bookmarkStart w:id="125" w:name="_Toc35424892"/>
      <w:bookmarkStart w:id="126" w:name="_Toc296602425"/>
      <w:bookmarkStart w:id="127" w:name="_Toc506107274"/>
      <w:bookmarkStart w:id="128" w:name="_Toc15058851"/>
      <w:bookmarkStart w:id="129" w:name="_Toc35425058"/>
      <w:bookmarkStart w:id="130" w:name="_Toc179632552"/>
      <w:bookmarkStart w:id="131" w:name="_Toc152045535"/>
      <w:bookmarkStart w:id="132" w:name="_Toc246996923"/>
      <w:bookmarkStart w:id="133" w:name="_Toc14292"/>
      <w:r>
        <w:rPr>
          <w:rFonts w:hint="eastAsia" w:ascii="宋体" w:hAnsi="宋体" w:cs="宋体"/>
          <w:b/>
          <w:bCs/>
          <w:color w:val="auto"/>
          <w:szCs w:val="21"/>
          <w:highlight w:val="none"/>
        </w:rPr>
        <w:t>1.5 费用承担</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03B9E01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142685B9">
      <w:pPr>
        <w:spacing w:line="440" w:lineRule="atLeast"/>
        <w:ind w:firstLine="422" w:firstLineChars="200"/>
        <w:outlineLvl w:val="2"/>
        <w:rPr>
          <w:rFonts w:hint="eastAsia" w:ascii="宋体" w:hAnsi="宋体" w:cs="宋体"/>
          <w:b/>
          <w:bCs/>
          <w:color w:val="auto"/>
          <w:szCs w:val="21"/>
          <w:highlight w:val="none"/>
        </w:rPr>
      </w:pPr>
      <w:bookmarkStart w:id="134" w:name="_Toc506107275"/>
      <w:bookmarkStart w:id="135" w:name="_Toc247085695"/>
      <w:bookmarkStart w:id="136" w:name="_Toc851"/>
      <w:bookmarkStart w:id="137" w:name="_Toc246996181"/>
      <w:bookmarkStart w:id="138" w:name="_Toc246996924"/>
      <w:bookmarkStart w:id="139" w:name="_Toc35424893"/>
      <w:bookmarkStart w:id="140" w:name="_Toc324404821"/>
      <w:bookmarkStart w:id="141" w:name="_Toc144974504"/>
      <w:bookmarkStart w:id="142" w:name="_Toc15058852"/>
      <w:bookmarkStart w:id="143" w:name="_Toc152042312"/>
      <w:bookmarkStart w:id="144" w:name="_Toc35947176"/>
      <w:bookmarkStart w:id="145" w:name="_Toc152045536"/>
      <w:bookmarkStart w:id="146" w:name="_Toc35425059"/>
      <w:bookmarkStart w:id="147" w:name="_Toc296602426"/>
      <w:bookmarkStart w:id="148" w:name="_Toc179632553"/>
      <w:r>
        <w:rPr>
          <w:rFonts w:hint="eastAsia" w:ascii="宋体" w:hAnsi="宋体" w:cs="宋体"/>
          <w:b/>
          <w:bCs/>
          <w:color w:val="auto"/>
          <w:szCs w:val="21"/>
          <w:highlight w:val="none"/>
        </w:rPr>
        <w:t>1.6 保密</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723639E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参与招标投标活动的各方应对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 xml:space="preserve">和投标文件中的商业和技术等秘密保密，违者应对由此造成的后果承担法律责任。 </w:t>
      </w:r>
    </w:p>
    <w:p w14:paraId="1E895DBC">
      <w:pPr>
        <w:spacing w:line="440" w:lineRule="atLeast"/>
        <w:ind w:firstLine="422" w:firstLineChars="200"/>
        <w:outlineLvl w:val="2"/>
        <w:rPr>
          <w:rFonts w:hint="eastAsia" w:ascii="宋体" w:hAnsi="宋体" w:cs="宋体"/>
          <w:b/>
          <w:bCs/>
          <w:color w:val="auto"/>
          <w:szCs w:val="21"/>
          <w:highlight w:val="none"/>
        </w:rPr>
      </w:pPr>
      <w:bookmarkStart w:id="149" w:name="_Toc144974505"/>
      <w:bookmarkStart w:id="150" w:name="_Toc247085696"/>
      <w:bookmarkStart w:id="151" w:name="_Toc35425060"/>
      <w:bookmarkStart w:id="152" w:name="_Toc20183"/>
      <w:bookmarkStart w:id="153" w:name="_Toc152045537"/>
      <w:bookmarkStart w:id="154" w:name="_Toc324404822"/>
      <w:bookmarkStart w:id="155" w:name="_Toc246996925"/>
      <w:bookmarkStart w:id="156" w:name="_Toc152042313"/>
      <w:bookmarkStart w:id="157" w:name="_Toc296602427"/>
      <w:bookmarkStart w:id="158" w:name="_Toc506107276"/>
      <w:bookmarkStart w:id="159" w:name="_Toc15058853"/>
      <w:bookmarkStart w:id="160" w:name="_Toc246996182"/>
      <w:bookmarkStart w:id="161" w:name="_Toc35947177"/>
      <w:bookmarkStart w:id="162" w:name="_Toc35424894"/>
      <w:bookmarkStart w:id="163" w:name="_Toc179632554"/>
      <w:r>
        <w:rPr>
          <w:rFonts w:hint="eastAsia" w:ascii="宋体" w:hAnsi="宋体" w:cs="宋体"/>
          <w:b/>
          <w:bCs/>
          <w:color w:val="auto"/>
          <w:szCs w:val="21"/>
          <w:highlight w:val="none"/>
        </w:rPr>
        <w:t>1.7 语言</w:t>
      </w:r>
      <w:bookmarkEnd w:id="149"/>
      <w:r>
        <w:rPr>
          <w:rFonts w:hint="eastAsia" w:ascii="宋体" w:hAnsi="宋体" w:cs="宋体"/>
          <w:b/>
          <w:bCs/>
          <w:color w:val="auto"/>
          <w:szCs w:val="21"/>
          <w:highlight w:val="none"/>
        </w:rPr>
        <w:t>文字</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F384756">
      <w:pPr>
        <w:spacing w:line="440" w:lineRule="atLeast"/>
        <w:ind w:firstLine="420" w:firstLineChars="200"/>
        <w:rPr>
          <w:rFonts w:hint="eastAsia" w:ascii="宋体" w:hAnsi="宋体" w:cs="宋体"/>
          <w:color w:val="auto"/>
          <w:szCs w:val="21"/>
          <w:highlight w:val="none"/>
        </w:rPr>
      </w:pPr>
      <w:bookmarkStart w:id="164" w:name="_Toc179632555"/>
      <w:bookmarkStart w:id="165" w:name="_Toc144974506"/>
      <w:bookmarkStart w:id="166" w:name="_Toc246996926"/>
      <w:bookmarkStart w:id="167" w:name="_Toc152042314"/>
      <w:bookmarkStart w:id="168" w:name="_Toc246996183"/>
      <w:bookmarkStart w:id="169" w:name="_Toc247085697"/>
      <w:bookmarkStart w:id="170" w:name="_Toc152045538"/>
      <w:r>
        <w:rPr>
          <w:rFonts w:hint="eastAsia" w:ascii="宋体" w:hAnsi="宋体" w:cs="宋体"/>
          <w:color w:val="auto"/>
          <w:szCs w:val="21"/>
          <w:highlight w:val="none"/>
        </w:rPr>
        <w:t>招标投标文件使用的语言文字为中文。专用术语使用外文的，应附有中文注释。</w:t>
      </w:r>
    </w:p>
    <w:p w14:paraId="7432A965">
      <w:pPr>
        <w:spacing w:line="440" w:lineRule="atLeast"/>
        <w:ind w:firstLine="422" w:firstLineChars="200"/>
        <w:outlineLvl w:val="2"/>
        <w:rPr>
          <w:rFonts w:hint="eastAsia" w:ascii="宋体" w:hAnsi="宋体" w:cs="宋体"/>
          <w:b/>
          <w:bCs/>
          <w:color w:val="auto"/>
          <w:szCs w:val="21"/>
          <w:highlight w:val="none"/>
        </w:rPr>
      </w:pPr>
      <w:bookmarkStart w:id="171" w:name="_Toc506107277"/>
      <w:bookmarkStart w:id="172" w:name="_Toc15058854"/>
      <w:bookmarkStart w:id="173" w:name="_Toc324404823"/>
      <w:bookmarkStart w:id="174" w:name="_Toc35947178"/>
      <w:bookmarkStart w:id="175" w:name="_Toc296602428"/>
      <w:bookmarkStart w:id="176" w:name="_Toc35425061"/>
      <w:bookmarkStart w:id="177" w:name="_Toc9140"/>
      <w:bookmarkStart w:id="178" w:name="_Toc35424895"/>
      <w:r>
        <w:rPr>
          <w:rFonts w:hint="eastAsia" w:ascii="宋体" w:hAnsi="宋体" w:cs="宋体"/>
          <w:b/>
          <w:bCs/>
          <w:color w:val="auto"/>
          <w:szCs w:val="21"/>
          <w:highlight w:val="none"/>
        </w:rPr>
        <w:t>1.8 计量单位</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15E0BEC7">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38E02204">
      <w:pPr>
        <w:spacing w:line="440" w:lineRule="atLeast"/>
        <w:ind w:firstLine="422" w:firstLineChars="200"/>
        <w:outlineLvl w:val="2"/>
        <w:rPr>
          <w:rFonts w:hint="eastAsia" w:ascii="宋体" w:hAnsi="宋体" w:cs="宋体"/>
          <w:b/>
          <w:bCs/>
          <w:color w:val="auto"/>
          <w:szCs w:val="21"/>
          <w:highlight w:val="none"/>
        </w:rPr>
      </w:pPr>
      <w:bookmarkStart w:id="179" w:name="_Toc324404824"/>
      <w:bookmarkStart w:id="180" w:name="_Toc15058855"/>
      <w:bookmarkStart w:id="181" w:name="_Toc31371"/>
      <w:bookmarkStart w:id="182" w:name="_Toc296602429"/>
      <w:bookmarkStart w:id="183" w:name="_Toc506107278"/>
      <w:bookmarkStart w:id="184" w:name="_Toc144974507"/>
      <w:bookmarkStart w:id="185" w:name="_Toc247513962"/>
      <w:bookmarkStart w:id="186" w:name="_Toc247527563"/>
      <w:bookmarkStart w:id="187" w:name="_Toc152045539"/>
      <w:bookmarkStart w:id="188" w:name="_Toc35424896"/>
      <w:bookmarkStart w:id="189" w:name="_Toc35947179"/>
      <w:bookmarkStart w:id="190" w:name="_Toc247592876"/>
      <w:bookmarkStart w:id="191" w:name="_Toc152042315"/>
      <w:bookmarkStart w:id="192" w:name="_Toc35425062"/>
      <w:r>
        <w:rPr>
          <w:rFonts w:hint="eastAsia" w:ascii="宋体" w:hAnsi="宋体" w:cs="宋体"/>
          <w:b/>
          <w:bCs/>
          <w:color w:val="auto"/>
          <w:szCs w:val="21"/>
          <w:highlight w:val="none"/>
        </w:rPr>
        <w:t>1.9 踏勘现场</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A2F931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1.9.1 投标人须知前附表规定组织踏勘现场的，招标人按投标人须知前附表规定的时间、地点组织投标人踏勘项目现场。 </w:t>
      </w:r>
    </w:p>
    <w:p w14:paraId="65EE102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7B74C18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40F33DB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01DB95E4">
      <w:pPr>
        <w:spacing w:line="440" w:lineRule="atLeast"/>
        <w:ind w:firstLine="422" w:firstLineChars="200"/>
        <w:outlineLvl w:val="2"/>
        <w:rPr>
          <w:rFonts w:hint="eastAsia" w:ascii="宋体" w:hAnsi="宋体" w:cs="宋体"/>
          <w:b/>
          <w:bCs/>
          <w:color w:val="auto"/>
          <w:szCs w:val="21"/>
          <w:highlight w:val="none"/>
        </w:rPr>
      </w:pPr>
      <w:bookmarkStart w:id="193" w:name="_Toc35425063"/>
      <w:bookmarkStart w:id="194" w:name="_Toc152042316"/>
      <w:bookmarkStart w:id="195" w:name="_Toc506107279"/>
      <w:bookmarkStart w:id="196" w:name="_Toc35947180"/>
      <w:bookmarkStart w:id="197" w:name="_Toc144974508"/>
      <w:bookmarkStart w:id="198" w:name="_Toc296602430"/>
      <w:bookmarkStart w:id="199" w:name="_Toc324404825"/>
      <w:bookmarkStart w:id="200" w:name="_Toc17067"/>
      <w:bookmarkStart w:id="201" w:name="_Toc247592877"/>
      <w:bookmarkStart w:id="202" w:name="_Toc152045540"/>
      <w:bookmarkStart w:id="203" w:name="_Toc15058856"/>
      <w:bookmarkStart w:id="204" w:name="_Toc247513963"/>
      <w:bookmarkStart w:id="205" w:name="_Toc35424897"/>
      <w:bookmarkStart w:id="206" w:name="_Toc247527564"/>
      <w:r>
        <w:rPr>
          <w:rFonts w:hint="eastAsia" w:ascii="宋体" w:hAnsi="宋体" w:cs="宋体"/>
          <w:b/>
          <w:bCs/>
          <w:color w:val="auto"/>
          <w:szCs w:val="21"/>
          <w:highlight w:val="none"/>
        </w:rPr>
        <w:t>1.10 投标预备会</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4E75B77">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0497497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700C20AB">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1.10.3招标人在投标人须知前附表规定的时间，将对投标人所提的问题进行澄清。该澄清内容为</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w:t>
      </w:r>
    </w:p>
    <w:p w14:paraId="7E8BD697">
      <w:pPr>
        <w:spacing w:line="440" w:lineRule="atLeast"/>
        <w:ind w:firstLine="422" w:firstLineChars="200"/>
        <w:outlineLvl w:val="2"/>
        <w:rPr>
          <w:rFonts w:hint="eastAsia" w:ascii="宋体" w:hAnsi="宋体" w:cs="宋体"/>
          <w:b/>
          <w:bCs/>
          <w:color w:val="auto"/>
          <w:szCs w:val="21"/>
          <w:highlight w:val="none"/>
        </w:rPr>
      </w:pPr>
      <w:bookmarkStart w:id="207" w:name="_Toc35425064"/>
      <w:bookmarkStart w:id="208" w:name="_Toc324404826"/>
      <w:bookmarkStart w:id="209" w:name="_Toc296602431"/>
      <w:bookmarkStart w:id="210" w:name="_Toc35424898"/>
      <w:bookmarkStart w:id="211" w:name="_Toc15058857"/>
      <w:bookmarkStart w:id="212" w:name="_Toc23950"/>
      <w:bookmarkStart w:id="213" w:name="_Toc506107280"/>
      <w:bookmarkStart w:id="214" w:name="_Toc35947181"/>
      <w:r>
        <w:rPr>
          <w:rFonts w:hint="eastAsia" w:ascii="宋体" w:hAnsi="宋体" w:cs="宋体"/>
          <w:b/>
          <w:bCs/>
          <w:color w:val="auto"/>
          <w:szCs w:val="21"/>
          <w:highlight w:val="none"/>
        </w:rPr>
        <w:t>1.11 偏离</w:t>
      </w:r>
      <w:bookmarkEnd w:id="207"/>
      <w:bookmarkEnd w:id="208"/>
      <w:bookmarkEnd w:id="209"/>
      <w:bookmarkEnd w:id="210"/>
      <w:bookmarkEnd w:id="211"/>
      <w:bookmarkEnd w:id="212"/>
      <w:bookmarkEnd w:id="213"/>
      <w:bookmarkEnd w:id="214"/>
    </w:p>
    <w:p w14:paraId="11D1E4A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投标人须知前附表允许投标文件偏离</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某些要求的，偏离应当符合</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规定的偏离范围和幅度。</w:t>
      </w:r>
    </w:p>
    <w:p w14:paraId="0C58E970">
      <w:pPr>
        <w:pStyle w:val="6"/>
        <w:bidi w:val="0"/>
        <w:rPr>
          <w:rFonts w:hint="eastAsia"/>
          <w:color w:val="auto"/>
          <w:highlight w:val="none"/>
        </w:rPr>
      </w:pPr>
      <w:bookmarkStart w:id="215" w:name="_Toc15058858"/>
      <w:bookmarkStart w:id="216" w:name="_Toc35947182"/>
      <w:bookmarkStart w:id="217" w:name="_Toc152042318"/>
      <w:bookmarkStart w:id="218" w:name="_Toc144974510"/>
      <w:bookmarkStart w:id="219" w:name="_Toc324404827"/>
      <w:bookmarkStart w:id="220" w:name="_Toc26510"/>
      <w:bookmarkStart w:id="221" w:name="_Toc506107281"/>
      <w:bookmarkStart w:id="222" w:name="_Toc247085701"/>
      <w:bookmarkStart w:id="223" w:name="_Toc152045542"/>
      <w:bookmarkStart w:id="224" w:name="_Toc246996930"/>
      <w:bookmarkStart w:id="225" w:name="_Toc246996187"/>
      <w:bookmarkStart w:id="226" w:name="_Toc35425065"/>
      <w:bookmarkStart w:id="227" w:name="_Toc35424899"/>
      <w:bookmarkStart w:id="228" w:name="_Toc179632560"/>
      <w:bookmarkStart w:id="229" w:name="_Toc5229"/>
      <w:r>
        <w:rPr>
          <w:rFonts w:hint="eastAsia"/>
          <w:color w:val="auto"/>
          <w:highlight w:val="none"/>
        </w:rPr>
        <w:t xml:space="preserve">2. </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Fonts w:hint="eastAsia"/>
          <w:color w:val="auto"/>
          <w:highlight w:val="none"/>
          <w:lang w:val="en-US" w:eastAsia="zh-CN"/>
        </w:rPr>
        <w:t>招标文件</w:t>
      </w:r>
      <w:bookmarkEnd w:id="229"/>
    </w:p>
    <w:p w14:paraId="568E4D2D">
      <w:pPr>
        <w:spacing w:line="440" w:lineRule="atLeast"/>
        <w:ind w:firstLine="422" w:firstLineChars="200"/>
        <w:outlineLvl w:val="2"/>
        <w:rPr>
          <w:rFonts w:hint="eastAsia" w:ascii="宋体" w:hAnsi="宋体" w:cs="宋体"/>
          <w:b/>
          <w:bCs/>
          <w:color w:val="auto"/>
          <w:szCs w:val="21"/>
          <w:highlight w:val="none"/>
        </w:rPr>
      </w:pPr>
      <w:bookmarkStart w:id="230" w:name="_Toc152045543"/>
      <w:bookmarkStart w:id="231" w:name="_Toc246996931"/>
      <w:bookmarkStart w:id="232" w:name="_Toc144974511"/>
      <w:bookmarkStart w:id="233" w:name="_Toc35425066"/>
      <w:bookmarkStart w:id="234" w:name="_Toc246996188"/>
      <w:bookmarkStart w:id="235" w:name="_Toc247085702"/>
      <w:bookmarkStart w:id="236" w:name="_Toc296602433"/>
      <w:bookmarkStart w:id="237" w:name="_Toc179632561"/>
      <w:bookmarkStart w:id="238" w:name="_Toc23619"/>
      <w:bookmarkStart w:id="239" w:name="_Toc15058859"/>
      <w:bookmarkStart w:id="240" w:name="_Toc152042319"/>
      <w:bookmarkStart w:id="241" w:name="_Toc35947183"/>
      <w:bookmarkStart w:id="242" w:name="_Toc324404828"/>
      <w:bookmarkStart w:id="243" w:name="_Toc506107282"/>
      <w:bookmarkStart w:id="244" w:name="_Toc35424900"/>
      <w:r>
        <w:rPr>
          <w:rFonts w:hint="eastAsia" w:ascii="宋体" w:hAnsi="宋体" w:cs="宋体"/>
          <w:b/>
          <w:bCs/>
          <w:color w:val="auto"/>
          <w:szCs w:val="21"/>
          <w:highlight w:val="none"/>
        </w:rPr>
        <w:t xml:space="preserve">2.1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的组成</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0AD8BD6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本</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包括：</w:t>
      </w:r>
    </w:p>
    <w:p w14:paraId="2C54055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（1）投标人须知；</w:t>
      </w:r>
    </w:p>
    <w:p w14:paraId="3B9DFCB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（2）评标办法</w:t>
      </w:r>
    </w:p>
    <w:p w14:paraId="45291D6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服务内容及要求</w:t>
      </w:r>
      <w:r>
        <w:rPr>
          <w:rFonts w:hint="eastAsia" w:ascii="宋体" w:hAnsi="宋体" w:cs="宋体"/>
          <w:color w:val="auto"/>
          <w:szCs w:val="21"/>
          <w:highlight w:val="none"/>
        </w:rPr>
        <w:t>；</w:t>
      </w:r>
    </w:p>
    <w:p w14:paraId="0816582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（4）合同条款及格式；</w:t>
      </w:r>
    </w:p>
    <w:p w14:paraId="5203DB5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（5）投标文件格式；</w:t>
      </w:r>
    </w:p>
    <w:p w14:paraId="43AD704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（6）投标人须知前附表规定的其他材料。</w:t>
      </w:r>
    </w:p>
    <w:p w14:paraId="2763370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所作的澄清、修改，构成</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w:t>
      </w:r>
    </w:p>
    <w:p w14:paraId="280FB60D">
      <w:pPr>
        <w:spacing w:line="440" w:lineRule="atLeast"/>
        <w:ind w:firstLine="422" w:firstLineChars="200"/>
        <w:outlineLvl w:val="2"/>
        <w:rPr>
          <w:rFonts w:hint="eastAsia" w:ascii="宋体" w:hAnsi="宋体" w:cs="宋体"/>
          <w:b/>
          <w:bCs/>
          <w:color w:val="auto"/>
          <w:szCs w:val="21"/>
          <w:highlight w:val="none"/>
        </w:rPr>
      </w:pPr>
      <w:bookmarkStart w:id="245" w:name="_Toc152045544"/>
      <w:bookmarkStart w:id="246" w:name="_Toc15058860"/>
      <w:bookmarkStart w:id="247" w:name="_Toc296602434"/>
      <w:bookmarkStart w:id="248" w:name="_Toc144974512"/>
      <w:bookmarkStart w:id="249" w:name="_Toc7670"/>
      <w:bookmarkStart w:id="250" w:name="_Toc506107283"/>
      <w:bookmarkStart w:id="251" w:name="_Toc35424901"/>
      <w:bookmarkStart w:id="252" w:name="_Toc179632562"/>
      <w:bookmarkStart w:id="253" w:name="_Toc247085703"/>
      <w:bookmarkStart w:id="254" w:name="_Toc35425067"/>
      <w:bookmarkStart w:id="255" w:name="_Toc246996189"/>
      <w:bookmarkStart w:id="256" w:name="_Toc152042320"/>
      <w:bookmarkStart w:id="257" w:name="_Toc35947184"/>
      <w:bookmarkStart w:id="258" w:name="_Toc246996932"/>
      <w:bookmarkStart w:id="259" w:name="_Toc324404829"/>
      <w:r>
        <w:rPr>
          <w:rFonts w:hint="eastAsia" w:ascii="宋体" w:hAnsi="宋体" w:cs="宋体"/>
          <w:b/>
          <w:bCs/>
          <w:color w:val="auto"/>
          <w:szCs w:val="21"/>
          <w:highlight w:val="none"/>
        </w:rPr>
        <w:t xml:space="preserve">2.2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的澄清</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Fonts w:hint="eastAsia" w:ascii="宋体" w:hAnsi="宋体" w:cs="宋体"/>
          <w:b/>
          <w:bCs/>
          <w:color w:val="auto"/>
          <w:szCs w:val="21"/>
          <w:highlight w:val="none"/>
        </w:rPr>
        <w:t xml:space="preserve"> </w:t>
      </w:r>
    </w:p>
    <w:p w14:paraId="2451567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 投标人应仔细阅读和检查</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的全部内容。如有疑问，应在投标人须知前附表规定的时间前以网上邮件或书面形式（包括信函、电报、传真等可以有形地表现所载内容的形式，下同），要求招标人对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予以澄清。</w:t>
      </w:r>
    </w:p>
    <w:p w14:paraId="6F34780B">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2.2.2 </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的澄清将在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w:t>
      </w:r>
      <w:bookmarkStart w:id="730" w:name="_GoBack"/>
      <w:bookmarkEnd w:id="730"/>
      <w:r>
        <w:rPr>
          <w:rFonts w:hint="eastAsia" w:ascii="宋体" w:hAnsi="宋体" w:cs="宋体"/>
          <w:color w:val="auto"/>
          <w:szCs w:val="21"/>
          <w:highlight w:val="none"/>
          <w:lang w:eastAsia="zh-CN"/>
        </w:rPr>
        <w:t>https://www.lysfjq.cn/</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网站发布，但不指明澄清问题的来源。</w:t>
      </w:r>
    </w:p>
    <w:p w14:paraId="2EA59474">
      <w:pPr>
        <w:spacing w:line="440" w:lineRule="atLeast"/>
        <w:ind w:firstLine="422" w:firstLineChars="200"/>
        <w:outlineLvl w:val="2"/>
        <w:rPr>
          <w:rFonts w:hint="eastAsia" w:ascii="宋体" w:hAnsi="宋体" w:cs="宋体"/>
          <w:b/>
          <w:bCs/>
          <w:color w:val="auto"/>
          <w:szCs w:val="21"/>
          <w:highlight w:val="none"/>
        </w:rPr>
      </w:pPr>
      <w:bookmarkStart w:id="260" w:name="_Toc179632563"/>
      <w:bookmarkStart w:id="261" w:name="_Toc15058861"/>
      <w:bookmarkStart w:id="262" w:name="_Toc247085704"/>
      <w:bookmarkStart w:id="263" w:name="_Toc246996190"/>
      <w:bookmarkStart w:id="264" w:name="_Toc152042321"/>
      <w:bookmarkStart w:id="265" w:name="_Toc296602435"/>
      <w:bookmarkStart w:id="266" w:name="_Toc506107284"/>
      <w:bookmarkStart w:id="267" w:name="_Toc12699"/>
      <w:bookmarkStart w:id="268" w:name="_Toc246996933"/>
      <w:bookmarkStart w:id="269" w:name="_Toc144974513"/>
      <w:bookmarkStart w:id="270" w:name="_Toc35425068"/>
      <w:bookmarkStart w:id="271" w:name="_Toc324404830"/>
      <w:bookmarkStart w:id="272" w:name="_Toc35424902"/>
      <w:bookmarkStart w:id="273" w:name="_Toc152045545"/>
      <w:bookmarkStart w:id="274" w:name="_Toc35947185"/>
      <w:r>
        <w:rPr>
          <w:rFonts w:hint="eastAsia" w:ascii="宋体" w:hAnsi="宋体" w:cs="宋体"/>
          <w:b/>
          <w:bCs/>
          <w:color w:val="auto"/>
          <w:szCs w:val="21"/>
          <w:highlight w:val="none"/>
        </w:rPr>
        <w:t xml:space="preserve">2.3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的修改</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0AB613D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招标人可以修改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，并以澄清的方式在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w:t>
      </w:r>
      <w:r>
        <w:rPr>
          <w:rFonts w:hint="eastAsia" w:ascii="宋体" w:hAnsi="宋体" w:cs="宋体"/>
          <w:color w:val="auto"/>
          <w:szCs w:val="21"/>
          <w:highlight w:val="none"/>
          <w:lang w:eastAsia="zh-CN"/>
        </w:rPr>
        <w:t>https://www.lysfjq.cn/</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网</w:t>
      </w:r>
      <w:r>
        <w:rPr>
          <w:rFonts w:hint="eastAsia" w:ascii="宋体" w:hAnsi="宋体" w:cs="宋体"/>
          <w:color w:val="auto"/>
          <w:szCs w:val="21"/>
          <w:highlight w:val="none"/>
          <w:lang w:val="en-US" w:eastAsia="zh-CN"/>
        </w:rPr>
        <w:t>站</w:t>
      </w:r>
      <w:r>
        <w:rPr>
          <w:rFonts w:hint="eastAsia" w:ascii="宋体" w:hAnsi="宋体" w:cs="宋体"/>
          <w:color w:val="auto"/>
          <w:szCs w:val="21"/>
          <w:highlight w:val="none"/>
        </w:rPr>
        <w:t>发布。</w:t>
      </w:r>
    </w:p>
    <w:p w14:paraId="787DCF6F">
      <w:pPr>
        <w:spacing w:line="440" w:lineRule="atLeast"/>
        <w:ind w:firstLine="422" w:firstLineChars="200"/>
        <w:outlineLvl w:val="2"/>
        <w:rPr>
          <w:rFonts w:hint="eastAsia" w:ascii="宋体" w:hAnsi="宋体" w:cs="宋体"/>
          <w:b/>
          <w:bCs/>
          <w:color w:val="auto"/>
          <w:szCs w:val="21"/>
          <w:highlight w:val="none"/>
        </w:rPr>
      </w:pPr>
      <w:bookmarkStart w:id="275" w:name="_Toc324404831"/>
      <w:bookmarkStart w:id="276" w:name="_Toc35424903"/>
      <w:bookmarkStart w:id="277" w:name="_Toc35947186"/>
      <w:bookmarkStart w:id="278" w:name="_Toc35425069"/>
      <w:bookmarkStart w:id="279" w:name="_Toc992"/>
      <w:bookmarkStart w:id="280" w:name="_Toc15058862"/>
      <w:r>
        <w:rPr>
          <w:rFonts w:hint="eastAsia" w:ascii="宋体" w:hAnsi="宋体" w:cs="宋体"/>
          <w:b/>
          <w:bCs/>
          <w:color w:val="auto"/>
          <w:szCs w:val="21"/>
          <w:highlight w:val="none"/>
        </w:rPr>
        <w:t>2.4</w:t>
      </w:r>
      <w:bookmarkEnd w:id="275"/>
      <w:r>
        <w:rPr>
          <w:rFonts w:hint="eastAsia" w:ascii="宋体" w:hAnsi="宋体" w:cs="宋体"/>
          <w:b/>
          <w:bCs/>
          <w:color w:val="auto"/>
          <w:szCs w:val="21"/>
          <w:highlight w:val="none"/>
        </w:rPr>
        <w:t>最高投标限价</w:t>
      </w:r>
      <w:bookmarkEnd w:id="276"/>
      <w:bookmarkEnd w:id="277"/>
      <w:bookmarkEnd w:id="278"/>
      <w:bookmarkEnd w:id="279"/>
      <w:bookmarkEnd w:id="280"/>
    </w:p>
    <w:p w14:paraId="2D773AD6">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2.4.1最高投标限价的作用和说明</w:t>
      </w:r>
    </w:p>
    <w:p w14:paraId="53C39609">
      <w:pPr>
        <w:spacing w:line="440" w:lineRule="exact"/>
        <w:ind w:firstLine="420" w:firstLineChars="200"/>
        <w:rPr>
          <w:rFonts w:hint="eastAsia"/>
          <w:color w:val="auto"/>
          <w:highlight w:val="none"/>
        </w:rPr>
      </w:pPr>
      <w:r>
        <w:rPr>
          <w:rFonts w:hint="eastAsia" w:ascii="宋体" w:hAnsi="宋体"/>
          <w:color w:val="auto"/>
          <w:szCs w:val="21"/>
          <w:highlight w:val="none"/>
        </w:rPr>
        <w:t>（1）</w:t>
      </w:r>
      <w:r>
        <w:rPr>
          <w:rFonts w:hint="eastAsia"/>
          <w:color w:val="auto"/>
          <w:highlight w:val="none"/>
        </w:rPr>
        <w:t>投标人的投标报价不得超过最高投标限价，最高投标限价的发布时间及方式在投标人须知前附表中载明。</w:t>
      </w:r>
    </w:p>
    <w:p w14:paraId="30A76B00">
      <w:pPr>
        <w:spacing w:line="44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（2）投标人对最高投标限价有异议的，可在</w:t>
      </w:r>
      <w:r>
        <w:rPr>
          <w:rFonts w:hint="eastAsia"/>
          <w:color w:val="auto"/>
          <w:highlight w:val="none"/>
        </w:rPr>
        <w:t>投标人须知前附表规定的时间内向招标人提出异议，</w:t>
      </w:r>
      <w:r>
        <w:rPr>
          <w:rFonts w:hint="eastAsia" w:ascii="宋体" w:hAnsi="宋体"/>
          <w:color w:val="auto"/>
          <w:szCs w:val="21"/>
          <w:highlight w:val="none"/>
        </w:rPr>
        <w:t>未在规定时间内提出异议的或投标人提出异议经招标人复核后的最高投标限价，视为合理有效。</w:t>
      </w:r>
    </w:p>
    <w:p w14:paraId="37491C2F">
      <w:pPr>
        <w:pStyle w:val="6"/>
        <w:bidi w:val="0"/>
        <w:spacing w:line="240" w:lineRule="auto"/>
        <w:rPr>
          <w:rFonts w:hint="eastAsia"/>
          <w:color w:val="auto"/>
          <w:highlight w:val="none"/>
        </w:rPr>
      </w:pPr>
      <w:bookmarkStart w:id="281" w:name="_Toc19969"/>
      <w:bookmarkStart w:id="282" w:name="_Toc506107285"/>
      <w:bookmarkStart w:id="283" w:name="_Toc35947187"/>
      <w:bookmarkStart w:id="284" w:name="_Toc15058863"/>
      <w:bookmarkStart w:id="285" w:name="_Toc35425070"/>
      <w:bookmarkStart w:id="286" w:name="_Toc24360"/>
      <w:bookmarkStart w:id="287" w:name="_Toc35424904"/>
      <w:r>
        <w:rPr>
          <w:rFonts w:hint="eastAsia"/>
          <w:color w:val="auto"/>
          <w:highlight w:val="none"/>
        </w:rPr>
        <w:t>3. 投标文件</w:t>
      </w:r>
      <w:bookmarkEnd w:id="281"/>
      <w:bookmarkEnd w:id="282"/>
      <w:bookmarkEnd w:id="283"/>
      <w:bookmarkEnd w:id="284"/>
      <w:bookmarkEnd w:id="285"/>
      <w:bookmarkEnd w:id="286"/>
      <w:bookmarkEnd w:id="287"/>
    </w:p>
    <w:p w14:paraId="609717A7">
      <w:pPr>
        <w:spacing w:line="440" w:lineRule="atLeast"/>
        <w:ind w:firstLine="422" w:firstLineChars="200"/>
        <w:outlineLvl w:val="2"/>
        <w:rPr>
          <w:rFonts w:hint="eastAsia" w:ascii="宋体" w:hAnsi="宋体" w:cs="宋体"/>
          <w:b/>
          <w:bCs/>
          <w:color w:val="auto"/>
          <w:szCs w:val="21"/>
          <w:highlight w:val="none"/>
        </w:rPr>
      </w:pPr>
      <w:bookmarkStart w:id="288" w:name="_Toc10744"/>
      <w:bookmarkStart w:id="289" w:name="_Toc506107286"/>
      <w:bookmarkStart w:id="290" w:name="_Toc35425071"/>
      <w:bookmarkStart w:id="291" w:name="_Toc35424905"/>
      <w:bookmarkStart w:id="292" w:name="_Toc35947188"/>
      <w:bookmarkStart w:id="293" w:name="_Toc15058864"/>
      <w:r>
        <w:rPr>
          <w:rFonts w:hint="eastAsia" w:ascii="宋体" w:hAnsi="宋体" w:cs="宋体"/>
          <w:b/>
          <w:bCs/>
          <w:color w:val="auto"/>
          <w:szCs w:val="21"/>
          <w:highlight w:val="none"/>
        </w:rPr>
        <w:t>3.1 投标文件的组成</w:t>
      </w:r>
      <w:bookmarkEnd w:id="288"/>
      <w:bookmarkEnd w:id="289"/>
      <w:bookmarkEnd w:id="290"/>
      <w:bookmarkEnd w:id="291"/>
      <w:bookmarkEnd w:id="292"/>
      <w:bookmarkEnd w:id="293"/>
    </w:p>
    <w:p w14:paraId="1215CAA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投标文件由资信证明文件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商务标</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部分组成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具体见第五章投标文件格式。</w:t>
      </w:r>
    </w:p>
    <w:p w14:paraId="4B23E52A">
      <w:pPr>
        <w:spacing w:line="440" w:lineRule="atLeast"/>
        <w:ind w:firstLine="422" w:firstLineChars="200"/>
        <w:outlineLvl w:val="2"/>
        <w:rPr>
          <w:rFonts w:hint="eastAsia" w:ascii="宋体" w:hAnsi="宋体" w:cs="宋体"/>
          <w:b/>
          <w:bCs/>
          <w:color w:val="auto"/>
          <w:szCs w:val="21"/>
          <w:highlight w:val="none"/>
        </w:rPr>
      </w:pPr>
      <w:bookmarkStart w:id="294" w:name="_Toc152045548"/>
      <w:bookmarkStart w:id="295" w:name="_Toc506107287"/>
      <w:bookmarkStart w:id="296" w:name="_Toc35424906"/>
      <w:bookmarkStart w:id="297" w:name="_Toc247085707"/>
      <w:bookmarkStart w:id="298" w:name="_Toc144974516"/>
      <w:bookmarkStart w:id="299" w:name="_Toc324404834"/>
      <w:bookmarkStart w:id="300" w:name="_Toc35947189"/>
      <w:bookmarkStart w:id="301" w:name="_Toc152042324"/>
      <w:bookmarkStart w:id="302" w:name="_Toc246996936"/>
      <w:bookmarkStart w:id="303" w:name="_Toc35425072"/>
      <w:bookmarkStart w:id="304" w:name="_Toc246996193"/>
      <w:bookmarkStart w:id="305" w:name="_Toc296602438"/>
      <w:bookmarkStart w:id="306" w:name="_Toc179632566"/>
      <w:bookmarkStart w:id="307" w:name="_Toc31424"/>
      <w:bookmarkStart w:id="308" w:name="_Toc15058865"/>
      <w:r>
        <w:rPr>
          <w:rFonts w:hint="eastAsia" w:ascii="宋体" w:hAnsi="宋体" w:cs="宋体"/>
          <w:b/>
          <w:bCs/>
          <w:color w:val="auto"/>
          <w:szCs w:val="21"/>
          <w:highlight w:val="none"/>
        </w:rPr>
        <w:t>3.2 投标报价</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60DD14BF">
      <w:pPr>
        <w:spacing w:line="440" w:lineRule="exact"/>
        <w:ind w:firstLine="420" w:firstLineChars="200"/>
        <w:rPr>
          <w:rFonts w:hint="eastAsia" w:ascii="宋体" w:hAnsi="宋体"/>
          <w:color w:val="auto"/>
          <w:highlight w:val="none"/>
        </w:rPr>
      </w:pPr>
      <w:bookmarkStart w:id="309" w:name="_Toc144974517"/>
      <w:bookmarkStart w:id="310" w:name="_Toc324404835"/>
      <w:bookmarkStart w:id="311" w:name="_Toc246996194"/>
      <w:bookmarkStart w:id="312" w:name="_Toc179632567"/>
      <w:bookmarkStart w:id="313" w:name="_Toc296602439"/>
      <w:bookmarkStart w:id="314" w:name="_Toc152042325"/>
      <w:bookmarkStart w:id="315" w:name="_Toc247085708"/>
      <w:bookmarkStart w:id="316" w:name="_Toc152045549"/>
      <w:bookmarkStart w:id="317" w:name="_Toc246996937"/>
      <w:r>
        <w:rPr>
          <w:rFonts w:hint="eastAsia" w:ascii="宋体" w:hAnsi="宋体"/>
          <w:color w:val="auto"/>
          <w:highlight w:val="none"/>
        </w:rPr>
        <w:t>3.2.1 投标人的投标报价不得超过最高投标限价，最高投标限价的发布时间及方式在投标人须知前附表中载明。</w:t>
      </w:r>
    </w:p>
    <w:p w14:paraId="4D88DEF9">
      <w:pPr>
        <w:spacing w:line="440" w:lineRule="exact"/>
        <w:ind w:firstLine="420" w:firstLineChars="200"/>
        <w:rPr>
          <w:rFonts w:hint="eastAsia" w:ascii="宋体" w:hAnsi="宋体"/>
          <w:color w:val="auto"/>
          <w:highlight w:val="none"/>
        </w:rPr>
      </w:pPr>
      <w:r>
        <w:rPr>
          <w:rFonts w:hint="eastAsia" w:ascii="宋体" w:hAnsi="宋体"/>
          <w:color w:val="auto"/>
          <w:highlight w:val="none"/>
        </w:rPr>
        <w:t>3.2.2投标报价应由法定代表人或被授权人签署。</w:t>
      </w:r>
    </w:p>
    <w:p w14:paraId="2D2013DB">
      <w:pPr>
        <w:spacing w:line="440" w:lineRule="exact"/>
        <w:ind w:left="15" w:leftChars="7" w:firstLine="420" w:firstLineChars="200"/>
        <w:rPr>
          <w:rFonts w:hint="eastAsia" w:ascii="宋体" w:hAnsi="宋体"/>
          <w:color w:val="auto"/>
          <w:highlight w:val="none"/>
        </w:rPr>
      </w:pPr>
      <w:r>
        <w:rPr>
          <w:rFonts w:hint="eastAsia" w:ascii="宋体" w:hAnsi="宋体"/>
          <w:color w:val="auto"/>
          <w:highlight w:val="none"/>
        </w:rPr>
        <w:t>3.2.3投标人的投标报价应为项目招标范围内所提供的全部服务工作内容所需的全部费用，包含所有成本、利润和税金等全部费用。</w:t>
      </w:r>
    </w:p>
    <w:p w14:paraId="416749DC">
      <w:pPr>
        <w:spacing w:line="440" w:lineRule="atLeast"/>
        <w:ind w:firstLine="422" w:firstLineChars="200"/>
        <w:outlineLvl w:val="2"/>
        <w:rPr>
          <w:rFonts w:hint="eastAsia" w:ascii="宋体" w:hAnsi="宋体" w:cs="宋体"/>
          <w:b/>
          <w:bCs/>
          <w:color w:val="auto"/>
          <w:szCs w:val="21"/>
          <w:highlight w:val="none"/>
        </w:rPr>
      </w:pPr>
      <w:bookmarkStart w:id="318" w:name="_Toc506107288"/>
      <w:bookmarkStart w:id="319" w:name="_Toc35424907"/>
      <w:bookmarkStart w:id="320" w:name="_Toc24368"/>
      <w:bookmarkStart w:id="321" w:name="_Toc35425073"/>
      <w:bookmarkStart w:id="322" w:name="_Toc35947190"/>
      <w:bookmarkStart w:id="323" w:name="_Toc15058866"/>
      <w:r>
        <w:rPr>
          <w:rFonts w:hint="eastAsia" w:ascii="宋体" w:hAnsi="宋体" w:cs="宋体"/>
          <w:b/>
          <w:bCs/>
          <w:color w:val="auto"/>
          <w:szCs w:val="21"/>
          <w:highlight w:val="none"/>
        </w:rPr>
        <w:t>3.3 投标有效期</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206DB36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0天。</w:t>
      </w:r>
    </w:p>
    <w:p w14:paraId="5FDFFD1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和法律规定的责任。</w:t>
      </w:r>
    </w:p>
    <w:p w14:paraId="7122901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CEF0BED">
      <w:pPr>
        <w:spacing w:line="440" w:lineRule="atLeast"/>
        <w:ind w:firstLine="422" w:firstLineChars="200"/>
        <w:outlineLvl w:val="2"/>
        <w:rPr>
          <w:rFonts w:hint="eastAsia" w:ascii="宋体" w:hAnsi="宋体" w:eastAsia="宋体" w:cs="宋体"/>
          <w:b/>
          <w:bCs/>
          <w:color w:val="auto"/>
          <w:szCs w:val="21"/>
          <w:highlight w:val="none"/>
          <w:lang w:eastAsia="zh-CN"/>
        </w:rPr>
      </w:pPr>
      <w:bookmarkStart w:id="324" w:name="_Toc15058867"/>
      <w:bookmarkStart w:id="325" w:name="_Toc247085709"/>
      <w:bookmarkStart w:id="326" w:name="_Toc246996938"/>
      <w:bookmarkStart w:id="327" w:name="_Toc35425074"/>
      <w:bookmarkStart w:id="328" w:name="_Toc324404836"/>
      <w:bookmarkStart w:id="329" w:name="_Toc11832"/>
      <w:bookmarkStart w:id="330" w:name="_Toc35424908"/>
      <w:bookmarkStart w:id="331" w:name="_Toc152045550"/>
      <w:bookmarkStart w:id="332" w:name="_Toc246996195"/>
      <w:bookmarkStart w:id="333" w:name="_Toc152042326"/>
      <w:bookmarkStart w:id="334" w:name="_Toc506107289"/>
      <w:bookmarkStart w:id="335" w:name="_Toc179632568"/>
      <w:bookmarkStart w:id="336" w:name="_Toc144974518"/>
      <w:bookmarkStart w:id="337" w:name="_Toc35947191"/>
      <w:bookmarkStart w:id="338" w:name="_Toc296602440"/>
      <w:r>
        <w:rPr>
          <w:rFonts w:hint="eastAsia" w:ascii="宋体" w:hAnsi="宋体" w:cs="宋体"/>
          <w:b/>
          <w:bCs/>
          <w:color w:val="auto"/>
          <w:szCs w:val="21"/>
          <w:highlight w:val="none"/>
        </w:rPr>
        <w:t>3.4 投标保证金</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本项目不采用</w:t>
      </w:r>
      <w:r>
        <w:rPr>
          <w:rFonts w:hint="eastAsia" w:ascii="宋体" w:hAnsi="宋体" w:cs="宋体"/>
          <w:b/>
          <w:bCs/>
          <w:color w:val="auto"/>
          <w:szCs w:val="21"/>
          <w:highlight w:val="none"/>
          <w:lang w:eastAsia="zh-CN"/>
        </w:rPr>
        <w:t>）</w:t>
      </w:r>
    </w:p>
    <w:p w14:paraId="2752736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 投标人须知前附表规定递交投标保证金的，投标人在递交投标文件的同时，应按投标人须知前附表规定的金额格式递交保证金，并作为其投标文件的组成部分。</w:t>
      </w:r>
    </w:p>
    <w:p w14:paraId="00FF819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 投标人不按本章第3.4.1项要求提交保证金的，评标委员会将否决其投标。</w:t>
      </w:r>
    </w:p>
    <w:p w14:paraId="7A4BB0F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3.4.3未中标单位的投标保证金</w:t>
      </w:r>
      <w:r>
        <w:rPr>
          <w:rFonts w:hint="eastAsia" w:ascii="宋体" w:hAnsi="宋体" w:cs="宋体"/>
          <w:color w:val="auto"/>
          <w:szCs w:val="21"/>
          <w:highlight w:val="none"/>
          <w:lang w:val="en-US" w:eastAsia="zh-CN"/>
        </w:rPr>
        <w:t>当场退还</w:t>
      </w:r>
      <w:r>
        <w:rPr>
          <w:rFonts w:hint="eastAsia" w:ascii="宋体" w:hAnsi="宋体" w:cs="宋体"/>
          <w:color w:val="auto"/>
          <w:szCs w:val="21"/>
          <w:highlight w:val="none"/>
        </w:rPr>
        <w:t>，中标人的投标保证金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待合同签订后退还</w:t>
      </w:r>
      <w:r>
        <w:rPr>
          <w:rFonts w:hint="eastAsia" w:ascii="宋体" w:hAnsi="宋体" w:cs="宋体"/>
          <w:color w:val="auto"/>
          <w:szCs w:val="21"/>
          <w:highlight w:val="none"/>
        </w:rPr>
        <w:t>。</w:t>
      </w:r>
    </w:p>
    <w:p w14:paraId="44DE432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3.4.4 有下列情形之一的，投标保证金将不予退还： </w:t>
      </w:r>
    </w:p>
    <w:p w14:paraId="198C908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（1）投标人在规定的投标有效期内撤销或修改其投标文件；</w:t>
      </w:r>
    </w:p>
    <w:p w14:paraId="5A89AE5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（2）中标人在收到中标通知书后，无正当理由拒签合同协议书或未按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规定提交履约担保。</w:t>
      </w:r>
    </w:p>
    <w:p w14:paraId="323A726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（3）投标人在投标中存在弄虚作假、串通投标等违法行为的；</w:t>
      </w:r>
    </w:p>
    <w:p w14:paraId="2ACB5E03">
      <w:pPr>
        <w:spacing w:line="440" w:lineRule="atLeast"/>
        <w:ind w:firstLine="422" w:firstLineChars="200"/>
        <w:outlineLvl w:val="2"/>
        <w:rPr>
          <w:rFonts w:hint="eastAsia" w:ascii="宋体" w:hAnsi="宋体" w:cs="宋体"/>
          <w:b/>
          <w:bCs/>
          <w:color w:val="auto"/>
          <w:szCs w:val="21"/>
          <w:highlight w:val="none"/>
        </w:rPr>
      </w:pPr>
      <w:bookmarkStart w:id="339" w:name="_Toc296602442"/>
      <w:bookmarkStart w:id="340" w:name="_Toc506107290"/>
      <w:bookmarkStart w:id="341" w:name="_Toc15058868"/>
      <w:bookmarkStart w:id="342" w:name="_Toc2570"/>
      <w:bookmarkStart w:id="343" w:name="_Toc35425075"/>
      <w:bookmarkStart w:id="344" w:name="_Toc35424909"/>
      <w:bookmarkStart w:id="345" w:name="_Toc324404837"/>
      <w:bookmarkStart w:id="346" w:name="_Toc35947192"/>
      <w:bookmarkStart w:id="347" w:name="_Toc246996940"/>
      <w:bookmarkStart w:id="348" w:name="_Toc152042329"/>
      <w:bookmarkStart w:id="349" w:name="_Toc144974521"/>
      <w:bookmarkStart w:id="350" w:name="_Toc152045553"/>
      <w:bookmarkStart w:id="351" w:name="_Toc246996197"/>
      <w:bookmarkStart w:id="352" w:name="_Toc179632571"/>
      <w:bookmarkStart w:id="353" w:name="_Toc247085711"/>
      <w:r>
        <w:rPr>
          <w:rFonts w:hint="eastAsia" w:ascii="宋体" w:hAnsi="宋体" w:cs="宋体"/>
          <w:b/>
          <w:bCs/>
          <w:color w:val="auto"/>
          <w:szCs w:val="21"/>
          <w:highlight w:val="none"/>
        </w:rPr>
        <w:t>3.5投标文件的编制</w:t>
      </w:r>
      <w:bookmarkEnd w:id="339"/>
      <w:bookmarkEnd w:id="340"/>
      <w:bookmarkEnd w:id="341"/>
      <w:bookmarkEnd w:id="342"/>
      <w:bookmarkEnd w:id="343"/>
      <w:bookmarkEnd w:id="344"/>
      <w:bookmarkEnd w:id="345"/>
      <w:bookmarkEnd w:id="346"/>
    </w:p>
    <w:bookmarkEnd w:id="347"/>
    <w:bookmarkEnd w:id="348"/>
    <w:bookmarkEnd w:id="349"/>
    <w:bookmarkEnd w:id="350"/>
    <w:bookmarkEnd w:id="351"/>
    <w:bookmarkEnd w:id="352"/>
    <w:bookmarkEnd w:id="353"/>
    <w:p w14:paraId="57F7EAB0">
      <w:pPr>
        <w:spacing w:line="440" w:lineRule="atLeast"/>
        <w:ind w:firstLine="420" w:firstLineChars="200"/>
        <w:rPr>
          <w:rFonts w:hint="eastAsia" w:ascii="宋体" w:hAnsi="宋体" w:cs="宋体"/>
          <w:color w:val="auto"/>
          <w:szCs w:val="21"/>
          <w:highlight w:val="none"/>
        </w:rPr>
      </w:pPr>
      <w:bookmarkStart w:id="354" w:name="_Toc246996942"/>
      <w:bookmarkStart w:id="355" w:name="_Toc152045555"/>
      <w:bookmarkStart w:id="356" w:name="_Toc179632573"/>
      <w:bookmarkStart w:id="357" w:name="_Toc246996199"/>
      <w:bookmarkStart w:id="358" w:name="_Toc144974523"/>
      <w:bookmarkStart w:id="359" w:name="_Toc152042331"/>
      <w:bookmarkStart w:id="360" w:name="_Toc247085713"/>
      <w:bookmarkStart w:id="361" w:name="_Toc324404838"/>
      <w:r>
        <w:rPr>
          <w:rFonts w:hint="eastAsia" w:ascii="宋体" w:hAnsi="宋体" w:cs="宋体"/>
          <w:color w:val="auto"/>
          <w:szCs w:val="21"/>
          <w:highlight w:val="none"/>
        </w:rPr>
        <w:t>3.5.1投标文件应按第五章“投标文件格式”进行编写，如有必要，可以增加附页，作为投标文件的组成部分。</w:t>
      </w:r>
    </w:p>
    <w:p w14:paraId="3E0646DF">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3.5.2 投标文件应当对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有关工期、投标有效期、质量要求、技术标准和要求、招标范围等实质性内容作出响应。</w:t>
      </w:r>
    </w:p>
    <w:p w14:paraId="7F1537E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3.5.3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14:paraId="2384A0B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3.5.4 投标文件正本、 副本份数见投标人须知前附表。正本和副本的封面上应清楚地标记“正本”或“副本”的字样。当副本和正本不一致时，以正本为准。</w:t>
      </w:r>
    </w:p>
    <w:p w14:paraId="61EAA5B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3.5.5 投标文件的正本与副本应分别装订成册，具体装订要求见投标人须知前附表规定。</w:t>
      </w:r>
    </w:p>
    <w:p w14:paraId="443D5976">
      <w:pPr>
        <w:pStyle w:val="6"/>
        <w:bidi w:val="0"/>
        <w:rPr>
          <w:rFonts w:hint="eastAsia"/>
          <w:color w:val="auto"/>
          <w:highlight w:val="none"/>
        </w:rPr>
      </w:pPr>
      <w:bookmarkStart w:id="362" w:name="_Toc35947193"/>
      <w:bookmarkStart w:id="363" w:name="_Toc35425076"/>
      <w:bookmarkStart w:id="364" w:name="_Toc506107291"/>
      <w:bookmarkStart w:id="365" w:name="_Toc15058869"/>
      <w:bookmarkStart w:id="366" w:name="_Toc26392"/>
      <w:bookmarkStart w:id="367" w:name="_Toc8706"/>
      <w:bookmarkStart w:id="368" w:name="_Toc35424910"/>
      <w:r>
        <w:rPr>
          <w:rFonts w:hint="eastAsia"/>
          <w:color w:val="auto"/>
          <w:highlight w:val="none"/>
        </w:rPr>
        <w:t>4.投标</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69141A0F">
      <w:pPr>
        <w:spacing w:line="440" w:lineRule="atLeast"/>
        <w:ind w:firstLine="420" w:firstLineChars="200"/>
        <w:outlineLvl w:val="2"/>
        <w:rPr>
          <w:rFonts w:hint="eastAsia" w:ascii="宋体" w:hAnsi="宋体" w:cs="宋体"/>
          <w:color w:val="auto"/>
          <w:szCs w:val="21"/>
          <w:highlight w:val="none"/>
        </w:rPr>
      </w:pPr>
      <w:bookmarkStart w:id="369" w:name="_Toc246996943"/>
      <w:bookmarkStart w:id="370" w:name="_Toc179632574"/>
      <w:bookmarkStart w:id="371" w:name="_Toc246996200"/>
      <w:bookmarkStart w:id="372" w:name="_Toc296602444"/>
      <w:bookmarkStart w:id="373" w:name="_Toc144974524"/>
      <w:bookmarkStart w:id="374" w:name="_Toc324404839"/>
      <w:bookmarkStart w:id="375" w:name="_Toc247085714"/>
      <w:bookmarkStart w:id="376" w:name="_Toc1347"/>
      <w:bookmarkStart w:id="377" w:name="_Toc152045556"/>
      <w:bookmarkStart w:id="378" w:name="_Toc152042332"/>
      <w:bookmarkStart w:id="379" w:name="_Toc21611136"/>
      <w:bookmarkStart w:id="380" w:name="_Toc246996203"/>
      <w:bookmarkStart w:id="381" w:name="_Toc506107295"/>
      <w:bookmarkStart w:id="382" w:name="_Toc179632577"/>
      <w:bookmarkStart w:id="383" w:name="_Toc152045559"/>
      <w:bookmarkStart w:id="384" w:name="_Toc152042335"/>
      <w:bookmarkStart w:id="385" w:name="_Toc144974527"/>
      <w:bookmarkStart w:id="386" w:name="_Toc247085717"/>
      <w:bookmarkStart w:id="387" w:name="_Toc246996946"/>
      <w:bookmarkStart w:id="388" w:name="_Toc324404842"/>
      <w:bookmarkStart w:id="389" w:name="_Toc179632580"/>
      <w:bookmarkStart w:id="390" w:name="_Toc152045562"/>
      <w:bookmarkStart w:id="391" w:name="_Toc506107299"/>
      <w:bookmarkStart w:id="392" w:name="_Toc35424919"/>
      <w:bookmarkStart w:id="393" w:name="_Toc324404846"/>
      <w:bookmarkStart w:id="394" w:name="_Toc35425085"/>
      <w:bookmarkStart w:id="395" w:name="_Toc247085720"/>
      <w:bookmarkStart w:id="396" w:name="_Toc35947202"/>
      <w:bookmarkStart w:id="397" w:name="_Toc144974530"/>
      <w:bookmarkStart w:id="398" w:name="_Toc152042338"/>
      <w:bookmarkStart w:id="399" w:name="_Toc246996206"/>
      <w:bookmarkStart w:id="400" w:name="_Toc15058884"/>
      <w:bookmarkStart w:id="401" w:name="_Toc246996949"/>
      <w:r>
        <w:rPr>
          <w:rFonts w:hint="eastAsia" w:ascii="宋体" w:hAnsi="宋体" w:cs="宋体"/>
          <w:color w:val="auto"/>
          <w:szCs w:val="21"/>
          <w:highlight w:val="none"/>
        </w:rPr>
        <w:t>4.1 投标文件的密封和标记</w:t>
      </w:r>
      <w:bookmarkEnd w:id="369"/>
      <w:bookmarkEnd w:id="370"/>
      <w:bookmarkEnd w:id="371"/>
      <w:bookmarkEnd w:id="372"/>
      <w:bookmarkEnd w:id="373"/>
      <w:bookmarkEnd w:id="374"/>
      <w:bookmarkEnd w:id="375"/>
      <w:bookmarkEnd w:id="376"/>
      <w:bookmarkEnd w:id="377"/>
      <w:bookmarkEnd w:id="378"/>
    </w:p>
    <w:p w14:paraId="4E3DF435">
      <w:pPr>
        <w:spacing w:line="440" w:lineRule="atLeast"/>
        <w:ind w:firstLine="420" w:firstLineChars="200"/>
        <w:rPr>
          <w:rFonts w:hint="eastAsia" w:ascii="宋体" w:hAnsi="宋体" w:cs="宋体"/>
          <w:color w:val="auto"/>
          <w:szCs w:val="21"/>
          <w:highlight w:val="none"/>
        </w:rPr>
      </w:pPr>
      <w:bookmarkStart w:id="402" w:name="_Toc152045557"/>
      <w:bookmarkStart w:id="403" w:name="_Toc179632575"/>
      <w:bookmarkStart w:id="404" w:name="_Toc152042333"/>
      <w:bookmarkStart w:id="405" w:name="_Toc144974525"/>
      <w:bookmarkStart w:id="406" w:name="_Toc246996201"/>
      <w:bookmarkStart w:id="407" w:name="_Toc247085715"/>
      <w:bookmarkStart w:id="408" w:name="_Toc246996944"/>
      <w:r>
        <w:rPr>
          <w:rFonts w:hint="eastAsia" w:ascii="宋体" w:hAnsi="宋体" w:cs="宋体"/>
          <w:color w:val="auto"/>
          <w:szCs w:val="21"/>
          <w:highlight w:val="none"/>
        </w:rPr>
        <w:t>4.1.1 投标文件应进行</w:t>
      </w:r>
      <w:r>
        <w:rPr>
          <w:rFonts w:hint="eastAsia" w:ascii="宋体" w:hAnsi="宋体" w:cs="宋体"/>
          <w:color w:val="auto"/>
          <w:szCs w:val="21"/>
          <w:highlight w:val="none"/>
          <w:lang w:val="en-US" w:eastAsia="zh-CN"/>
        </w:rPr>
        <w:t>密封</w:t>
      </w:r>
      <w:r>
        <w:rPr>
          <w:rFonts w:hint="eastAsia" w:ascii="宋体" w:hAnsi="宋体" w:cs="宋体"/>
          <w:color w:val="auto"/>
          <w:szCs w:val="21"/>
          <w:highlight w:val="none"/>
        </w:rPr>
        <w:t>包装，并在封套</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加盖投标人单位章。</w:t>
      </w:r>
    </w:p>
    <w:p w14:paraId="532C7DB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4.1.2 投标文件封套上应写明的内容及具体密封要求见投标人须知前附表。</w:t>
      </w:r>
    </w:p>
    <w:p w14:paraId="6891591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4.1.3 未按本章第4.1.1项或第4.1.2项要求密封和加写标记的投标文件，招标人应予拒收。</w:t>
      </w:r>
    </w:p>
    <w:p w14:paraId="2EAE861E">
      <w:pPr>
        <w:spacing w:line="440" w:lineRule="atLeast"/>
        <w:ind w:firstLine="422" w:firstLineChars="200"/>
        <w:outlineLvl w:val="2"/>
        <w:rPr>
          <w:rFonts w:hint="eastAsia" w:ascii="宋体" w:hAnsi="宋体" w:cs="宋体"/>
          <w:b/>
          <w:bCs/>
          <w:color w:val="auto"/>
          <w:szCs w:val="21"/>
          <w:highlight w:val="none"/>
        </w:rPr>
      </w:pPr>
      <w:bookmarkStart w:id="409" w:name="_Toc296602445"/>
      <w:bookmarkStart w:id="410" w:name="_Toc4531"/>
      <w:bookmarkStart w:id="411" w:name="_Toc324404840"/>
      <w:r>
        <w:rPr>
          <w:rFonts w:hint="eastAsia" w:ascii="宋体" w:hAnsi="宋体" w:cs="宋体"/>
          <w:b/>
          <w:bCs/>
          <w:color w:val="auto"/>
          <w:szCs w:val="21"/>
          <w:highlight w:val="none"/>
        </w:rPr>
        <w:t>4.2 投标文件的递交</w:t>
      </w:r>
      <w:bookmarkEnd w:id="402"/>
      <w:bookmarkEnd w:id="403"/>
      <w:bookmarkEnd w:id="404"/>
      <w:bookmarkEnd w:id="405"/>
      <w:bookmarkEnd w:id="406"/>
      <w:bookmarkEnd w:id="407"/>
      <w:bookmarkEnd w:id="408"/>
      <w:bookmarkEnd w:id="409"/>
      <w:bookmarkEnd w:id="410"/>
      <w:bookmarkEnd w:id="411"/>
    </w:p>
    <w:p w14:paraId="5858ED3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4.2.1投标人应在投标人须知前附表规定的投标截止时间前递交投标文件。</w:t>
      </w:r>
    </w:p>
    <w:p w14:paraId="0B2B929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4.2.2 投标人递交投标文件的地点：见投标人须知前附表。</w:t>
      </w:r>
    </w:p>
    <w:p w14:paraId="2EDEEFC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4.2.3 除投标人须知前附表另有规定外，投标人所递交的投标文件不予退还。</w:t>
      </w:r>
    </w:p>
    <w:p w14:paraId="0AAE4B0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4.2.4 招标人收到投标文件后，各投标人在须在相关表格上签到。</w:t>
      </w:r>
    </w:p>
    <w:p w14:paraId="2A4F1A7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4.2.5 逾期送达的或者未送达指定地点的投标文件，招标人不予受理。</w:t>
      </w:r>
    </w:p>
    <w:p w14:paraId="503BF3B2">
      <w:pPr>
        <w:spacing w:line="440" w:lineRule="atLeast"/>
        <w:ind w:firstLine="422" w:firstLineChars="200"/>
        <w:outlineLvl w:val="2"/>
        <w:rPr>
          <w:rFonts w:hint="eastAsia" w:ascii="宋体" w:hAnsi="宋体" w:cs="宋体"/>
          <w:b/>
          <w:bCs/>
          <w:color w:val="auto"/>
          <w:szCs w:val="21"/>
          <w:highlight w:val="none"/>
        </w:rPr>
      </w:pPr>
      <w:bookmarkStart w:id="412" w:name="_Toc246996202"/>
      <w:bookmarkStart w:id="413" w:name="_Toc144974526"/>
      <w:bookmarkStart w:id="414" w:name="_Toc25278"/>
      <w:bookmarkStart w:id="415" w:name="_Toc152045558"/>
      <w:bookmarkStart w:id="416" w:name="_Toc247085716"/>
      <w:bookmarkStart w:id="417" w:name="_Toc152042334"/>
      <w:bookmarkStart w:id="418" w:name="_Toc324404841"/>
      <w:bookmarkStart w:id="419" w:name="_Toc296602446"/>
      <w:bookmarkStart w:id="420" w:name="_Toc179632576"/>
      <w:bookmarkStart w:id="421" w:name="_Toc246996945"/>
      <w:r>
        <w:rPr>
          <w:rFonts w:hint="eastAsia" w:ascii="宋体" w:hAnsi="宋体" w:cs="宋体"/>
          <w:b/>
          <w:bCs/>
          <w:color w:val="auto"/>
          <w:szCs w:val="21"/>
          <w:highlight w:val="none"/>
        </w:rPr>
        <w:t>4.3 投标文件的修改与撤回</w:t>
      </w:r>
      <w:bookmarkEnd w:id="412"/>
      <w:bookmarkEnd w:id="413"/>
      <w:bookmarkEnd w:id="414"/>
      <w:bookmarkEnd w:id="415"/>
      <w:bookmarkEnd w:id="416"/>
      <w:bookmarkEnd w:id="417"/>
      <w:bookmarkEnd w:id="418"/>
      <w:bookmarkEnd w:id="419"/>
      <w:bookmarkEnd w:id="420"/>
      <w:bookmarkEnd w:id="421"/>
    </w:p>
    <w:p w14:paraId="345DDAC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4.3.1在投标人须知前附表规定的投标截止时间前，投标人可以修改或撤回已递交的投标文件，但应以书面形式通知招标人。</w:t>
      </w:r>
    </w:p>
    <w:p w14:paraId="3BFF035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4.3.2 投标人修改或撤回已递交投标文件的书面通知应按照本章第3.5.3项的要求签字或盖章。招标人收到书面通知后，投标人签到登记。</w:t>
      </w:r>
    </w:p>
    <w:p w14:paraId="50BBEC4D">
      <w:pPr>
        <w:spacing w:line="440" w:lineRule="atLeas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4.3.3 投标人撤回投标文件的，招标人自收到投标人书面撤回通知之日起5日内退还已收取的投标保证金。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本条不采用</w:t>
      </w:r>
      <w:r>
        <w:rPr>
          <w:rFonts w:hint="eastAsia" w:ascii="宋体" w:hAnsi="宋体" w:cs="宋体"/>
          <w:color w:val="auto"/>
          <w:szCs w:val="21"/>
          <w:highlight w:val="none"/>
          <w:lang w:eastAsia="zh-CN"/>
        </w:rPr>
        <w:t>）</w:t>
      </w:r>
    </w:p>
    <w:p w14:paraId="3B5EF95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4.3.4 修改的内容为投标文件的组成部分。修改的投标文件应按照本章第3条、第4条规定进行编制、密封、标记和递交，并标明“修改”字样。</w:t>
      </w:r>
    </w:p>
    <w:p w14:paraId="18F3FF39">
      <w:pPr>
        <w:pStyle w:val="6"/>
        <w:bidi w:val="0"/>
        <w:rPr>
          <w:rFonts w:hint="eastAsia"/>
          <w:color w:val="auto"/>
          <w:highlight w:val="none"/>
        </w:rPr>
      </w:pPr>
      <w:bookmarkStart w:id="422" w:name="_Toc9416"/>
      <w:bookmarkStart w:id="423" w:name="_Toc440"/>
      <w:r>
        <w:rPr>
          <w:rFonts w:hint="eastAsia"/>
          <w:color w:val="auto"/>
          <w:highlight w:val="none"/>
        </w:rPr>
        <w:t>5. 开标</w:t>
      </w:r>
      <w:bookmarkEnd w:id="379"/>
      <w:bookmarkEnd w:id="380"/>
      <w:bookmarkEnd w:id="381"/>
      <w:bookmarkEnd w:id="382"/>
      <w:bookmarkEnd w:id="383"/>
      <w:bookmarkEnd w:id="384"/>
      <w:bookmarkEnd w:id="385"/>
      <w:bookmarkEnd w:id="386"/>
      <w:bookmarkEnd w:id="387"/>
      <w:bookmarkEnd w:id="388"/>
      <w:bookmarkEnd w:id="422"/>
      <w:bookmarkEnd w:id="423"/>
    </w:p>
    <w:p w14:paraId="42509AA5">
      <w:pPr>
        <w:spacing w:line="440" w:lineRule="atLeast"/>
        <w:ind w:firstLine="422" w:firstLineChars="200"/>
        <w:outlineLvl w:val="2"/>
        <w:rPr>
          <w:rFonts w:hint="eastAsia" w:ascii="宋体" w:hAnsi="宋体" w:cs="宋体"/>
          <w:b/>
          <w:bCs/>
          <w:color w:val="auto"/>
          <w:szCs w:val="21"/>
          <w:highlight w:val="none"/>
        </w:rPr>
      </w:pPr>
      <w:bookmarkStart w:id="424" w:name="_Toc21611137"/>
      <w:bookmarkStart w:id="425" w:name="_Toc152045560"/>
      <w:bookmarkStart w:id="426" w:name="_Toc296602448"/>
      <w:bookmarkStart w:id="427" w:name="_Toc324404843"/>
      <w:bookmarkStart w:id="428" w:name="_Toc246996204"/>
      <w:bookmarkStart w:id="429" w:name="_Toc152042336"/>
      <w:bookmarkStart w:id="430" w:name="_Toc506107296"/>
      <w:bookmarkStart w:id="431" w:name="_Toc179632578"/>
      <w:bookmarkStart w:id="432" w:name="_Toc144974528"/>
      <w:bookmarkStart w:id="433" w:name="_Toc246996947"/>
      <w:bookmarkStart w:id="434" w:name="_Toc20195"/>
      <w:bookmarkStart w:id="435" w:name="_Toc247085718"/>
      <w:r>
        <w:rPr>
          <w:rFonts w:hint="eastAsia" w:ascii="宋体" w:hAnsi="宋体" w:cs="宋体"/>
          <w:b/>
          <w:bCs/>
          <w:color w:val="auto"/>
          <w:szCs w:val="21"/>
          <w:highlight w:val="none"/>
        </w:rPr>
        <w:t>5.1 开标时间和地点</w:t>
      </w:r>
      <w:bookmarkEnd w:id="424"/>
      <w:bookmarkEnd w:id="425"/>
      <w:bookmarkEnd w:id="426"/>
      <w:bookmarkEnd w:id="427"/>
      <w:bookmarkEnd w:id="428"/>
      <w:bookmarkEnd w:id="429"/>
      <w:bookmarkEnd w:id="430"/>
      <w:bookmarkEnd w:id="431"/>
      <w:bookmarkEnd w:id="432"/>
      <w:bookmarkEnd w:id="433"/>
      <w:bookmarkEnd w:id="434"/>
      <w:bookmarkEnd w:id="435"/>
    </w:p>
    <w:p w14:paraId="53E467F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招标人在投标人须知前附表规定的投标截止时间（开标时间）和地点公开开标。</w:t>
      </w:r>
    </w:p>
    <w:p w14:paraId="3EF160C1">
      <w:pPr>
        <w:spacing w:line="440" w:lineRule="atLeast"/>
        <w:ind w:firstLine="422" w:firstLineChars="200"/>
        <w:outlineLvl w:val="2"/>
        <w:rPr>
          <w:rFonts w:hint="eastAsia" w:ascii="宋体" w:hAnsi="宋体" w:cs="宋体"/>
          <w:b/>
          <w:bCs/>
          <w:color w:val="auto"/>
          <w:szCs w:val="21"/>
          <w:highlight w:val="none"/>
        </w:rPr>
      </w:pPr>
      <w:bookmarkStart w:id="436" w:name="_Toc152042337"/>
      <w:bookmarkStart w:id="437" w:name="_Toc506107297"/>
      <w:bookmarkStart w:id="438" w:name="_Toc324404844"/>
      <w:bookmarkStart w:id="439" w:name="_Toc21611138"/>
      <w:bookmarkStart w:id="440" w:name="_Toc247085719"/>
      <w:bookmarkStart w:id="441" w:name="_Toc246996948"/>
      <w:bookmarkStart w:id="442" w:name="_Toc246996205"/>
      <w:bookmarkStart w:id="443" w:name="_Toc179632579"/>
      <w:bookmarkStart w:id="444" w:name="_Toc1996"/>
      <w:bookmarkStart w:id="445" w:name="_Toc296602449"/>
      <w:bookmarkStart w:id="446" w:name="_Toc144974529"/>
      <w:bookmarkStart w:id="447" w:name="_Toc152045561"/>
      <w:r>
        <w:rPr>
          <w:rFonts w:hint="eastAsia" w:ascii="宋体" w:hAnsi="宋体" w:cs="宋体"/>
          <w:b/>
          <w:bCs/>
          <w:color w:val="auto"/>
          <w:szCs w:val="21"/>
          <w:highlight w:val="none"/>
        </w:rPr>
        <w:t>5.2 开标程序</w:t>
      </w:r>
      <w:bookmarkEnd w:id="436"/>
      <w:bookmarkEnd w:id="437"/>
      <w:bookmarkEnd w:id="438"/>
      <w:bookmarkEnd w:id="439"/>
      <w:bookmarkEnd w:id="440"/>
      <w:bookmarkEnd w:id="441"/>
      <w:bookmarkEnd w:id="442"/>
      <w:bookmarkEnd w:id="443"/>
      <w:bookmarkEnd w:id="444"/>
      <w:bookmarkEnd w:id="445"/>
      <w:bookmarkEnd w:id="446"/>
      <w:bookmarkEnd w:id="447"/>
    </w:p>
    <w:p w14:paraId="5A951CC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主持人按下列程序进行开标：</w:t>
      </w:r>
      <w:bookmarkStart w:id="448" w:name="_Toc324404845"/>
      <w:bookmarkStart w:id="449" w:name="_Toc296602450"/>
    </w:p>
    <w:p w14:paraId="5ED7B43B">
      <w:pPr>
        <w:spacing w:line="440" w:lineRule="atLeast"/>
        <w:ind w:firstLine="420" w:firstLineChars="200"/>
        <w:rPr>
          <w:rFonts w:hint="eastAsia" w:ascii="宋体" w:hAnsi="宋体" w:cs="宋体"/>
          <w:color w:val="auto"/>
          <w:szCs w:val="21"/>
          <w:highlight w:val="none"/>
        </w:rPr>
      </w:pPr>
      <w:bookmarkStart w:id="450" w:name="_Toc21611143"/>
      <w:bookmarkStart w:id="451" w:name="_Toc15058881"/>
      <w:bookmarkStart w:id="452" w:name="_Toc506107298"/>
      <w:r>
        <w:rPr>
          <w:rFonts w:hint="eastAsia" w:ascii="宋体" w:hAnsi="宋体" w:cs="宋体"/>
          <w:color w:val="auto"/>
          <w:szCs w:val="21"/>
          <w:highlight w:val="none"/>
        </w:rPr>
        <w:t>（1）宣布开标纪律；</w:t>
      </w:r>
    </w:p>
    <w:p w14:paraId="6FC686F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（2）公布在投标截止时间前递交投标文件的投标人名称，并确认投标单位相关人员是否到场；</w:t>
      </w:r>
    </w:p>
    <w:p w14:paraId="3433756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（3）宣布开标人、唱标人、记录人、监标人等有关人员姓名；</w:t>
      </w:r>
    </w:p>
    <w:p w14:paraId="73DCA85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（4）按照投标人须知前附表规定检查投标文件的密封情况；</w:t>
      </w:r>
    </w:p>
    <w:p w14:paraId="51CE040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（5）按照投标人须知前附表的规定确定并宣布投标文件开标顺序；</w:t>
      </w:r>
    </w:p>
    <w:p w14:paraId="0559659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（6）按照宣布的开标顺序当众开标，公布投标人名称；</w:t>
      </w:r>
    </w:p>
    <w:p w14:paraId="2C2D6E5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（7）进行资格审查； </w:t>
      </w:r>
    </w:p>
    <w:p w14:paraId="09A6A98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（8）对投标人进行商务标评审；</w:t>
      </w:r>
    </w:p>
    <w:p w14:paraId="190CC00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（9）有关人员在开标记录上签字确认；</w:t>
      </w:r>
    </w:p>
    <w:p w14:paraId="11EDA65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（10）开标结束。</w:t>
      </w:r>
    </w:p>
    <w:bookmarkEnd w:id="450"/>
    <w:bookmarkEnd w:id="451"/>
    <w:p w14:paraId="14751841">
      <w:pPr>
        <w:spacing w:line="440" w:lineRule="atLeast"/>
        <w:ind w:firstLine="422" w:firstLineChars="200"/>
        <w:outlineLvl w:val="2"/>
        <w:rPr>
          <w:rFonts w:hint="eastAsia" w:ascii="宋体" w:hAnsi="宋体" w:cs="宋体"/>
          <w:b/>
          <w:bCs/>
          <w:color w:val="auto"/>
          <w:szCs w:val="21"/>
          <w:highlight w:val="none"/>
        </w:rPr>
      </w:pPr>
      <w:bookmarkStart w:id="453" w:name="_Toc24518"/>
      <w:bookmarkStart w:id="454" w:name="_Toc21611145"/>
      <w:r>
        <w:rPr>
          <w:rFonts w:hint="eastAsia" w:ascii="宋体" w:hAnsi="宋体" w:cs="宋体"/>
          <w:b/>
          <w:bCs/>
          <w:color w:val="auto"/>
          <w:szCs w:val="21"/>
          <w:highlight w:val="none"/>
        </w:rPr>
        <w:t>5.3 开标异议</w:t>
      </w:r>
      <w:bookmarkEnd w:id="448"/>
      <w:bookmarkEnd w:id="449"/>
      <w:bookmarkEnd w:id="452"/>
      <w:bookmarkEnd w:id="453"/>
      <w:bookmarkEnd w:id="454"/>
    </w:p>
    <w:p w14:paraId="7C35EFD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w:t>
      </w:r>
    </w:p>
    <w:p w14:paraId="16A484D2">
      <w:pPr>
        <w:pStyle w:val="6"/>
        <w:bidi w:val="0"/>
        <w:rPr>
          <w:rFonts w:hint="eastAsia"/>
          <w:color w:val="auto"/>
          <w:highlight w:val="none"/>
        </w:rPr>
      </w:pPr>
      <w:bookmarkStart w:id="455" w:name="_Toc396"/>
      <w:bookmarkStart w:id="456" w:name="_Toc25571"/>
      <w:r>
        <w:rPr>
          <w:rFonts w:hint="eastAsia"/>
          <w:color w:val="auto"/>
          <w:highlight w:val="none"/>
        </w:rPr>
        <w:t>6. 评标</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55"/>
      <w:bookmarkEnd w:id="456"/>
    </w:p>
    <w:p w14:paraId="4FCF6CBD">
      <w:pPr>
        <w:spacing w:line="440" w:lineRule="atLeast"/>
        <w:ind w:firstLine="422" w:firstLineChars="200"/>
        <w:outlineLvl w:val="2"/>
        <w:rPr>
          <w:rFonts w:hint="eastAsia" w:ascii="宋体" w:hAnsi="宋体" w:cs="宋体"/>
          <w:b/>
          <w:bCs/>
          <w:color w:val="auto"/>
          <w:szCs w:val="21"/>
          <w:highlight w:val="none"/>
        </w:rPr>
      </w:pPr>
      <w:bookmarkStart w:id="457" w:name="_Toc152042339"/>
      <w:bookmarkStart w:id="458" w:name="_Toc324404847"/>
      <w:bookmarkStart w:id="459" w:name="_Toc15058885"/>
      <w:bookmarkStart w:id="460" w:name="_Toc179632581"/>
      <w:bookmarkStart w:id="461" w:name="_Toc144974531"/>
      <w:bookmarkStart w:id="462" w:name="_Toc14047"/>
      <w:bookmarkStart w:id="463" w:name="_Toc246996207"/>
      <w:bookmarkStart w:id="464" w:name="_Toc246996950"/>
      <w:bookmarkStart w:id="465" w:name="_Toc506107300"/>
      <w:bookmarkStart w:id="466" w:name="_Toc35424920"/>
      <w:bookmarkStart w:id="467" w:name="_Toc296602452"/>
      <w:bookmarkStart w:id="468" w:name="_Toc35947203"/>
      <w:bookmarkStart w:id="469" w:name="_Toc35425086"/>
      <w:bookmarkStart w:id="470" w:name="_Toc247085721"/>
      <w:bookmarkStart w:id="471" w:name="_Toc152045563"/>
      <w:r>
        <w:rPr>
          <w:rFonts w:hint="eastAsia" w:ascii="宋体" w:hAnsi="宋体" w:cs="宋体"/>
          <w:b/>
          <w:bCs/>
          <w:color w:val="auto"/>
          <w:szCs w:val="21"/>
          <w:highlight w:val="none"/>
        </w:rPr>
        <w:t>6.1</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Start w:id="472" w:name="_Toc15058887"/>
      <w:bookmarkStart w:id="473" w:name="_Toc35425088"/>
      <w:bookmarkStart w:id="474" w:name="_Toc246996952"/>
      <w:bookmarkStart w:id="475" w:name="_Toc35947205"/>
      <w:bookmarkStart w:id="476" w:name="_Toc246996209"/>
      <w:bookmarkStart w:id="477" w:name="_Toc35424922"/>
      <w:bookmarkStart w:id="478" w:name="_Toc152045565"/>
      <w:bookmarkStart w:id="479" w:name="_Toc179632583"/>
      <w:bookmarkStart w:id="480" w:name="_Toc144974533"/>
      <w:bookmarkStart w:id="481" w:name="_Toc152042341"/>
      <w:bookmarkStart w:id="482" w:name="_Toc247085723"/>
      <w:bookmarkStart w:id="483" w:name="_Toc506107302"/>
      <w:bookmarkStart w:id="484" w:name="_Toc324404849"/>
      <w:bookmarkStart w:id="485" w:name="_Toc20754"/>
      <w:bookmarkStart w:id="486" w:name="_Toc296602454"/>
      <w:r>
        <w:rPr>
          <w:rFonts w:hint="eastAsia" w:ascii="宋体" w:hAnsi="宋体" w:cs="宋体"/>
          <w:b/>
          <w:bCs/>
          <w:color w:val="auto"/>
          <w:szCs w:val="21"/>
          <w:highlight w:val="none"/>
        </w:rPr>
        <w:t xml:space="preserve"> 评标</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2D6D834E">
      <w:pPr>
        <w:spacing w:line="440" w:lineRule="atLeast"/>
        <w:ind w:firstLine="420" w:firstLineChars="200"/>
        <w:rPr>
          <w:rFonts w:hint="eastAsia" w:ascii="宋体" w:hAnsi="宋体" w:cs="宋体"/>
          <w:color w:val="auto"/>
          <w:szCs w:val="21"/>
          <w:highlight w:val="none"/>
        </w:rPr>
      </w:pPr>
      <w:bookmarkStart w:id="487" w:name="_Toc152045566"/>
      <w:bookmarkStart w:id="488" w:name="_Toc246996953"/>
      <w:bookmarkStart w:id="489" w:name="_Toc179632584"/>
      <w:bookmarkStart w:id="490" w:name="_Toc324404850"/>
      <w:bookmarkStart w:id="491" w:name="_Toc246996210"/>
      <w:bookmarkStart w:id="492" w:name="_Toc247085724"/>
      <w:bookmarkStart w:id="493" w:name="_Toc152042342"/>
      <w:bookmarkStart w:id="494" w:name="_Toc144974534"/>
      <w:r>
        <w:rPr>
          <w:rFonts w:hint="eastAsia" w:ascii="宋体" w:hAnsi="宋体" w:cs="宋体"/>
          <w:color w:val="auto"/>
          <w:szCs w:val="21"/>
          <w:highlight w:val="none"/>
        </w:rPr>
        <w:t>评标委员会按照第三章“评标办法”规定的方法、评审因素、标准和程序对投标文件进行评审。第三章“评标办法”没有规定的方法、评审因素和标准，不作为评标依据。</w:t>
      </w:r>
    </w:p>
    <w:p w14:paraId="2467B53C">
      <w:pPr>
        <w:pStyle w:val="6"/>
        <w:bidi w:val="0"/>
        <w:rPr>
          <w:rFonts w:hint="eastAsia"/>
          <w:color w:val="auto"/>
          <w:highlight w:val="none"/>
        </w:rPr>
      </w:pPr>
      <w:bookmarkStart w:id="495" w:name="_Toc35424923"/>
      <w:bookmarkStart w:id="496" w:name="_Toc35947206"/>
      <w:bookmarkStart w:id="497" w:name="_Toc15058888"/>
      <w:bookmarkStart w:id="498" w:name="_Toc506107303"/>
      <w:bookmarkStart w:id="499" w:name="_Toc15037"/>
      <w:bookmarkStart w:id="500" w:name="_Toc22455"/>
      <w:bookmarkStart w:id="501" w:name="_Toc35425089"/>
      <w:r>
        <w:rPr>
          <w:rFonts w:hint="eastAsia"/>
          <w:color w:val="auto"/>
          <w:highlight w:val="none"/>
        </w:rPr>
        <w:t>7. 合同授予</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545BDDA5">
      <w:pPr>
        <w:spacing w:line="440" w:lineRule="atLeast"/>
        <w:ind w:firstLine="422" w:firstLineChars="200"/>
        <w:outlineLvl w:val="2"/>
        <w:rPr>
          <w:rFonts w:hint="eastAsia" w:ascii="宋体" w:hAnsi="宋体" w:cs="宋体"/>
          <w:b/>
          <w:bCs/>
          <w:color w:val="auto"/>
          <w:szCs w:val="21"/>
          <w:highlight w:val="none"/>
        </w:rPr>
      </w:pPr>
      <w:bookmarkStart w:id="502" w:name="_Toc247085725"/>
      <w:bookmarkStart w:id="503" w:name="_Toc324404851"/>
      <w:bookmarkStart w:id="504" w:name="_Toc35425090"/>
      <w:bookmarkStart w:id="505" w:name="_Toc179632585"/>
      <w:bookmarkStart w:id="506" w:name="_Toc506107304"/>
      <w:bookmarkStart w:id="507" w:name="_Toc152045567"/>
      <w:bookmarkStart w:id="508" w:name="_Toc246996211"/>
      <w:bookmarkStart w:id="509" w:name="_Toc35947207"/>
      <w:bookmarkStart w:id="510" w:name="_Toc84"/>
      <w:bookmarkStart w:id="511" w:name="_Toc246996954"/>
      <w:bookmarkStart w:id="512" w:name="_Toc144974535"/>
      <w:bookmarkStart w:id="513" w:name="_Toc35424924"/>
      <w:bookmarkStart w:id="514" w:name="_Toc152042343"/>
      <w:bookmarkStart w:id="515" w:name="_Toc296602456"/>
      <w:bookmarkStart w:id="516" w:name="_Toc15058889"/>
      <w:r>
        <w:rPr>
          <w:rFonts w:hint="eastAsia" w:ascii="宋体" w:hAnsi="宋体" w:cs="宋体"/>
          <w:b/>
          <w:bCs/>
          <w:color w:val="auto"/>
          <w:szCs w:val="21"/>
          <w:highlight w:val="none"/>
        </w:rPr>
        <w:t>7.1 定标方式</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12C628A1">
      <w:pPr>
        <w:spacing w:line="440" w:lineRule="atLeast"/>
        <w:ind w:firstLine="420" w:firstLineChars="200"/>
        <w:rPr>
          <w:rFonts w:hint="eastAsia" w:ascii="宋体" w:hAnsi="宋体" w:cs="宋体"/>
          <w:color w:val="auto"/>
          <w:szCs w:val="21"/>
          <w:highlight w:val="none"/>
        </w:rPr>
      </w:pPr>
      <w:bookmarkStart w:id="517" w:name="_Toc296602457"/>
      <w:bookmarkStart w:id="518" w:name="_Toc324404852"/>
      <w:r>
        <w:rPr>
          <w:rFonts w:hint="eastAsia" w:ascii="宋体" w:hAnsi="宋体" w:cs="宋体"/>
          <w:color w:val="auto"/>
          <w:szCs w:val="21"/>
          <w:highlight w:val="none"/>
        </w:rPr>
        <w:t>除投标人须知前附表规定评标委员会直接确定中标人外，招标人依据评标委员会推荐的中标候选人确定中标人，评标委员会推荐中标候选人的人数见投标人须知前附表。</w:t>
      </w:r>
    </w:p>
    <w:p w14:paraId="4604F431">
      <w:pPr>
        <w:spacing w:line="440" w:lineRule="atLeast"/>
        <w:ind w:firstLine="422" w:firstLineChars="200"/>
        <w:outlineLvl w:val="2"/>
        <w:rPr>
          <w:rFonts w:hint="eastAsia" w:ascii="宋体" w:hAnsi="宋体" w:cs="宋体"/>
          <w:b/>
          <w:bCs/>
          <w:color w:val="auto"/>
          <w:szCs w:val="21"/>
          <w:highlight w:val="none"/>
        </w:rPr>
      </w:pPr>
      <w:bookmarkStart w:id="519" w:name="_Toc35947208"/>
      <w:bookmarkStart w:id="520" w:name="_Toc35424925"/>
      <w:bookmarkStart w:id="521" w:name="_Toc15058890"/>
      <w:bookmarkStart w:id="522" w:name="_Toc506107305"/>
      <w:bookmarkStart w:id="523" w:name="_Toc9338"/>
      <w:bookmarkStart w:id="524" w:name="_Toc35425091"/>
      <w:r>
        <w:rPr>
          <w:rFonts w:hint="eastAsia" w:ascii="宋体" w:hAnsi="宋体" w:cs="宋体"/>
          <w:b/>
          <w:bCs/>
          <w:color w:val="auto"/>
          <w:szCs w:val="21"/>
          <w:highlight w:val="none"/>
        </w:rPr>
        <w:t>7.2 中标候选人公示</w:t>
      </w:r>
      <w:bookmarkEnd w:id="517"/>
      <w:bookmarkEnd w:id="518"/>
      <w:bookmarkEnd w:id="519"/>
      <w:bookmarkEnd w:id="520"/>
      <w:bookmarkEnd w:id="521"/>
      <w:bookmarkEnd w:id="522"/>
      <w:bookmarkEnd w:id="523"/>
      <w:bookmarkEnd w:id="524"/>
    </w:p>
    <w:p w14:paraId="3D6D89A6">
      <w:pPr>
        <w:spacing w:line="440" w:lineRule="atLeast"/>
        <w:ind w:firstLine="420" w:firstLineChars="200"/>
        <w:rPr>
          <w:rFonts w:hint="eastAsia" w:ascii="宋体" w:hAnsi="宋体" w:cs="宋体"/>
          <w:color w:val="auto"/>
          <w:szCs w:val="21"/>
          <w:highlight w:val="none"/>
        </w:rPr>
      </w:pPr>
      <w:bookmarkStart w:id="525" w:name="_Toc324404853"/>
      <w:bookmarkStart w:id="526" w:name="_Toc152042344"/>
      <w:bookmarkStart w:id="527" w:name="_Toc246996955"/>
      <w:bookmarkStart w:id="528" w:name="_Toc152045568"/>
      <w:bookmarkStart w:id="529" w:name="_Toc247085726"/>
      <w:bookmarkStart w:id="530" w:name="_Toc296602458"/>
      <w:bookmarkStart w:id="531" w:name="_Toc246996212"/>
      <w:bookmarkStart w:id="532" w:name="_Toc144974536"/>
      <w:bookmarkStart w:id="533" w:name="_Toc179632586"/>
      <w:r>
        <w:rPr>
          <w:rFonts w:hint="eastAsia" w:ascii="宋体" w:hAnsi="宋体" w:cs="宋体"/>
          <w:color w:val="auto"/>
          <w:szCs w:val="21"/>
          <w:highlight w:val="none"/>
        </w:rPr>
        <w:t>招标人在投标人须知前附表规定的媒介公示中标候选人。</w:t>
      </w:r>
    </w:p>
    <w:p w14:paraId="7AE4276C">
      <w:pPr>
        <w:spacing w:line="440" w:lineRule="atLeast"/>
        <w:ind w:firstLine="422" w:firstLineChars="200"/>
        <w:outlineLvl w:val="2"/>
        <w:rPr>
          <w:rFonts w:hint="eastAsia" w:ascii="宋体" w:hAnsi="宋体" w:cs="宋体"/>
          <w:b/>
          <w:bCs/>
          <w:color w:val="auto"/>
          <w:szCs w:val="21"/>
          <w:highlight w:val="none"/>
        </w:rPr>
      </w:pPr>
      <w:bookmarkStart w:id="534" w:name="_Toc15058891"/>
      <w:bookmarkStart w:id="535" w:name="_Toc35425093"/>
      <w:bookmarkStart w:id="536" w:name="_Toc506107306"/>
      <w:bookmarkStart w:id="537" w:name="_Toc18325"/>
      <w:bookmarkStart w:id="538" w:name="_Toc35947210"/>
      <w:bookmarkStart w:id="539" w:name="_Toc35424927"/>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 xml:space="preserve"> 中标通知</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37F611B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在本章第3.3款规定的投标有效期内，招标人以书面形式向中标人发出中标通知书，同时将中标结果通知未中标的投标人。</w:t>
      </w:r>
    </w:p>
    <w:p w14:paraId="1C679D4F">
      <w:pPr>
        <w:spacing w:line="440" w:lineRule="atLeast"/>
        <w:ind w:firstLine="422" w:firstLineChars="200"/>
        <w:outlineLvl w:val="2"/>
        <w:rPr>
          <w:rFonts w:hint="eastAsia" w:ascii="宋体" w:hAnsi="宋体" w:eastAsia="宋体" w:cs="宋体"/>
          <w:b/>
          <w:bCs/>
          <w:color w:val="auto"/>
          <w:szCs w:val="21"/>
          <w:highlight w:val="none"/>
          <w:lang w:eastAsia="zh-CN"/>
        </w:rPr>
      </w:pPr>
      <w:bookmarkStart w:id="540" w:name="_Toc35424929"/>
      <w:bookmarkStart w:id="541" w:name="_Toc246996213"/>
      <w:bookmarkStart w:id="542" w:name="_Toc324404854"/>
      <w:bookmarkStart w:id="543" w:name="_Toc179632587"/>
      <w:bookmarkStart w:id="544" w:name="_Toc35947212"/>
      <w:bookmarkStart w:id="545" w:name="_Toc506107307"/>
      <w:bookmarkStart w:id="546" w:name="_Toc144974537"/>
      <w:bookmarkStart w:id="547" w:name="_Toc246996956"/>
      <w:bookmarkStart w:id="548" w:name="_Toc15058892"/>
      <w:bookmarkStart w:id="549" w:name="_Toc296602459"/>
      <w:bookmarkStart w:id="550" w:name="_Toc152045569"/>
      <w:bookmarkStart w:id="551" w:name="_Toc35425095"/>
      <w:bookmarkStart w:id="552" w:name="_Toc32541"/>
      <w:bookmarkStart w:id="553" w:name="_Toc247085727"/>
      <w:bookmarkStart w:id="554" w:name="_Toc152042345"/>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履约担保</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142CEA56">
      <w:pPr>
        <w:spacing w:line="440" w:lineRule="atLeas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.1在签订合同前，中标人应按投标人须知前附表规定的担保形式或者事先经过招标人书面认可的履约担保格式向招标人提交履约担保。履约担保金额的相关要求见投标人须知前附表。</w:t>
      </w:r>
    </w:p>
    <w:p w14:paraId="17786FB0">
      <w:pPr>
        <w:spacing w:line="440" w:lineRule="atLeas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 中标人不能按本章第7.6.1项要求提交履约担保的，视为放弃中标，其投标保证金不予退还，给招标人造成的损失超过投标保证金数额的，中标人还应当对超过部分予以赔偿。</w:t>
      </w:r>
    </w:p>
    <w:p w14:paraId="28403ABA">
      <w:pPr>
        <w:spacing w:line="440" w:lineRule="atLeast"/>
        <w:ind w:firstLine="422" w:firstLineChars="200"/>
        <w:outlineLvl w:val="2"/>
        <w:rPr>
          <w:rFonts w:hint="eastAsia" w:ascii="宋体" w:hAnsi="宋体" w:cs="宋体"/>
          <w:b/>
          <w:bCs/>
          <w:color w:val="auto"/>
          <w:szCs w:val="21"/>
          <w:highlight w:val="none"/>
        </w:rPr>
      </w:pPr>
      <w:bookmarkStart w:id="555" w:name="_Toc324404855"/>
      <w:bookmarkStart w:id="556" w:name="_Toc506107308"/>
      <w:bookmarkStart w:id="557" w:name="_Toc296602460"/>
      <w:bookmarkStart w:id="558" w:name="_Toc179632588"/>
      <w:bookmarkStart w:id="559" w:name="_Toc247085728"/>
      <w:bookmarkStart w:id="560" w:name="_Toc144974538"/>
      <w:bookmarkStart w:id="561" w:name="_Toc14106"/>
      <w:bookmarkStart w:id="562" w:name="_Toc35424930"/>
      <w:bookmarkStart w:id="563" w:name="_Toc152045570"/>
      <w:bookmarkStart w:id="564" w:name="_Toc246996214"/>
      <w:bookmarkStart w:id="565" w:name="_Toc246996957"/>
      <w:bookmarkStart w:id="566" w:name="_Toc35425096"/>
      <w:bookmarkStart w:id="567" w:name="_Toc152042346"/>
      <w:bookmarkStart w:id="568" w:name="_Toc15058893"/>
      <w:bookmarkStart w:id="569" w:name="_Toc35947213"/>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 xml:space="preserve"> 签订合同</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6E46DCCD">
      <w:pPr>
        <w:wordWrap w:val="0"/>
        <w:spacing w:line="440" w:lineRule="atLeast"/>
        <w:ind w:firstLine="420" w:firstLineChars="200"/>
        <w:rPr>
          <w:rFonts w:hint="eastAsia" w:ascii="宋体" w:hAnsi="宋体" w:cs="宋体"/>
          <w:bCs/>
          <w:color w:val="auto"/>
          <w:szCs w:val="21"/>
          <w:highlight w:val="none"/>
        </w:rPr>
      </w:pPr>
      <w:bookmarkStart w:id="570" w:name="_Toc324404856"/>
      <w:bookmarkStart w:id="571" w:name="_Toc15058894"/>
      <w:bookmarkStart w:id="572" w:name="_Toc506107309"/>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 xml:space="preserve">.1本招标工程的施工合同将授予按本须知第7.1条规定所确定的中标人。 </w:t>
      </w:r>
    </w:p>
    <w:p w14:paraId="1E2C9521">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.2</w:t>
      </w:r>
      <w:r>
        <w:rPr>
          <w:rFonts w:hint="eastAsia"/>
          <w:color w:val="auto"/>
          <w:highlight w:val="none"/>
        </w:rPr>
        <w:t>中标人</w:t>
      </w:r>
      <w:r>
        <w:rPr>
          <w:rFonts w:hint="eastAsia"/>
          <w:color w:val="auto"/>
          <w:highlight w:val="none"/>
          <w:lang w:val="en-US" w:eastAsia="zh-CN"/>
        </w:rPr>
        <w:t>应在</w:t>
      </w:r>
      <w:r>
        <w:rPr>
          <w:rFonts w:hint="eastAsia"/>
          <w:color w:val="auto"/>
          <w:highlight w:val="none"/>
        </w:rPr>
        <w:t>中标通知书发出之日起</w:t>
      </w:r>
      <w:r>
        <w:rPr>
          <w:rFonts w:hint="eastAsia"/>
          <w:color w:val="auto"/>
          <w:highlight w:val="none"/>
          <w:lang w:val="en-US" w:eastAsia="zh-CN"/>
        </w:rPr>
        <w:t>3</w:t>
      </w:r>
      <w:r>
        <w:rPr>
          <w:rFonts w:hint="eastAsia"/>
          <w:color w:val="auto"/>
          <w:highlight w:val="none"/>
        </w:rPr>
        <w:t>0个日历天内，按照</w:t>
      </w:r>
      <w:r>
        <w:rPr>
          <w:rFonts w:hint="eastAsia"/>
          <w:color w:val="auto"/>
          <w:highlight w:val="none"/>
          <w:lang w:eastAsia="zh-CN"/>
        </w:rPr>
        <w:t>招标文件</w:t>
      </w:r>
      <w:r>
        <w:rPr>
          <w:rFonts w:hint="eastAsia"/>
          <w:color w:val="auto"/>
          <w:highlight w:val="none"/>
          <w:lang w:val="en-US" w:eastAsia="zh-CN"/>
        </w:rPr>
        <w:t>规定和招标人</w:t>
      </w:r>
      <w:r>
        <w:rPr>
          <w:rFonts w:hint="eastAsia"/>
          <w:color w:val="auto"/>
          <w:highlight w:val="none"/>
        </w:rPr>
        <w:t>订立书面合同。招标人和中标人不得再行订立背离合同实质性内容的其他协议</w:t>
      </w:r>
      <w:r>
        <w:rPr>
          <w:rFonts w:hint="eastAsia" w:ascii="宋体" w:hAnsi="宋体" w:cs="宋体"/>
          <w:bCs/>
          <w:color w:val="auto"/>
          <w:szCs w:val="21"/>
          <w:highlight w:val="none"/>
        </w:rPr>
        <w:t>。中标人无正当理由拒签合同的，招标人取消其中标资格；给招标人造成的损失</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招标人有权追偿</w:t>
      </w:r>
      <w:r>
        <w:rPr>
          <w:rFonts w:hint="eastAsia" w:ascii="宋体" w:hAnsi="宋体" w:cs="宋体"/>
          <w:bCs/>
          <w:color w:val="auto"/>
          <w:szCs w:val="21"/>
          <w:highlight w:val="none"/>
        </w:rPr>
        <w:t>。</w:t>
      </w:r>
    </w:p>
    <w:p w14:paraId="36668ABC">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.3 发出中标通知书后，招标人无正当理由拒签合同的，招标人向中标人退还投标保证金；给中标人造成损失的，还应当赔偿损失。</w:t>
      </w:r>
    </w:p>
    <w:p w14:paraId="5D2F9844">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.4  除法定情形外，合同履行期间项目负责人不得更换。</w:t>
      </w:r>
    </w:p>
    <w:p w14:paraId="359C8085">
      <w:pPr>
        <w:pStyle w:val="6"/>
        <w:bidi w:val="0"/>
        <w:rPr>
          <w:rFonts w:hint="eastAsia"/>
          <w:color w:val="auto"/>
          <w:highlight w:val="none"/>
        </w:rPr>
      </w:pPr>
      <w:bookmarkStart w:id="573" w:name="_Toc35947214"/>
      <w:bookmarkStart w:id="574" w:name="_Toc9177"/>
      <w:bookmarkStart w:id="575" w:name="_Toc17919"/>
      <w:bookmarkStart w:id="576" w:name="_Toc35424931"/>
      <w:bookmarkStart w:id="577" w:name="_Toc35425097"/>
      <w:r>
        <w:rPr>
          <w:rFonts w:hint="eastAsia"/>
          <w:color w:val="auto"/>
          <w:highlight w:val="none"/>
        </w:rPr>
        <w:t>8. 纪律和监督</w:t>
      </w:r>
      <w:bookmarkEnd w:id="570"/>
      <w:bookmarkEnd w:id="571"/>
      <w:bookmarkEnd w:id="572"/>
      <w:bookmarkEnd w:id="573"/>
      <w:bookmarkEnd w:id="574"/>
      <w:bookmarkEnd w:id="575"/>
      <w:bookmarkEnd w:id="576"/>
      <w:bookmarkEnd w:id="577"/>
    </w:p>
    <w:p w14:paraId="357EE56C">
      <w:pPr>
        <w:spacing w:line="440" w:lineRule="atLeast"/>
        <w:ind w:firstLine="422" w:firstLineChars="200"/>
        <w:outlineLvl w:val="2"/>
        <w:rPr>
          <w:rFonts w:hint="eastAsia" w:ascii="宋体" w:hAnsi="宋体" w:cs="宋体"/>
          <w:b/>
          <w:bCs/>
          <w:color w:val="auto"/>
          <w:szCs w:val="21"/>
          <w:highlight w:val="none"/>
        </w:rPr>
      </w:pPr>
      <w:bookmarkStart w:id="578" w:name="_Toc144974543"/>
      <w:bookmarkStart w:id="579" w:name="_Toc246996962"/>
      <w:bookmarkStart w:id="580" w:name="_Toc296590983"/>
      <w:bookmarkStart w:id="581" w:name="_Toc179632593"/>
      <w:bookmarkStart w:id="582" w:name="_Toc296602462"/>
      <w:bookmarkStart w:id="583" w:name="_Toc246996219"/>
      <w:bookmarkStart w:id="584" w:name="_Toc247085733"/>
      <w:bookmarkStart w:id="585" w:name="_Toc35947215"/>
      <w:bookmarkStart w:id="586" w:name="_Toc15058895"/>
      <w:bookmarkStart w:id="587" w:name="_Toc11235"/>
      <w:bookmarkStart w:id="588" w:name="_Toc35424932"/>
      <w:bookmarkStart w:id="589" w:name="_Toc324404857"/>
      <w:bookmarkStart w:id="590" w:name="_Toc35425098"/>
      <w:bookmarkStart w:id="591" w:name="_Toc506107310"/>
      <w:bookmarkStart w:id="592" w:name="_Toc152045575"/>
      <w:bookmarkStart w:id="593" w:name="_Toc152042351"/>
      <w:r>
        <w:rPr>
          <w:rFonts w:hint="eastAsia" w:ascii="宋体" w:hAnsi="宋体" w:cs="宋体"/>
          <w:b/>
          <w:bCs/>
          <w:color w:val="auto"/>
          <w:szCs w:val="21"/>
          <w:highlight w:val="none"/>
        </w:rPr>
        <w:t>8.1 对招标人的纪律要求</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5C1AA83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3C31DBE3">
      <w:pPr>
        <w:spacing w:line="440" w:lineRule="atLeast"/>
        <w:ind w:firstLine="422" w:firstLineChars="200"/>
        <w:outlineLvl w:val="2"/>
        <w:rPr>
          <w:rFonts w:hint="eastAsia" w:ascii="宋体" w:hAnsi="宋体" w:cs="宋体"/>
          <w:b/>
          <w:bCs/>
          <w:color w:val="auto"/>
          <w:szCs w:val="21"/>
          <w:highlight w:val="none"/>
        </w:rPr>
      </w:pPr>
      <w:bookmarkStart w:id="594" w:name="_Toc296602463"/>
      <w:bookmarkStart w:id="595" w:name="_Toc144974544"/>
      <w:bookmarkStart w:id="596" w:name="_Toc247085734"/>
      <w:bookmarkStart w:id="597" w:name="_Toc246996220"/>
      <w:bookmarkStart w:id="598" w:name="_Toc17314"/>
      <w:bookmarkStart w:id="599" w:name="_Toc152042352"/>
      <w:bookmarkStart w:id="600" w:name="_Toc35424933"/>
      <w:bookmarkStart w:id="601" w:name="_Toc506107311"/>
      <w:bookmarkStart w:id="602" w:name="_Toc179632594"/>
      <w:bookmarkStart w:id="603" w:name="_Toc35425099"/>
      <w:bookmarkStart w:id="604" w:name="_Toc152045576"/>
      <w:bookmarkStart w:id="605" w:name="_Toc15058896"/>
      <w:bookmarkStart w:id="606" w:name="_Toc35947216"/>
      <w:bookmarkStart w:id="607" w:name="_Toc324404858"/>
      <w:bookmarkStart w:id="608" w:name="_Toc246996963"/>
      <w:r>
        <w:rPr>
          <w:rFonts w:hint="eastAsia" w:ascii="宋体" w:hAnsi="宋体" w:cs="宋体"/>
          <w:b/>
          <w:bCs/>
          <w:color w:val="auto"/>
          <w:szCs w:val="21"/>
          <w:highlight w:val="none"/>
        </w:rPr>
        <w:t>8.2 对投标人的纪律要求</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0507354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F486361">
      <w:pPr>
        <w:spacing w:line="440" w:lineRule="atLeast"/>
        <w:ind w:firstLine="422" w:firstLineChars="200"/>
        <w:outlineLvl w:val="2"/>
        <w:rPr>
          <w:rFonts w:hint="eastAsia" w:ascii="宋体" w:hAnsi="宋体" w:cs="宋体"/>
          <w:b/>
          <w:bCs/>
          <w:color w:val="auto"/>
          <w:szCs w:val="21"/>
          <w:highlight w:val="none"/>
        </w:rPr>
      </w:pPr>
      <w:bookmarkStart w:id="609" w:name="_Toc35425100"/>
      <w:bookmarkStart w:id="610" w:name="_Toc23747"/>
      <w:bookmarkStart w:id="611" w:name="_Toc144974545"/>
      <w:bookmarkStart w:id="612" w:name="_Toc179632595"/>
      <w:bookmarkStart w:id="613" w:name="_Toc296602464"/>
      <w:bookmarkStart w:id="614" w:name="_Toc152045577"/>
      <w:bookmarkStart w:id="615" w:name="_Toc324404859"/>
      <w:bookmarkStart w:id="616" w:name="_Toc152042353"/>
      <w:bookmarkStart w:id="617" w:name="_Toc35424934"/>
      <w:bookmarkStart w:id="618" w:name="_Toc247085735"/>
      <w:bookmarkStart w:id="619" w:name="_Toc35947217"/>
      <w:bookmarkStart w:id="620" w:name="_Toc246996964"/>
      <w:bookmarkStart w:id="621" w:name="_Toc15058897"/>
      <w:bookmarkStart w:id="622" w:name="_Toc246996221"/>
      <w:bookmarkStart w:id="623" w:name="_Toc506107312"/>
      <w:r>
        <w:rPr>
          <w:rFonts w:hint="eastAsia" w:ascii="宋体" w:hAnsi="宋体" w:cs="宋体"/>
          <w:b/>
          <w:bCs/>
          <w:color w:val="auto"/>
          <w:szCs w:val="21"/>
          <w:highlight w:val="none"/>
        </w:rPr>
        <w:t>8.3 对评标委员会成员的纪律要求</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576A3A3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0C9B630">
      <w:pPr>
        <w:spacing w:line="440" w:lineRule="atLeast"/>
        <w:ind w:firstLine="422" w:firstLineChars="200"/>
        <w:outlineLvl w:val="2"/>
        <w:rPr>
          <w:rFonts w:hint="eastAsia" w:ascii="宋体" w:hAnsi="宋体" w:cs="宋体"/>
          <w:b/>
          <w:bCs/>
          <w:color w:val="auto"/>
          <w:szCs w:val="21"/>
          <w:highlight w:val="none"/>
        </w:rPr>
      </w:pPr>
      <w:bookmarkStart w:id="624" w:name="_Toc15058898"/>
      <w:bookmarkStart w:id="625" w:name="_Toc324404860"/>
      <w:bookmarkStart w:id="626" w:name="_Toc152042354"/>
      <w:bookmarkStart w:id="627" w:name="_Toc179632596"/>
      <w:bookmarkStart w:id="628" w:name="_Toc35425101"/>
      <w:bookmarkStart w:id="629" w:name="_Toc35424935"/>
      <w:bookmarkStart w:id="630" w:name="_Toc35947218"/>
      <w:bookmarkStart w:id="631" w:name="_Toc24693"/>
      <w:bookmarkStart w:id="632" w:name="_Toc247085736"/>
      <w:bookmarkStart w:id="633" w:name="_Toc246996222"/>
      <w:bookmarkStart w:id="634" w:name="_Toc296602465"/>
      <w:bookmarkStart w:id="635" w:name="_Toc506107313"/>
      <w:bookmarkStart w:id="636" w:name="_Toc246996965"/>
      <w:bookmarkStart w:id="637" w:name="_Toc152045578"/>
      <w:bookmarkStart w:id="638" w:name="_Toc144974546"/>
      <w:r>
        <w:rPr>
          <w:rFonts w:hint="eastAsia" w:ascii="宋体" w:hAnsi="宋体" w:cs="宋体"/>
          <w:b/>
          <w:bCs/>
          <w:color w:val="auto"/>
          <w:szCs w:val="21"/>
          <w:highlight w:val="none"/>
        </w:rPr>
        <w:t>8.4 对与评标活动有关的工作人员的纪律要求</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117BAEC5">
      <w:pPr>
        <w:spacing w:line="440" w:lineRule="atLeast"/>
        <w:ind w:firstLine="420" w:firstLineChars="200"/>
        <w:rPr>
          <w:rFonts w:hint="eastAsia" w:ascii="宋体" w:hAnsi="宋体" w:cs="宋体"/>
          <w:color w:val="auto"/>
          <w:szCs w:val="21"/>
          <w:highlight w:val="none"/>
        </w:rPr>
      </w:pPr>
      <w:bookmarkStart w:id="639"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39"/>
    </w:p>
    <w:p w14:paraId="1042CE76">
      <w:pPr>
        <w:spacing w:line="440" w:lineRule="atLeast"/>
        <w:ind w:firstLine="422" w:firstLineChars="200"/>
        <w:outlineLvl w:val="2"/>
        <w:rPr>
          <w:rFonts w:hint="eastAsia" w:ascii="宋体" w:hAnsi="宋体" w:cs="宋体"/>
          <w:b/>
          <w:bCs/>
          <w:color w:val="auto"/>
          <w:szCs w:val="21"/>
          <w:highlight w:val="none"/>
        </w:rPr>
      </w:pPr>
      <w:bookmarkStart w:id="640" w:name="_Toc35947219"/>
      <w:bookmarkStart w:id="641" w:name="_Toc15058899"/>
      <w:bookmarkStart w:id="642" w:name="_Toc246996966"/>
      <w:bookmarkStart w:id="643" w:name="_Toc152045579"/>
      <w:bookmarkStart w:id="644" w:name="_Toc35424936"/>
      <w:bookmarkStart w:id="645" w:name="_Toc22416"/>
      <w:bookmarkStart w:id="646" w:name="_Toc506107314"/>
      <w:bookmarkStart w:id="647" w:name="_Toc35425102"/>
      <w:bookmarkStart w:id="648" w:name="_Toc247085737"/>
      <w:bookmarkStart w:id="649" w:name="_Toc152042356"/>
      <w:bookmarkStart w:id="650" w:name="_Toc324404861"/>
      <w:bookmarkStart w:id="651" w:name="_Toc179632597"/>
      <w:bookmarkStart w:id="652" w:name="_Toc296602466"/>
      <w:bookmarkStart w:id="653" w:name="_Toc246996223"/>
      <w:r>
        <w:rPr>
          <w:rFonts w:hint="eastAsia" w:ascii="宋体" w:hAnsi="宋体" w:cs="宋体"/>
          <w:b/>
          <w:bCs/>
          <w:color w:val="auto"/>
          <w:szCs w:val="21"/>
          <w:highlight w:val="none"/>
        </w:rPr>
        <w:t>8.5 投诉</w:t>
      </w:r>
      <w:bookmarkEnd w:id="638"/>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237613A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8.5.1投标人和其他利害关系人认为本次招标活动违反法律、法规和规章规定的，有权向有关行政监督部门投诉。投诉应当有明确的请求和必要的证明材料。</w:t>
      </w:r>
    </w:p>
    <w:p w14:paraId="70901DC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8.5.2投标人和其他利害关系人对评标结果等事项投诉的，应当在开标期间或公示期间，先向招标人提出异议。</w:t>
      </w:r>
    </w:p>
    <w:p w14:paraId="3692D9F7">
      <w:pPr>
        <w:pageBreakBefore/>
        <w:numPr>
          <w:ilvl w:val="0"/>
          <w:numId w:val="0"/>
        </w:numPr>
        <w:spacing w:line="312" w:lineRule="auto"/>
        <w:jc w:val="center"/>
        <w:outlineLvl w:val="0"/>
        <w:rPr>
          <w:rFonts w:hint="eastAsia" w:ascii="黑体" w:eastAsia="黑体"/>
          <w:color w:val="auto"/>
          <w:sz w:val="30"/>
          <w:szCs w:val="30"/>
          <w:highlight w:val="none"/>
        </w:rPr>
      </w:pPr>
      <w:bookmarkStart w:id="654" w:name="_Toc19437"/>
      <w:bookmarkStart w:id="655" w:name="_Toc6133"/>
      <w:r>
        <w:rPr>
          <w:rFonts w:hint="eastAsia" w:ascii="黑体" w:eastAsia="黑体"/>
          <w:color w:val="auto"/>
          <w:sz w:val="30"/>
          <w:szCs w:val="30"/>
          <w:highlight w:val="none"/>
          <w:lang w:val="en-US" w:eastAsia="zh-CN"/>
        </w:rPr>
        <w:t xml:space="preserve">第二章  </w:t>
      </w:r>
      <w:r>
        <w:rPr>
          <w:rFonts w:hint="eastAsia" w:ascii="黑体" w:eastAsia="黑体"/>
          <w:color w:val="auto"/>
          <w:sz w:val="30"/>
          <w:szCs w:val="30"/>
          <w:highlight w:val="none"/>
        </w:rPr>
        <w:t>评标办法</w:t>
      </w:r>
      <w:bookmarkEnd w:id="654"/>
      <w:bookmarkEnd w:id="655"/>
    </w:p>
    <w:bookmarkEnd w:id="57"/>
    <w:p w14:paraId="45B513B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bookmarkStart w:id="656" w:name="_Toc9679_WPSOffice_Level2"/>
      <w:r>
        <w:rPr>
          <w:rFonts w:hint="eastAsia" w:ascii="宋体" w:hAnsi="宋体" w:eastAsia="宋体" w:cs="宋体"/>
          <w:b/>
          <w:bCs w:val="0"/>
          <w:color w:val="auto"/>
          <w:kern w:val="0"/>
          <w:sz w:val="24"/>
          <w:szCs w:val="24"/>
          <w:highlight w:val="none"/>
          <w:lang w:val="en-US" w:eastAsia="zh-CN" w:bidi="ar"/>
        </w:rPr>
        <w:t>一</w:t>
      </w:r>
      <w:bookmarkEnd w:id="656"/>
      <w:r>
        <w:rPr>
          <w:rFonts w:hint="eastAsia" w:ascii="宋体" w:hAnsi="宋体" w:eastAsia="宋体" w:cs="宋体"/>
          <w:b/>
          <w:bCs w:val="0"/>
          <w:color w:val="auto"/>
          <w:kern w:val="0"/>
          <w:sz w:val="24"/>
          <w:szCs w:val="24"/>
          <w:highlight w:val="none"/>
          <w:lang w:val="en-US" w:eastAsia="zh-CN" w:bidi="ar"/>
        </w:rPr>
        <w:t>、总则</w:t>
      </w:r>
    </w:p>
    <w:p w14:paraId="1DDF7144">
      <w:pPr>
        <w:spacing w:line="440" w:lineRule="exact"/>
        <w:ind w:firstLine="422" w:firstLineChars="200"/>
        <w:jc w:val="left"/>
        <w:rPr>
          <w:rFonts w:hint="eastAsia" w:ascii="宋体" w:hAnsi="宋体" w:eastAsia="宋体" w:cs="宋体"/>
          <w:b/>
          <w:color w:val="auto"/>
          <w:szCs w:val="21"/>
          <w:highlight w:val="none"/>
          <w:lang w:eastAsia="zh-CN"/>
        </w:rPr>
      </w:pPr>
      <w:bookmarkStart w:id="657" w:name="_Toc14651"/>
      <w:bookmarkEnd w:id="657"/>
      <w:bookmarkStart w:id="658" w:name="_Toc10907_WPSOffice_Level3"/>
      <w:r>
        <w:rPr>
          <w:rFonts w:hint="eastAsia" w:ascii="宋体" w:hAnsi="宋体" w:cs="宋体"/>
          <w:b/>
          <w:color w:val="auto"/>
          <w:szCs w:val="21"/>
          <w:highlight w:val="none"/>
        </w:rPr>
        <w:t>1. 本次评标采用</w:t>
      </w:r>
      <w:bookmarkEnd w:id="658"/>
      <w:r>
        <w:rPr>
          <w:rFonts w:hint="eastAsia" w:ascii="宋体" w:hAnsi="宋体" w:cs="宋体"/>
          <w:b/>
          <w:color w:val="auto"/>
          <w:szCs w:val="21"/>
          <w:highlight w:val="none"/>
          <w:lang w:eastAsia="zh-CN"/>
        </w:rPr>
        <w:t>最低评标价法</w:t>
      </w:r>
    </w:p>
    <w:p w14:paraId="2F6150B8">
      <w:pPr>
        <w:spacing w:line="44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1.1最低评标价法，是指投标文件满足招标文件全部实质性要求且投标报价由低到高的供应商为中标候选人的评标方法。</w:t>
      </w:r>
    </w:p>
    <w:p w14:paraId="091BCDC4">
      <w:pPr>
        <w:spacing w:line="44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1.2最低评标价法一般适用于标准定制商品及通用服务项目的项目评审。</w:t>
      </w:r>
    </w:p>
    <w:p w14:paraId="49C46C9F">
      <w:pPr>
        <w:spacing w:line="440" w:lineRule="exact"/>
        <w:ind w:firstLine="422" w:firstLineChars="200"/>
        <w:jc w:val="left"/>
        <w:rPr>
          <w:rFonts w:hint="eastAsia" w:ascii="宋体" w:hAnsi="宋体" w:cs="宋体"/>
          <w:b/>
          <w:color w:val="auto"/>
          <w:szCs w:val="21"/>
          <w:highlight w:val="none"/>
        </w:rPr>
      </w:pPr>
      <w:bookmarkStart w:id="659" w:name="_Toc23969_WPSOffice_Level3"/>
      <w:r>
        <w:rPr>
          <w:rFonts w:hint="eastAsia" w:ascii="宋体" w:hAnsi="宋体" w:cs="宋体"/>
          <w:b/>
          <w:color w:val="auto"/>
          <w:szCs w:val="21"/>
          <w:highlight w:val="none"/>
        </w:rPr>
        <w:t>2．评标程序</w:t>
      </w:r>
      <w:bookmarkEnd w:id="659"/>
    </w:p>
    <w:p w14:paraId="4B35AD6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2.1投标文件的初审</w:t>
      </w:r>
    </w:p>
    <w:p w14:paraId="22E1B9D5">
      <w:pPr>
        <w:spacing w:line="44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2.1.1资格性检查。依据法</w:t>
      </w:r>
      <w:r>
        <w:rPr>
          <w:rFonts w:hint="eastAsia" w:ascii="宋体"/>
          <w:color w:val="auto"/>
          <w:szCs w:val="21"/>
          <w:highlight w:val="none"/>
        </w:rPr>
        <w:t xml:space="preserve">律法规和招标文件的规定，对投标文件中的资格证明、投标保证金等进行审查，以确定投标人是否具备投标资格。 </w:t>
      </w:r>
    </w:p>
    <w:p w14:paraId="20A34353">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2.1.2符合性检查。依据招标文件的规定，从投标文件的有效性、完整性进行审查，以确定投标人是否对招标文件的实质性要求作出响应。</w:t>
      </w:r>
    </w:p>
    <w:p w14:paraId="0649AFC7">
      <w:pPr>
        <w:spacing w:line="440" w:lineRule="exact"/>
        <w:ind w:firstLine="420" w:firstLineChars="200"/>
        <w:rPr>
          <w:rFonts w:hint="eastAsia" w:ascii="宋体"/>
          <w:color w:val="auto"/>
          <w:szCs w:val="21"/>
          <w:highlight w:val="none"/>
        </w:rPr>
      </w:pPr>
      <w:r>
        <w:rPr>
          <w:rFonts w:hint="eastAsia" w:ascii="宋体"/>
          <w:color w:val="auto"/>
          <w:szCs w:val="21"/>
          <w:highlight w:val="none"/>
        </w:rPr>
        <w:t>2.2投标文件的澄清</w:t>
      </w:r>
    </w:p>
    <w:p w14:paraId="2DC05D4F">
      <w:pPr>
        <w:spacing w:line="440" w:lineRule="exact"/>
        <w:ind w:firstLine="420" w:firstLineChars="200"/>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05706C2B">
      <w:pPr>
        <w:spacing w:line="440" w:lineRule="exact"/>
        <w:ind w:firstLine="420" w:firstLineChars="200"/>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48E055B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w:t>
      </w:r>
      <w:r>
        <w:rPr>
          <w:rFonts w:hint="eastAsia" w:ascii="宋体"/>
          <w:color w:val="auto"/>
          <w:szCs w:val="21"/>
          <w:highlight w:val="none"/>
          <w:lang w:eastAsia="zh-CN"/>
        </w:rPr>
        <w:t>招标人</w:t>
      </w:r>
      <w:r>
        <w:rPr>
          <w:rFonts w:hint="eastAsia" w:ascii="宋体"/>
          <w:color w:val="auto"/>
          <w:szCs w:val="21"/>
          <w:highlight w:val="none"/>
        </w:rPr>
        <w:t>不接受投标人主动提出的澄清。</w:t>
      </w:r>
    </w:p>
    <w:p w14:paraId="4F91FC56">
      <w:pPr>
        <w:spacing w:line="440" w:lineRule="exact"/>
        <w:ind w:firstLine="420" w:firstLineChars="200"/>
        <w:rPr>
          <w:rFonts w:hint="eastAsia" w:ascii="宋体"/>
          <w:color w:val="auto"/>
          <w:szCs w:val="21"/>
          <w:highlight w:val="none"/>
        </w:rPr>
      </w:pPr>
      <w:r>
        <w:rPr>
          <w:rFonts w:hint="eastAsia" w:ascii="宋体"/>
          <w:color w:val="auto"/>
          <w:szCs w:val="21"/>
          <w:highlight w:val="none"/>
        </w:rPr>
        <w:t>2.3比较与评价</w:t>
      </w:r>
    </w:p>
    <w:p w14:paraId="66B8AE68">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2．3.1按招标文件中规定的评标方法和标准，对资格性检查和符合性检查合格的投标文件进行商务和技术评估，综合比较与评价。 </w:t>
      </w:r>
      <w:r>
        <w:rPr>
          <w:rFonts w:hint="eastAsia" w:ascii="宋体"/>
          <w:color w:val="auto"/>
          <w:szCs w:val="21"/>
          <w:highlight w:val="none"/>
        </w:rPr>
        <w:br w:type="textWrapping"/>
      </w:r>
      <w:r>
        <w:rPr>
          <w:rFonts w:hint="eastAsia" w:ascii="宋体"/>
          <w:color w:val="auto"/>
          <w:szCs w:val="21"/>
          <w:highlight w:val="none"/>
        </w:rPr>
        <w:t xml:space="preserve">    2.4推荐中标候选人名单</w:t>
      </w:r>
    </w:p>
    <w:p w14:paraId="543CCF23">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0B8FC6D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2.5在投标文件的审查、澄清、评价和比较以及授予合同过程中，投标人对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3899E4FE">
      <w:pPr>
        <w:keepNext w:val="0"/>
        <w:keepLines w:val="0"/>
        <w:widowControl w:val="0"/>
        <w:suppressLineNumbers w:val="0"/>
        <w:snapToGrid w:val="0"/>
        <w:spacing w:before="156" w:beforeLines="50" w:beforeAutospacing="0" w:after="156" w:afterLines="50" w:afterAutospacing="0" w:line="440" w:lineRule="exact"/>
        <w:ind w:left="0" w:right="0"/>
        <w:jc w:val="both"/>
        <w:outlineLvl w:val="1"/>
        <w:rPr>
          <w:rFonts w:hint="eastAsia" w:ascii="宋体" w:hAnsi="宋体" w:eastAsia="宋体" w:cs="宋体"/>
          <w:b/>
          <w:bCs w:val="0"/>
          <w:color w:val="auto"/>
          <w:kern w:val="0"/>
          <w:sz w:val="24"/>
          <w:szCs w:val="24"/>
          <w:highlight w:val="none"/>
          <w:lang w:val="en-US" w:eastAsia="zh-CN" w:bidi="ar"/>
        </w:rPr>
      </w:pPr>
    </w:p>
    <w:p w14:paraId="39D3D5CA">
      <w:pPr>
        <w:pStyle w:val="6"/>
        <w:rPr>
          <w:rFonts w:hint="eastAsia" w:ascii="宋体" w:hAnsi="宋体" w:eastAsia="宋体" w:cs="宋体"/>
          <w:b/>
          <w:bCs w:val="0"/>
          <w:color w:val="auto"/>
          <w:kern w:val="0"/>
          <w:sz w:val="24"/>
          <w:szCs w:val="24"/>
          <w:highlight w:val="none"/>
          <w:lang w:val="en-US" w:eastAsia="zh-CN" w:bidi="ar"/>
        </w:rPr>
      </w:pPr>
    </w:p>
    <w:p w14:paraId="6B33680F">
      <w:pPr>
        <w:rPr>
          <w:rFonts w:hint="eastAsia"/>
          <w:color w:val="auto"/>
          <w:highlight w:val="none"/>
          <w:lang w:val="en-US" w:eastAsia="zh-CN"/>
        </w:rPr>
      </w:pPr>
    </w:p>
    <w:p w14:paraId="2BD89EC1">
      <w:pPr>
        <w:pStyle w:val="6"/>
        <w:rPr>
          <w:rFonts w:hint="eastAsia"/>
          <w:color w:val="auto"/>
          <w:highlight w:val="none"/>
          <w:lang w:val="en-US" w:eastAsia="zh-CN"/>
        </w:rPr>
      </w:pPr>
    </w:p>
    <w:p w14:paraId="34F6233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lang w:val="en-US" w:eastAsia="zh-CN" w:bidi="ar"/>
        </w:rPr>
        <w:t>二、投标文件审查</w:t>
      </w:r>
    </w:p>
    <w:p w14:paraId="25B75D02">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bookmarkStart w:id="660" w:name="_Toc9092_WPSOffice_Level3"/>
      <w:bookmarkEnd w:id="660"/>
      <w:r>
        <w:rPr>
          <w:rFonts w:hint="eastAsia" w:ascii="黑体" w:hAnsi="宋体" w:eastAsia="黑体" w:cs="宋体"/>
          <w:b/>
          <w:bCs w:val="0"/>
          <w:color w:val="auto"/>
          <w:kern w:val="0"/>
          <w:sz w:val="21"/>
          <w:szCs w:val="21"/>
          <w:highlight w:val="none"/>
          <w:lang w:val="en-US" w:eastAsia="zh-CN" w:bidi="ar"/>
        </w:rPr>
        <w:t>4.资格性审查</w:t>
      </w:r>
    </w:p>
    <w:p w14:paraId="45D6201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4.1评审细则</w:t>
      </w:r>
    </w:p>
    <w:tbl>
      <w:tblPr>
        <w:tblStyle w:val="51"/>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9"/>
        <w:gridCol w:w="3894"/>
      </w:tblGrid>
      <w:tr w14:paraId="1101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71AC649A">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noWrap w:val="0"/>
            <w:vAlign w:val="center"/>
          </w:tcPr>
          <w:p w14:paraId="60FC5B46">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6642CC8F">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评审标准</w:t>
            </w:r>
          </w:p>
        </w:tc>
      </w:tr>
      <w:tr w14:paraId="3A06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0B4F78D0">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1</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15DF72E9">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026E3A68">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）法定代表人身份证明和本人身份证</w:t>
            </w:r>
            <w:r>
              <w:rPr>
                <w:rFonts w:hint="default" w:ascii="Times New Roman" w:hAnsi="Times New Roman"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或法定代表人授权委托书原件和委托代理人身份证</w:t>
            </w:r>
            <w:r>
              <w:rPr>
                <w:rFonts w:hint="default" w:ascii="Times New Roman" w:hAnsi="Times New Roman" w:eastAsia="宋体" w:cs="Times New Roman"/>
                <w:color w:val="auto"/>
                <w:kern w:val="2"/>
                <w:sz w:val="21"/>
                <w:szCs w:val="21"/>
                <w:highlight w:val="none"/>
                <w:lang w:val="en-US" w:eastAsia="zh-CN" w:bidi="ar"/>
              </w:rPr>
              <w:t>)</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27A0799E">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lang w:val="en-US" w:eastAsia="zh-CN" w:bidi="ar"/>
              </w:rPr>
              <w:t>评审核验标书中的下列证书、证明材料：</w:t>
            </w:r>
          </w:p>
          <w:p w14:paraId="006F43BD">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法定代表人身份证明和有效身份证复印件（或授权委托书及委托代理人有效身份证复印件）</w:t>
            </w:r>
          </w:p>
        </w:tc>
      </w:tr>
      <w:tr w14:paraId="3905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noWrap w:val="0"/>
            <w:vAlign w:val="center"/>
          </w:tcPr>
          <w:p w14:paraId="6A2ABA72">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w:t>
            </w:r>
          </w:p>
        </w:tc>
        <w:tc>
          <w:tcPr>
            <w:tcW w:w="1235" w:type="dxa"/>
            <w:vMerge w:val="restart"/>
            <w:tcBorders>
              <w:top w:val="nil"/>
              <w:left w:val="single" w:color="auto" w:sz="4" w:space="0"/>
              <w:right w:val="single" w:color="auto" w:sz="4" w:space="0"/>
            </w:tcBorders>
            <w:noWrap w:val="0"/>
            <w:vAlign w:val="center"/>
          </w:tcPr>
          <w:p w14:paraId="62097250">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40B2822E">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（2）投标人须为独立法人资格</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795D5153">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auto"/>
                <w:kern w:val="2"/>
                <w:sz w:val="21"/>
                <w:szCs w:val="21"/>
                <w:highlight w:val="none"/>
                <w:lang w:val="en-US" w:eastAsia="zh-CN" w:bidi="ar"/>
              </w:rPr>
            </w:pPr>
            <w:r>
              <w:rPr>
                <w:rFonts w:hint="eastAsia" w:ascii="宋体" w:hAnsi="宋体" w:eastAsia="宋体" w:cs="宋体"/>
                <w:b/>
                <w:bCs w:val="0"/>
                <w:color w:val="auto"/>
                <w:kern w:val="2"/>
                <w:sz w:val="21"/>
                <w:szCs w:val="21"/>
                <w:highlight w:val="none"/>
                <w:lang w:val="en-US" w:eastAsia="zh-CN" w:bidi="ar"/>
              </w:rPr>
              <w:t>评审核验标书中的下列证书、证明材料：</w:t>
            </w:r>
          </w:p>
          <w:p w14:paraId="56B506B0">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投标人有效的营业执照、税务登记证、组织机构码证（或“三证合一证书”）、质证书、项目负责人的资质证书</w:t>
            </w:r>
            <w:r>
              <w:rPr>
                <w:rFonts w:hint="eastAsia" w:ascii="宋体" w:hAnsi="宋体" w:cs="宋体"/>
                <w:color w:val="auto"/>
                <w:kern w:val="2"/>
                <w:sz w:val="21"/>
                <w:szCs w:val="21"/>
                <w:highlight w:val="none"/>
                <w:lang w:val="en-US" w:eastAsia="zh-CN" w:bidi="ar"/>
              </w:rPr>
              <w:t>.</w:t>
            </w:r>
          </w:p>
        </w:tc>
      </w:tr>
      <w:tr w14:paraId="67F7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noWrap w:val="0"/>
            <w:vAlign w:val="center"/>
          </w:tcPr>
          <w:p w14:paraId="2EF0D782">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235" w:type="dxa"/>
            <w:vMerge w:val="continue"/>
            <w:tcBorders>
              <w:left w:val="single" w:color="auto" w:sz="4" w:space="0"/>
              <w:right w:val="single" w:color="auto" w:sz="4" w:space="0"/>
            </w:tcBorders>
            <w:noWrap w:val="0"/>
            <w:vAlign w:val="center"/>
          </w:tcPr>
          <w:p w14:paraId="6BC3650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noWrap w:val="0"/>
            <w:vAlign w:val="center"/>
          </w:tcPr>
          <w:p w14:paraId="40DC40BB">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7FA47A9C">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lang w:val="en-US" w:eastAsia="zh-CN" w:bidi="ar"/>
              </w:rPr>
              <w:t>评审核验标书中的下述文件：</w:t>
            </w:r>
          </w:p>
          <w:p w14:paraId="7193A4A1">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诚信投标承诺书</w:t>
            </w:r>
          </w:p>
        </w:tc>
      </w:tr>
    </w:tbl>
    <w:p w14:paraId="382F147B">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lang w:val="en-US" w:eastAsia="zh-CN" w:bidi="ar"/>
        </w:rPr>
        <w:t>5.符合性审查</w:t>
      </w:r>
    </w:p>
    <w:p w14:paraId="0C23C92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color w:val="auto"/>
          <w:highlight w:val="none"/>
          <w:lang w:val="en-US"/>
        </w:rPr>
      </w:pPr>
      <w:bookmarkStart w:id="661" w:name="_Toc4660368"/>
      <w:bookmarkEnd w:id="661"/>
      <w:r>
        <w:rPr>
          <w:rFonts w:hint="eastAsia" w:ascii="宋体" w:hAnsi="宋体" w:eastAsia="宋体" w:cs="宋体"/>
          <w:color w:val="auto"/>
          <w:kern w:val="0"/>
          <w:sz w:val="21"/>
          <w:szCs w:val="21"/>
          <w:highlight w:val="none"/>
          <w:lang w:val="en-US" w:eastAsia="zh-CN" w:bidi="ar"/>
        </w:rPr>
        <w:t>5.1评审细则</w:t>
      </w:r>
    </w:p>
    <w:tbl>
      <w:tblPr>
        <w:tblStyle w:val="51"/>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000"/>
        <w:gridCol w:w="2501"/>
        <w:gridCol w:w="4781"/>
      </w:tblGrid>
      <w:tr w14:paraId="7DFD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5652C4D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noWrap w:val="0"/>
            <w:vAlign w:val="center"/>
          </w:tcPr>
          <w:p w14:paraId="5F4C47C2">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3F69282A">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审查内容</w:t>
            </w:r>
          </w:p>
        </w:tc>
      </w:tr>
      <w:tr w14:paraId="4372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noWrap w:val="0"/>
            <w:vAlign w:val="center"/>
          </w:tcPr>
          <w:p w14:paraId="3E3A411A">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1</w:t>
            </w:r>
          </w:p>
        </w:tc>
        <w:tc>
          <w:tcPr>
            <w:tcW w:w="1000" w:type="dxa"/>
            <w:vMerge w:val="restart"/>
            <w:tcBorders>
              <w:top w:val="nil"/>
              <w:left w:val="single" w:color="auto" w:sz="4" w:space="0"/>
              <w:bottom w:val="single" w:color="auto" w:sz="4" w:space="0"/>
              <w:right w:val="single" w:color="auto" w:sz="4" w:space="0"/>
            </w:tcBorders>
            <w:noWrap w:val="0"/>
            <w:vAlign w:val="center"/>
          </w:tcPr>
          <w:p w14:paraId="3F8B2F5D">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7AB030DC">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13127987">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签字、盖章符合要求。</w:t>
            </w:r>
          </w:p>
        </w:tc>
      </w:tr>
      <w:tr w14:paraId="3745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12C4C9C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8D9DFBB">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nil"/>
              <w:left w:val="single" w:color="auto" w:sz="4" w:space="0"/>
              <w:bottom w:val="single" w:color="auto" w:sz="4" w:space="0"/>
              <w:right w:val="single" w:color="auto" w:sz="4" w:space="0"/>
            </w:tcBorders>
            <w:noWrap w:val="0"/>
            <w:vAlign w:val="center"/>
          </w:tcPr>
          <w:p w14:paraId="271B4A27">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09E7F291">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只能有一个方案投标。</w:t>
            </w:r>
          </w:p>
        </w:tc>
      </w:tr>
      <w:tr w14:paraId="2208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6964DD7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3F313285">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4E77C158">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25A6DABC">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color w:val="auto"/>
                <w:kern w:val="2"/>
                <w:highlight w:val="none"/>
                <w:lang w:val="en-US"/>
              </w:rPr>
            </w:pPr>
            <w:r>
              <w:rPr>
                <w:rFonts w:hint="eastAsia" w:ascii="宋体" w:hAnsi="宋体" w:cs="宋体"/>
                <w:color w:val="auto"/>
                <w:szCs w:val="21"/>
                <w:highlight w:val="none"/>
              </w:rPr>
              <w:t>只能有一个报价</w:t>
            </w:r>
            <w:r>
              <w:rPr>
                <w:rFonts w:hint="eastAsia" w:ascii="宋体" w:hAnsi="宋体" w:eastAsia="宋体" w:cs="仿宋_GB2312"/>
                <w:color w:val="auto"/>
                <w:kern w:val="2"/>
                <w:sz w:val="21"/>
                <w:szCs w:val="21"/>
                <w:highlight w:val="none"/>
                <w:lang w:val="en-US" w:eastAsia="zh-CN" w:bidi="ar"/>
              </w:rPr>
              <w:t>。</w:t>
            </w:r>
          </w:p>
        </w:tc>
      </w:tr>
      <w:tr w14:paraId="7BC7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359FA1E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2B3C8CEA">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nil"/>
              <w:left w:val="single" w:color="auto" w:sz="4" w:space="0"/>
              <w:bottom w:val="single" w:color="auto" w:sz="4" w:space="0"/>
              <w:right w:val="single" w:color="auto" w:sz="4" w:space="0"/>
            </w:tcBorders>
            <w:noWrap w:val="0"/>
            <w:vAlign w:val="center"/>
          </w:tcPr>
          <w:p w14:paraId="5C9D453D">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678F909F">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完全响应。</w:t>
            </w:r>
          </w:p>
        </w:tc>
      </w:tr>
      <w:tr w14:paraId="0385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noWrap w:val="0"/>
            <w:vAlign w:val="center"/>
          </w:tcPr>
          <w:p w14:paraId="58F57F5B">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w:t>
            </w:r>
          </w:p>
        </w:tc>
        <w:tc>
          <w:tcPr>
            <w:tcW w:w="1000" w:type="dxa"/>
            <w:vMerge w:val="restart"/>
            <w:tcBorders>
              <w:top w:val="nil"/>
              <w:left w:val="single" w:color="auto" w:sz="4" w:space="0"/>
              <w:bottom w:val="single" w:color="auto" w:sz="4" w:space="0"/>
              <w:right w:val="single" w:color="auto" w:sz="4" w:space="0"/>
            </w:tcBorders>
            <w:noWrap w:val="0"/>
            <w:vAlign w:val="center"/>
          </w:tcPr>
          <w:p w14:paraId="0958A97A">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5D9990DE">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5276CDDF">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完全响应。</w:t>
            </w:r>
          </w:p>
        </w:tc>
      </w:tr>
      <w:tr w14:paraId="213B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3680B382">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1F5A5A81">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0D2DF532">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4E39780D">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投标文件内容清晰、齐全无遗漏。</w:t>
            </w:r>
          </w:p>
        </w:tc>
      </w:tr>
      <w:tr w14:paraId="3EA3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4A51167F">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42667CD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61B22B15">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auto"/>
                <w:kern w:val="2"/>
                <w:highlight w:val="none"/>
                <w:lang w:val="en-US"/>
              </w:rPr>
            </w:pPr>
            <w:r>
              <w:rPr>
                <w:rFonts w:hint="eastAsia" w:ascii="宋体" w:hAnsi="宋体" w:eastAsia="宋体" w:cs="仿宋_GB2312"/>
                <w:color w:val="auto"/>
                <w:kern w:val="2"/>
                <w:sz w:val="21"/>
                <w:szCs w:val="21"/>
                <w:highlight w:val="none"/>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3C2B8D21">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响应招标文件要求。</w:t>
            </w:r>
          </w:p>
        </w:tc>
      </w:tr>
    </w:tbl>
    <w:p w14:paraId="6AA2582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5.2评委会判定投标文件的响应性只根据投标文件本身的内容，而不寻求外部的证据，但投标有不真实不正确的内容时除外。</w:t>
      </w:r>
    </w:p>
    <w:p w14:paraId="380CBC4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5.3如果投标文件实质上没有响应招标文件的要求，评委会将予以拒绝，投标人不得通过修正或撤销不符合要求的偏离或保留，而使其投标成为实质上响应的投标。</w:t>
      </w:r>
    </w:p>
    <w:p w14:paraId="69C109D3">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color w:val="auto"/>
          <w:kern w:val="0"/>
          <w:sz w:val="21"/>
          <w:szCs w:val="21"/>
          <w:highlight w:val="none"/>
          <w:lang w:val="en-US" w:eastAsia="zh-CN" w:bidi="ar"/>
        </w:rPr>
        <w:t>5.4只有通过初审的投标人才能进入下一步程序。</w:t>
      </w:r>
    </w:p>
    <w:p w14:paraId="5A96026E">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662" w:name="_Toc22100_WPSOffice_Level2"/>
      <w:bookmarkStart w:id="663" w:name="_Toc831"/>
    </w:p>
    <w:p w14:paraId="7C7FB063">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662"/>
      <w:bookmarkEnd w:id="663"/>
    </w:p>
    <w:p w14:paraId="39085D55">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14:paraId="392033D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14:paraId="13A12E03">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14:paraId="02042FC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14:paraId="6C558EDD">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EAEEB4D">
      <w:pPr>
        <w:widowControl w:val="0"/>
        <w:spacing w:line="440" w:lineRule="exact"/>
        <w:ind w:firstLine="420" w:firstLineChars="200"/>
        <w:textAlignment w:val="auto"/>
        <w:rPr>
          <w:rFonts w:cs="宋体"/>
          <w:color w:val="auto"/>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14:paraId="23556BAE">
      <w:pPr>
        <w:spacing w:line="400" w:lineRule="exact"/>
        <w:ind w:firstLine="562" w:firstLineChars="200"/>
        <w:jc w:val="center"/>
        <w:outlineLvl w:val="1"/>
        <w:rPr>
          <w:rFonts w:hint="eastAsia" w:ascii="宋体" w:hAnsi="宋体"/>
          <w:b/>
          <w:color w:val="auto"/>
          <w:sz w:val="28"/>
          <w:szCs w:val="28"/>
          <w:highlight w:val="none"/>
        </w:rPr>
      </w:pPr>
      <w:r>
        <w:rPr>
          <w:rFonts w:hint="eastAsia" w:ascii="宋体" w:hAnsi="宋体"/>
          <w:b/>
          <w:color w:val="auto"/>
          <w:sz w:val="28"/>
          <w:szCs w:val="28"/>
          <w:highlight w:val="none"/>
        </w:rPr>
        <w:t>四</w:t>
      </w:r>
      <w:r>
        <w:rPr>
          <w:rFonts w:hint="eastAsia" w:ascii="宋体" w:hAnsi="宋体"/>
          <w:b/>
          <w:color w:val="auto"/>
          <w:sz w:val="28"/>
          <w:szCs w:val="28"/>
          <w:highlight w:val="none"/>
          <w:lang w:eastAsia="zh-CN"/>
        </w:rPr>
        <w:t>、</w:t>
      </w:r>
      <w:r>
        <w:rPr>
          <w:rFonts w:hint="eastAsia" w:ascii="宋体" w:hAnsi="宋体"/>
          <w:b/>
          <w:color w:val="auto"/>
          <w:sz w:val="28"/>
          <w:szCs w:val="28"/>
          <w:highlight w:val="none"/>
        </w:rPr>
        <w:t>比较与评价</w:t>
      </w:r>
    </w:p>
    <w:p w14:paraId="2875D955">
      <w:pPr>
        <w:spacing w:line="400" w:lineRule="exact"/>
        <w:ind w:firstLine="422" w:firstLineChars="200"/>
        <w:rPr>
          <w:rFonts w:hint="eastAsia" w:ascii="宋体" w:hAnsi="宋体"/>
          <w:b/>
          <w:color w:val="auto"/>
          <w:szCs w:val="21"/>
          <w:highlight w:val="none"/>
        </w:rPr>
      </w:pPr>
      <w:bookmarkStart w:id="664" w:name="_Toc25521"/>
      <w:bookmarkStart w:id="665" w:name="_Toc19726_WPSOffice_Level2"/>
      <w:r>
        <w:rPr>
          <w:rFonts w:hint="eastAsia" w:ascii="宋体" w:hAnsi="宋体"/>
          <w:b/>
          <w:color w:val="auto"/>
          <w:szCs w:val="21"/>
          <w:highlight w:val="none"/>
        </w:rPr>
        <w:t>6. 详细评审即</w:t>
      </w:r>
      <w:r>
        <w:rPr>
          <w:rFonts w:ascii="宋体" w:hAnsi="宋体"/>
          <w:b/>
          <w:color w:val="auto"/>
          <w:szCs w:val="21"/>
          <w:highlight w:val="none"/>
        </w:rPr>
        <w:t>按招标文件中规定的评标方法和标准，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b/>
          <w:color w:val="auto"/>
          <w:szCs w:val="21"/>
          <w:highlight w:val="none"/>
        </w:rPr>
        <w:t>进行</w:t>
      </w:r>
      <w:r>
        <w:rPr>
          <w:rFonts w:hint="eastAsia" w:ascii="宋体" w:hAnsi="宋体"/>
          <w:b/>
          <w:color w:val="auto"/>
          <w:szCs w:val="21"/>
          <w:highlight w:val="none"/>
        </w:rPr>
        <w:t>商务报价评审，</w:t>
      </w:r>
      <w:r>
        <w:rPr>
          <w:rFonts w:ascii="宋体" w:hAnsi="宋体"/>
          <w:b/>
          <w:color w:val="auto"/>
          <w:szCs w:val="21"/>
          <w:highlight w:val="none"/>
        </w:rPr>
        <w:t>综合比较与评价</w:t>
      </w:r>
      <w:r>
        <w:rPr>
          <w:rFonts w:hint="eastAsia" w:ascii="宋体" w:hAnsi="宋体"/>
          <w:b/>
          <w:color w:val="auto"/>
          <w:szCs w:val="21"/>
          <w:highlight w:val="none"/>
        </w:rPr>
        <w:t>。</w:t>
      </w:r>
    </w:p>
    <w:p w14:paraId="28AEE16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w:t>
      </w:r>
      <w:r>
        <w:rPr>
          <w:rFonts w:hint="eastAsia" w:ascii="宋体" w:hAnsi="宋体"/>
          <w:color w:val="auto"/>
          <w:szCs w:val="21"/>
          <w:highlight w:val="none"/>
        </w:rPr>
        <w:t>商务标评审</w:t>
      </w:r>
    </w:p>
    <w:p w14:paraId="48D033BA">
      <w:pPr>
        <w:snapToGrid w:val="0"/>
        <w:spacing w:line="44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.1.1</w:t>
      </w:r>
      <w:r>
        <w:rPr>
          <w:rFonts w:hint="eastAsia" w:ascii="宋体" w:hAnsi="宋体"/>
          <w:color w:val="auto"/>
          <w:szCs w:val="21"/>
          <w:highlight w:val="none"/>
        </w:rPr>
        <w:t>如评标委员会认为，投标人的报价明显低于其他通过符合性审查投标人的报价，有可能影响产品质量和不能诚信履约的，应当要求其在评标现场合理的时间内提供书面说明，必要时提交相关证明材料；投标人不能证明其报价合理性的，评标委员会应当将其作为无效投标处理。</w:t>
      </w:r>
    </w:p>
    <w:p w14:paraId="1F15C0FD">
      <w:pPr>
        <w:spacing w:line="360" w:lineRule="exact"/>
        <w:ind w:firstLine="421"/>
        <w:rPr>
          <w:rFonts w:ascii="宋体" w:hAnsi="宋体"/>
          <w:b/>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1.2</w:t>
      </w:r>
      <w:r>
        <w:rPr>
          <w:rFonts w:hint="eastAsia" w:ascii="宋体" w:hAnsi="宋体"/>
          <w:color w:val="auto"/>
          <w:szCs w:val="21"/>
          <w:highlight w:val="none"/>
        </w:rPr>
        <w:t>评标委员会按修正后按投标报价由低到高顺序排序，确定中标候选人。</w:t>
      </w:r>
    </w:p>
    <w:p w14:paraId="29F18E0F">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p>
    <w:p w14:paraId="55F5C7D3">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  推荐中标候选人</w:t>
      </w:r>
      <w:bookmarkEnd w:id="664"/>
      <w:bookmarkEnd w:id="665"/>
    </w:p>
    <w:p w14:paraId="57705CD3">
      <w:pPr>
        <w:spacing w:line="400" w:lineRule="exact"/>
        <w:ind w:firstLine="417" w:firstLineChars="198"/>
        <w:rPr>
          <w:rFonts w:hint="eastAsia" w:ascii="宋体" w:hAnsi="宋体" w:eastAsia="宋体" w:cs="Times New Roman"/>
          <w:b/>
          <w:color w:val="auto"/>
          <w:szCs w:val="21"/>
          <w:highlight w:val="none"/>
        </w:rPr>
      </w:pPr>
      <w:bookmarkStart w:id="666" w:name="_Toc267320058"/>
      <w:r>
        <w:rPr>
          <w:rFonts w:hint="eastAsia" w:ascii="宋体" w:hAnsi="宋体" w:eastAsia="宋体" w:cs="Times New Roman"/>
          <w:b/>
          <w:color w:val="auto"/>
          <w:szCs w:val="21"/>
          <w:highlight w:val="none"/>
        </w:rPr>
        <w:t>7. 评标委员会根据第二章投标人须知及前附表的规定数量推荐中标候选人，并标明排序。</w:t>
      </w:r>
    </w:p>
    <w:p w14:paraId="3261C239">
      <w:pPr>
        <w:snapToGrid w:val="0"/>
        <w:spacing w:line="400" w:lineRule="exact"/>
        <w:ind w:firstLine="420" w:firstLineChars="200"/>
        <w:rPr>
          <w:rFonts w:hint="eastAsia" w:ascii="宋体"/>
          <w:color w:val="auto"/>
          <w:szCs w:val="21"/>
          <w:highlight w:val="none"/>
        </w:rPr>
      </w:pPr>
      <w:r>
        <w:rPr>
          <w:rFonts w:hint="eastAsia" w:ascii="宋体" w:hAnsi="宋体"/>
          <w:color w:val="auto"/>
          <w:szCs w:val="21"/>
          <w:highlight w:val="none"/>
        </w:rPr>
        <w:t>7.1如出现报价相同情况，则由</w:t>
      </w:r>
      <w:r>
        <w:rPr>
          <w:rFonts w:hint="eastAsia" w:ascii="宋体" w:hAnsi="宋体"/>
          <w:color w:val="auto"/>
          <w:szCs w:val="21"/>
          <w:highlight w:val="none"/>
          <w:lang w:eastAsia="zh-CN"/>
        </w:rPr>
        <w:t>招标人</w:t>
      </w:r>
      <w:r>
        <w:rPr>
          <w:rFonts w:hint="eastAsia" w:ascii="宋体" w:hAnsi="宋体"/>
          <w:color w:val="auto"/>
          <w:szCs w:val="21"/>
          <w:highlight w:val="none"/>
        </w:rPr>
        <w:t>现场抽签确定中标候选人排名顺序。</w:t>
      </w:r>
    </w:p>
    <w:p w14:paraId="45C82EB1">
      <w:pPr>
        <w:snapToGrid w:val="0"/>
        <w:spacing w:line="440" w:lineRule="exact"/>
        <w:ind w:firstLine="422" w:firstLineChars="200"/>
        <w:rPr>
          <w:rFonts w:hint="eastAsia" w:ascii="黑体" w:eastAsia="黑体" w:cs="宋体"/>
          <w:color w:val="auto"/>
          <w:szCs w:val="21"/>
          <w:highlight w:val="none"/>
        </w:rPr>
      </w:pPr>
      <w:r>
        <w:rPr>
          <w:rFonts w:hint="eastAsia" w:ascii="黑体" w:eastAsia="黑体" w:cs="宋体"/>
          <w:b/>
          <w:color w:val="auto"/>
          <w:szCs w:val="21"/>
          <w:highlight w:val="none"/>
        </w:rPr>
        <w:t>8.</w:t>
      </w:r>
      <w:bookmarkEnd w:id="666"/>
      <w:r>
        <w:rPr>
          <w:rFonts w:hint="eastAsia" w:ascii="黑体" w:eastAsia="黑体" w:cs="宋体"/>
          <w:b/>
          <w:color w:val="auto"/>
          <w:szCs w:val="21"/>
          <w:highlight w:val="none"/>
        </w:rPr>
        <w:t>无效投标条款</w:t>
      </w:r>
    </w:p>
    <w:p w14:paraId="2979D89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40DA4903">
      <w:pPr>
        <w:spacing w:line="400" w:lineRule="exact"/>
        <w:ind w:firstLine="420" w:firstLineChars="200"/>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p>
    <w:p w14:paraId="36E1A678">
      <w:pPr>
        <w:spacing w:line="400" w:lineRule="exact"/>
        <w:ind w:firstLine="420" w:firstLineChars="200"/>
        <w:rPr>
          <w:rFonts w:hint="eastAsia" w:ascii="宋体"/>
          <w:color w:val="auto"/>
          <w:szCs w:val="21"/>
          <w:highlight w:val="none"/>
        </w:rPr>
      </w:pPr>
      <w:r>
        <w:rPr>
          <w:rFonts w:hint="eastAsia" w:ascii="宋体"/>
          <w:color w:val="auto"/>
          <w:szCs w:val="21"/>
          <w:highlight w:val="none"/>
        </w:rPr>
        <w:t>（2）未按第二章第26.1.1项或第26.1.2项中要求密封和加写标记的投标文件，其投标文件将被拒收。</w:t>
      </w:r>
    </w:p>
    <w:p w14:paraId="6A61504E">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14:paraId="249F3564">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(1)法定代表人（或授权委托人）未准时参加会议；</w:t>
      </w:r>
    </w:p>
    <w:p w14:paraId="266B511E">
      <w:pPr>
        <w:snapToGrid w:val="0"/>
        <w:spacing w:line="400" w:lineRule="exact"/>
        <w:ind w:firstLine="420" w:firstLineChars="200"/>
        <w:rPr>
          <w:rFonts w:ascii="宋体"/>
          <w:color w:val="auto"/>
          <w:szCs w:val="21"/>
          <w:highlight w:val="none"/>
        </w:rPr>
      </w:pPr>
      <w:r>
        <w:rPr>
          <w:rFonts w:hint="eastAsia" w:ascii="宋体"/>
          <w:color w:val="auto"/>
          <w:szCs w:val="21"/>
          <w:highlight w:val="none"/>
        </w:rPr>
        <w:t>(2)法定代表人参加开标会议未携带有效的法定代表人身份证明原件和本人身份证的；委托代理人参加开标会议未携带有效的法定代表人授权书和本人身份证；</w:t>
      </w:r>
    </w:p>
    <w:p w14:paraId="4CF1ECF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(3)投标人为本项目提供招标代理服务的；</w:t>
      </w:r>
    </w:p>
    <w:p w14:paraId="0BAF3AEE">
      <w:pPr>
        <w:snapToGrid w:val="0"/>
        <w:spacing w:line="400" w:lineRule="exact"/>
        <w:ind w:firstLine="420" w:firstLineChars="200"/>
        <w:rPr>
          <w:rFonts w:ascii="宋体"/>
          <w:color w:val="auto"/>
          <w:szCs w:val="21"/>
          <w:highlight w:val="none"/>
        </w:rPr>
      </w:pPr>
      <w:r>
        <w:rPr>
          <w:rFonts w:hint="eastAsia" w:ascii="宋体"/>
          <w:color w:val="auto"/>
          <w:szCs w:val="21"/>
          <w:highlight w:val="none"/>
        </w:rPr>
        <w:t>(4)投标人与在本项目代理机构存在相互任职或工作的；</w:t>
      </w:r>
    </w:p>
    <w:p w14:paraId="583FC67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(5)被暂停停业的；</w:t>
      </w:r>
    </w:p>
    <w:p w14:paraId="26F8330C">
      <w:pPr>
        <w:snapToGrid w:val="0"/>
        <w:spacing w:line="400" w:lineRule="exact"/>
        <w:ind w:firstLine="420" w:firstLineChars="200"/>
        <w:rPr>
          <w:rFonts w:ascii="宋体"/>
          <w:color w:val="auto"/>
          <w:szCs w:val="21"/>
          <w:highlight w:val="none"/>
        </w:rPr>
      </w:pPr>
      <w:r>
        <w:rPr>
          <w:rFonts w:hint="eastAsia" w:ascii="宋体"/>
          <w:color w:val="auto"/>
          <w:szCs w:val="21"/>
          <w:highlight w:val="none"/>
        </w:rPr>
        <w:t>(6)被暂停或取消投标资格的；</w:t>
      </w:r>
    </w:p>
    <w:p w14:paraId="31F39B9A">
      <w:pPr>
        <w:snapToGrid w:val="0"/>
        <w:spacing w:line="400" w:lineRule="exact"/>
        <w:ind w:firstLine="420" w:firstLineChars="200"/>
        <w:rPr>
          <w:rFonts w:ascii="宋体"/>
          <w:color w:val="auto"/>
          <w:szCs w:val="21"/>
          <w:highlight w:val="none"/>
        </w:rPr>
      </w:pPr>
      <w:r>
        <w:rPr>
          <w:rFonts w:hint="eastAsia" w:ascii="宋体"/>
          <w:color w:val="auto"/>
          <w:szCs w:val="21"/>
          <w:highlight w:val="none"/>
        </w:rPr>
        <w:t>(7)财产被接管或冻结的；</w:t>
      </w:r>
    </w:p>
    <w:p w14:paraId="05854C9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(8)投标人单位负责人为同一人或者存在控股、管理关系的不同单位的；</w:t>
      </w:r>
    </w:p>
    <w:p w14:paraId="644FBFAD">
      <w:pPr>
        <w:snapToGrid w:val="0"/>
        <w:spacing w:line="400" w:lineRule="exact"/>
        <w:ind w:firstLine="420" w:firstLineChars="200"/>
        <w:rPr>
          <w:rFonts w:ascii="宋体"/>
          <w:color w:val="auto"/>
          <w:szCs w:val="21"/>
          <w:highlight w:val="none"/>
        </w:rPr>
      </w:pPr>
      <w:r>
        <w:rPr>
          <w:rFonts w:hint="eastAsia" w:ascii="宋体"/>
          <w:color w:val="auto"/>
          <w:szCs w:val="21"/>
          <w:highlight w:val="none"/>
        </w:rPr>
        <w:t>(9)投标人基本资格条件和特定资格条件中有一项及以上不符合要求的；</w:t>
      </w:r>
    </w:p>
    <w:p w14:paraId="22546DB8">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(10)其它情形，经评标委员会委提出按无效投标处理，并经采购单位核准的；</w:t>
      </w:r>
    </w:p>
    <w:p w14:paraId="7F8CA78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(11)招标文件规定的其它无效投标情形。</w:t>
      </w:r>
    </w:p>
    <w:p w14:paraId="04C1445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14:paraId="4A821BA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eastAsia="zh-CN"/>
        </w:rPr>
        <w:t>招标人</w:t>
      </w:r>
      <w:r>
        <w:rPr>
          <w:rFonts w:hint="eastAsia" w:ascii="宋体"/>
          <w:color w:val="auto"/>
          <w:szCs w:val="21"/>
          <w:highlight w:val="none"/>
        </w:rPr>
        <w:t>核准的；</w:t>
      </w:r>
    </w:p>
    <w:p w14:paraId="7BDBFED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(2)未按规定的格式填写，实质性内容不全或关键字迹模糊、无法辨认; 经采购单位核准的；</w:t>
      </w:r>
    </w:p>
    <w:p w14:paraId="716DF304">
      <w:pPr>
        <w:snapToGrid w:val="0"/>
        <w:spacing w:line="400" w:lineRule="exact"/>
        <w:ind w:firstLine="420" w:firstLineChars="200"/>
        <w:rPr>
          <w:rFonts w:ascii="宋体"/>
          <w:color w:val="auto"/>
          <w:szCs w:val="21"/>
          <w:highlight w:val="none"/>
        </w:rPr>
      </w:pPr>
      <w:r>
        <w:rPr>
          <w:rFonts w:hint="eastAsia" w:ascii="宋体"/>
          <w:color w:val="auto"/>
          <w:szCs w:val="21"/>
          <w:highlight w:val="none"/>
        </w:rPr>
        <w:t>(3)同一投标人提交两个以上不同的投标文件或者投标报价，但招标文件规定提交备选方案的除外；</w:t>
      </w:r>
    </w:p>
    <w:p w14:paraId="038C8C4F">
      <w:pPr>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(4)投标文件没有对招标文件的实质性要求和条件作出响应；</w:t>
      </w:r>
    </w:p>
    <w:p w14:paraId="1CB86C50">
      <w:pPr>
        <w:snapToGrid w:val="0"/>
        <w:spacing w:line="400" w:lineRule="exact"/>
        <w:ind w:firstLine="420" w:firstLineChars="200"/>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r>
        <w:rPr>
          <w:rFonts w:hint="eastAsia" w:ascii="宋体"/>
          <w:color w:val="auto"/>
          <w:szCs w:val="21"/>
          <w:highlight w:val="none"/>
        </w:rPr>
        <w:t>；</w:t>
      </w:r>
    </w:p>
    <w:p w14:paraId="0466FB49">
      <w:pPr>
        <w:snapToGrid w:val="0"/>
        <w:spacing w:line="400" w:lineRule="exact"/>
        <w:ind w:firstLine="420" w:firstLineChars="200"/>
        <w:rPr>
          <w:rFonts w:ascii="宋体"/>
          <w:color w:val="auto"/>
          <w:szCs w:val="21"/>
          <w:highlight w:val="none"/>
        </w:rPr>
      </w:pPr>
      <w:r>
        <w:rPr>
          <w:rFonts w:hint="eastAsia" w:ascii="宋体"/>
          <w:color w:val="auto"/>
          <w:szCs w:val="21"/>
          <w:highlight w:val="none"/>
        </w:rPr>
        <w:t>(6)不按评标委员会要求澄清、说明或补正的，或者评标委员会根据招标文件的规定对招标文件的计算错误进行修正后，投标人不接受修正的投标报价的。</w:t>
      </w:r>
    </w:p>
    <w:p w14:paraId="49A9DAF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(7)其它情形，经评标委员会委提出按无效投标处理，并经采购单位核准的；</w:t>
      </w:r>
    </w:p>
    <w:p w14:paraId="31EC8BF5">
      <w:pPr>
        <w:snapToGrid w:val="0"/>
        <w:spacing w:line="400" w:lineRule="exact"/>
        <w:ind w:firstLine="420" w:firstLineChars="200"/>
        <w:rPr>
          <w:rFonts w:ascii="宋体"/>
          <w:color w:val="auto"/>
          <w:szCs w:val="21"/>
          <w:highlight w:val="none"/>
        </w:rPr>
      </w:pPr>
      <w:r>
        <w:rPr>
          <w:rFonts w:hint="eastAsia" w:ascii="宋体"/>
          <w:color w:val="auto"/>
          <w:szCs w:val="21"/>
          <w:highlight w:val="none"/>
        </w:rPr>
        <w:t>(8)未按照招标文件的规定提交投标保证金的；</w:t>
      </w:r>
    </w:p>
    <w:p w14:paraId="13BE220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eastAsia="zh-CN"/>
        </w:rPr>
        <w:t>招标人</w:t>
      </w:r>
      <w:r>
        <w:rPr>
          <w:rFonts w:hint="eastAsia" w:ascii="宋体"/>
          <w:color w:val="auto"/>
          <w:szCs w:val="21"/>
          <w:highlight w:val="none"/>
        </w:rPr>
        <w:t>不能接受的附加条件的;</w:t>
      </w:r>
    </w:p>
    <w:p w14:paraId="4D87E181">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(10)招标文件规定的其它无效投标情形。</w:t>
      </w:r>
    </w:p>
    <w:p w14:paraId="27CD2A1E">
      <w:pPr>
        <w:tabs>
          <w:tab w:val="left" w:pos="8820"/>
        </w:tabs>
        <w:snapToGrid w:val="0"/>
        <w:spacing w:line="400" w:lineRule="exact"/>
        <w:ind w:firstLine="420" w:firstLineChars="200"/>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14:paraId="58849191">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(1)投标产品不符合必须强制执行的国家标准的；</w:t>
      </w:r>
    </w:p>
    <w:p w14:paraId="7DF4F685">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(2)投标人有串通投标、弄虚作假、行贿等违法行为；</w:t>
      </w:r>
    </w:p>
    <w:p w14:paraId="08FBA2C6">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招标人</w:t>
      </w:r>
      <w:r>
        <w:rPr>
          <w:rFonts w:hint="eastAsia" w:ascii="宋体"/>
          <w:color w:val="auto"/>
          <w:szCs w:val="21"/>
          <w:highlight w:val="none"/>
        </w:rPr>
        <w:t>不能接受的条件的；</w:t>
      </w:r>
    </w:p>
    <w:p w14:paraId="5F00208B">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(4)在同一项目（或同一标段）中有多个投标人有效投标报价接近最高限价，且评标委员会认为报价出现异常的，可以宣布其投标无效；</w:t>
      </w:r>
    </w:p>
    <w:p w14:paraId="51EF4EF3">
      <w:pPr>
        <w:tabs>
          <w:tab w:val="left" w:pos="8820"/>
        </w:tabs>
        <w:snapToGrid w:val="0"/>
        <w:spacing w:line="400" w:lineRule="exact"/>
        <w:ind w:firstLine="420" w:firstLineChars="200"/>
        <w:rPr>
          <w:rFonts w:ascii="宋体" w:cs="宋体"/>
          <w:color w:val="auto"/>
          <w:szCs w:val="21"/>
          <w:highlight w:val="none"/>
        </w:rPr>
      </w:pPr>
      <w:r>
        <w:rPr>
          <w:rFonts w:hint="eastAsia" w:ascii="宋体"/>
          <w:color w:val="auto"/>
          <w:szCs w:val="21"/>
          <w:highlight w:val="none"/>
        </w:rPr>
        <w:t>(5)</w:t>
      </w:r>
      <w:r>
        <w:rPr>
          <w:rFonts w:hint="eastAsia" w:ascii="宋体" w:cs="宋体"/>
          <w:color w:val="auto"/>
          <w:szCs w:val="21"/>
          <w:highlight w:val="none"/>
        </w:rPr>
        <w:t>报价明显低于其他投标人，且不能证明报价合理性的投标无效；</w:t>
      </w:r>
    </w:p>
    <w:p w14:paraId="30843841">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(6)拒不确认评标委员会评审修正的投标无效；</w:t>
      </w:r>
    </w:p>
    <w:p w14:paraId="432D2D36">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eastAsia="zh-CN"/>
        </w:rPr>
        <w:t>招标人</w:t>
      </w:r>
      <w:r>
        <w:rPr>
          <w:rFonts w:hint="eastAsia" w:ascii="宋体"/>
          <w:color w:val="auto"/>
          <w:szCs w:val="21"/>
          <w:highlight w:val="none"/>
        </w:rPr>
        <w:t>核准的；</w:t>
      </w:r>
    </w:p>
    <w:p w14:paraId="4809F1BA">
      <w:pPr>
        <w:tabs>
          <w:tab w:val="left" w:pos="8820"/>
        </w:tabs>
        <w:snapToGrid w:val="0"/>
        <w:spacing w:line="400" w:lineRule="exact"/>
        <w:ind w:firstLine="420" w:firstLineChars="200"/>
        <w:rPr>
          <w:rFonts w:hint="eastAsia" w:ascii="宋体" w:hAnsi="宋体" w:eastAsia="宋体"/>
          <w:b/>
          <w:color w:val="auto"/>
          <w:szCs w:val="21"/>
          <w:highlight w:val="none"/>
          <w:lang w:eastAsia="zh-CN"/>
        </w:rPr>
        <w:sectPr>
          <w:headerReference r:id="rId3" w:type="default"/>
          <w:footerReference r:id="rId4" w:type="default"/>
          <w:pgSz w:w="11906" w:h="16838"/>
          <w:pgMar w:top="1088" w:right="1638" w:bottom="1020" w:left="1672" w:header="284" w:footer="680" w:gutter="0"/>
          <w:pgNumType w:fmt="decimal"/>
          <w:cols w:space="720" w:num="1"/>
          <w:rtlGutter w:val="0"/>
          <w:docGrid w:type="lines" w:linePitch="312" w:charSpace="0"/>
        </w:sectPr>
      </w:pPr>
      <w:r>
        <w:rPr>
          <w:rFonts w:hint="eastAsia" w:ascii="宋体"/>
          <w:color w:val="auto"/>
          <w:szCs w:val="21"/>
          <w:highlight w:val="none"/>
        </w:rPr>
        <w:t>(8)招标文件规定的其它无效投标</w:t>
      </w:r>
      <w:r>
        <w:rPr>
          <w:rFonts w:hint="eastAsia" w:ascii="宋体"/>
          <w:color w:val="auto"/>
          <w:szCs w:val="21"/>
          <w:highlight w:val="none"/>
          <w:lang w:val="en-US" w:eastAsia="zh-CN"/>
        </w:rPr>
        <w:t>情形。</w:t>
      </w:r>
    </w:p>
    <w:bookmarkEnd w:id="58"/>
    <w:p w14:paraId="1666AE28">
      <w:pPr>
        <w:numPr>
          <w:ilvl w:val="0"/>
          <w:numId w:val="1"/>
        </w:numPr>
        <w:spacing w:beforeLines="50" w:afterLines="50"/>
        <w:jc w:val="center"/>
        <w:outlineLvl w:val="0"/>
        <w:rPr>
          <w:rFonts w:hint="eastAsia"/>
          <w:b/>
          <w:bCs/>
          <w:color w:val="auto"/>
          <w:sz w:val="32"/>
          <w:szCs w:val="32"/>
          <w:highlight w:val="none"/>
          <w:lang w:val="en-US" w:eastAsia="zh-CN"/>
        </w:rPr>
      </w:pPr>
      <w:bookmarkStart w:id="667" w:name="_Toc410740236"/>
      <w:bookmarkStart w:id="668" w:name="_Toc26076"/>
      <w:bookmarkStart w:id="669" w:name="_Toc22466"/>
      <w:bookmarkStart w:id="670" w:name="_Toc15832"/>
      <w:bookmarkStart w:id="671" w:name="_Toc35864588"/>
      <w:r>
        <w:rPr>
          <w:rFonts w:hint="eastAsia" w:ascii="Times New Roman" w:hAnsi="Times New Roman" w:eastAsia="宋体" w:cs="Times New Roman"/>
          <w:b/>
          <w:bCs/>
          <w:color w:val="auto"/>
          <w:sz w:val="32"/>
          <w:szCs w:val="32"/>
          <w:highlight w:val="none"/>
          <w:lang w:val="en-US" w:eastAsia="zh-CN"/>
        </w:rPr>
        <w:t>施工需求及技术参数要求</w:t>
      </w:r>
    </w:p>
    <w:p w14:paraId="5E098D2E">
      <w:pPr>
        <w:pStyle w:val="6"/>
        <w:numPr>
          <w:ilvl w:val="0"/>
          <w:numId w:val="2"/>
        </w:numPr>
        <w:rPr>
          <w:rFonts w:hint="eastAsia" w:ascii="Calibri" w:hAnsi="Calibri" w:eastAsia="宋体" w:cs="Times New Roman"/>
          <w:color w:val="auto"/>
          <w:kern w:val="2"/>
          <w:sz w:val="21"/>
          <w:szCs w:val="24"/>
          <w:highlight w:val="none"/>
          <w:lang w:val="en-US" w:eastAsia="zh-CN" w:bidi="ar-SA"/>
        </w:rPr>
      </w:pPr>
      <w:r>
        <w:rPr>
          <w:rFonts w:hint="eastAsia" w:ascii="Times New Roman" w:hAnsi="Times New Roman" w:cs="Times New Roman"/>
          <w:b/>
          <w:bCs/>
          <w:color w:val="auto"/>
          <w:sz w:val="32"/>
          <w:szCs w:val="32"/>
          <w:highlight w:val="none"/>
          <w:lang w:val="en-US" w:eastAsia="zh-CN"/>
        </w:rPr>
        <w:t>施工需求</w:t>
      </w:r>
      <w:r>
        <w:rPr>
          <w:rFonts w:hint="eastAsia" w:ascii="Times New Roman" w:hAnsi="Times New Roman" w:eastAsia="宋体" w:cs="Times New Roman"/>
          <w:b/>
          <w:bCs/>
          <w:color w:val="auto"/>
          <w:sz w:val="32"/>
          <w:szCs w:val="32"/>
          <w:highlight w:val="none"/>
          <w:lang w:val="en-US" w:eastAsia="zh-CN"/>
        </w:rPr>
        <w:t>：</w:t>
      </w:r>
    </w:p>
    <w:p w14:paraId="1F61F437">
      <w:pPr>
        <w:tabs>
          <w:tab w:val="left" w:pos="8820"/>
        </w:tabs>
        <w:snapToGrid w:val="0"/>
        <w:spacing w:line="400" w:lineRule="exact"/>
        <w:ind w:firstLine="420" w:firstLineChars="200"/>
        <w:rPr>
          <w:rFonts w:hint="eastAsia" w:ascii="宋体"/>
          <w:color w:val="auto"/>
          <w:szCs w:val="21"/>
          <w:highlight w:val="none"/>
          <w:lang w:val="en-US" w:eastAsia="zh-CN"/>
        </w:rPr>
      </w:pPr>
      <w:r>
        <w:rPr>
          <w:rFonts w:hint="eastAsia" w:ascii="宋体"/>
          <w:color w:val="auto"/>
          <w:szCs w:val="21"/>
          <w:highlight w:val="none"/>
          <w:lang w:val="en-US" w:eastAsia="zh-CN"/>
        </w:rPr>
        <w:t>1、洞口尺寸：约宽1.97米*高3.27米，门尺寸：约宽1.97米*高2.7米对开玻璃门，边框铝合金材质，规格：44cm*100cm方管，壁厚2.0mm,颜色深咖啡色，玻璃5+15A+5LOW-E钢化中空玻璃、同时须对原外侧无障碍通道进行改造，使之仍然发挥功能，并与改造后的通道兼容（该部分工程量须投标单位现场勘查）</w:t>
      </w:r>
    </w:p>
    <w:p w14:paraId="05D293BD">
      <w:pPr>
        <w:tabs>
          <w:tab w:val="left" w:pos="8820"/>
        </w:tabs>
        <w:snapToGrid w:val="0"/>
        <w:spacing w:line="400" w:lineRule="exact"/>
        <w:ind w:firstLine="420" w:firstLineChars="200"/>
        <w:rPr>
          <w:rFonts w:hint="eastAsia" w:ascii="宋体"/>
          <w:b/>
          <w:bCs/>
          <w:color w:val="auto"/>
          <w:szCs w:val="21"/>
          <w:highlight w:val="none"/>
          <w:lang w:val="en-US" w:eastAsia="zh-CN"/>
        </w:rPr>
      </w:pPr>
      <w:r>
        <w:rPr>
          <w:rFonts w:hint="eastAsia" w:ascii="宋体"/>
          <w:color w:val="auto"/>
          <w:szCs w:val="21"/>
          <w:highlight w:val="none"/>
          <w:lang w:val="en-US" w:eastAsia="zh-CN"/>
        </w:rPr>
        <w:t>2、投标总价价包括：货物设备费、人工费、材料费（含主材及辅材）、装卸费、运输费、安装费、调试培训费、检定费用、管理费、利润、风险费用、代理费、专家评审费用、验收及后期服务及国家对中标单位征收的各种税费等所有一切费用，采购人将不再支付任何费用。</w:t>
      </w:r>
      <w:r>
        <w:rPr>
          <w:rFonts w:hint="eastAsia" w:ascii="宋体"/>
          <w:color w:val="auto"/>
          <w:szCs w:val="21"/>
          <w:highlight w:val="none"/>
          <w:lang w:val="en-US" w:eastAsia="zh-CN"/>
        </w:rPr>
        <w:br w:type="textWrapping"/>
      </w:r>
      <w:r>
        <w:rPr>
          <w:rFonts w:hint="eastAsia" w:ascii="宋体"/>
          <w:color w:val="auto"/>
          <w:szCs w:val="21"/>
          <w:highlight w:val="none"/>
          <w:lang w:val="en-US" w:eastAsia="zh-CN"/>
        </w:rPr>
        <w:t>3、投标人须开具增值税专用发票，开具发票的抬头必须与投标人名称相一致并满足招标人要求。</w:t>
      </w:r>
      <w:r>
        <w:rPr>
          <w:rFonts w:hint="eastAsia" w:ascii="宋体"/>
          <w:color w:val="auto"/>
          <w:szCs w:val="21"/>
          <w:highlight w:val="none"/>
          <w:lang w:val="en-US" w:eastAsia="zh-CN"/>
        </w:rPr>
        <w:br w:type="textWrapping"/>
      </w:r>
      <w:r>
        <w:rPr>
          <w:rFonts w:hint="eastAsia" w:ascii="宋体"/>
          <w:color w:val="auto"/>
          <w:szCs w:val="21"/>
          <w:highlight w:val="none"/>
          <w:lang w:val="en-US" w:eastAsia="zh-CN"/>
        </w:rPr>
        <w:t>4、</w:t>
      </w:r>
      <w:r>
        <w:rPr>
          <w:rFonts w:hint="eastAsia" w:ascii="宋体"/>
          <w:b/>
          <w:bCs/>
          <w:color w:val="auto"/>
          <w:szCs w:val="21"/>
          <w:highlight w:val="none"/>
          <w:lang w:val="en-US" w:eastAsia="zh-CN"/>
        </w:rPr>
        <w:t>施工内容包括但不限于以上内容，需根据业主要求完善效果图内各项施工内容</w:t>
      </w:r>
    </w:p>
    <w:p w14:paraId="2649458E">
      <w:pPr>
        <w:pStyle w:val="2"/>
        <w:rPr>
          <w:rFonts w:hint="eastAsia"/>
          <w:lang w:val="en-US" w:eastAsia="zh-CN"/>
        </w:rPr>
      </w:pPr>
    </w:p>
    <w:p w14:paraId="4AF1DB72">
      <w:pPr>
        <w:pStyle w:val="2"/>
        <w:numPr>
          <w:ilvl w:val="0"/>
          <w:numId w:val="2"/>
        </w:numPr>
        <w:ind w:left="0" w:leftChars="0" w:firstLine="0" w:firstLineChars="0"/>
        <w:rPr>
          <w:rFonts w:hint="eastAsia" w:ascii="Calibri" w:hAnsi="Calibri" w:eastAsia="宋体" w:cs="Times New Roman"/>
          <w:b/>
          <w:bCs/>
          <w:color w:val="auto"/>
          <w:kern w:val="2"/>
          <w:sz w:val="24"/>
          <w:szCs w:val="32"/>
          <w:highlight w:val="none"/>
          <w:lang w:val="en-US" w:eastAsia="zh-CN" w:bidi="ar-SA"/>
        </w:rPr>
      </w:pPr>
      <w:r>
        <w:rPr>
          <w:rFonts w:hint="eastAsia" w:ascii="Calibri" w:hAnsi="Calibri" w:eastAsia="宋体" w:cs="Times New Roman"/>
          <w:b/>
          <w:bCs/>
          <w:color w:val="auto"/>
          <w:kern w:val="2"/>
          <w:sz w:val="24"/>
          <w:szCs w:val="32"/>
          <w:highlight w:val="none"/>
          <w:lang w:val="en-US" w:eastAsia="zh-CN" w:bidi="ar-SA"/>
        </w:rPr>
        <w:t>参考样式</w:t>
      </w:r>
    </w:p>
    <w:p w14:paraId="511B3FC2">
      <w:pPr>
        <w:rPr>
          <w:rFonts w:hint="eastAsia"/>
          <w:lang w:val="en-US" w:eastAsia="zh-CN"/>
        </w:rPr>
      </w:pPr>
    </w:p>
    <w:p w14:paraId="0CB6CFFF">
      <w:pPr>
        <w:rPr>
          <w:rFonts w:hint="eastAsia"/>
          <w:lang w:val="en-US" w:eastAsia="zh-CN"/>
        </w:rPr>
      </w:pPr>
      <w:r>
        <w:rPr>
          <w:rFonts w:hint="eastAsia"/>
          <w:lang w:val="en-US" w:eastAsia="zh-CN"/>
        </w:rPr>
        <w:drawing>
          <wp:inline distT="0" distB="0" distL="114300" distR="114300">
            <wp:extent cx="5744845" cy="4308475"/>
            <wp:effectExtent l="0" t="0" r="635" b="4445"/>
            <wp:docPr id="1" name="图片 1" descr="F:/琅琊山旅游公司/公司的活/出口商店入口处增设玻璃门/微信截图_20250415102301.png微信截图_2025041510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琅琊山旅游公司/公司的活/出口商店入口处增设玻璃门/微信截图_20250415102301.png微信截图_20250415102301"/>
                    <pic:cNvPicPr>
                      <a:picLocks noChangeAspect="1"/>
                    </pic:cNvPicPr>
                  </pic:nvPicPr>
                  <pic:blipFill>
                    <a:blip r:embed="rId14"/>
                    <a:srcRect t="713" b="713"/>
                    <a:stretch>
                      <a:fillRect/>
                    </a:stretch>
                  </pic:blipFill>
                  <pic:spPr>
                    <a:xfrm>
                      <a:off x="0" y="0"/>
                      <a:ext cx="5744845" cy="4308475"/>
                    </a:xfrm>
                    <a:prstGeom prst="rect">
                      <a:avLst/>
                    </a:prstGeom>
                  </pic:spPr>
                </pic:pic>
              </a:graphicData>
            </a:graphic>
          </wp:inline>
        </w:drawing>
      </w:r>
    </w:p>
    <w:p w14:paraId="2D4EBAA9">
      <w:pPr>
        <w:pStyle w:val="2"/>
        <w:numPr>
          <w:ilvl w:val="0"/>
          <w:numId w:val="0"/>
        </w:numPr>
        <w:rPr>
          <w:rFonts w:hint="eastAsia"/>
          <w:lang w:val="en-US" w:eastAsia="zh-CN"/>
        </w:rPr>
      </w:pPr>
    </w:p>
    <w:p w14:paraId="06C3507C">
      <w:pPr>
        <w:pStyle w:val="2"/>
        <w:jc w:val="both"/>
        <w:rPr>
          <w:rFonts w:hint="default"/>
          <w:lang w:val="en-US" w:eastAsia="zh-CN"/>
        </w:rPr>
      </w:pPr>
    </w:p>
    <w:p w14:paraId="6F6D5AE6">
      <w:pPr>
        <w:pStyle w:val="2"/>
        <w:rPr>
          <w:rFonts w:hint="default"/>
          <w:lang w:val="en-US" w:eastAsia="zh-CN"/>
        </w:rPr>
      </w:pPr>
    </w:p>
    <w:p w14:paraId="69F01674">
      <w:pPr>
        <w:rPr>
          <w:rFonts w:hint="default"/>
          <w:lang w:val="en-US" w:eastAsia="zh-CN"/>
        </w:rPr>
      </w:pPr>
      <w:r>
        <w:rPr>
          <w:rFonts w:hint="default"/>
          <w:lang w:val="en-US" w:eastAsia="zh-CN"/>
        </w:rPr>
        <w:drawing>
          <wp:inline distT="0" distB="0" distL="114300" distR="114300">
            <wp:extent cx="5735320" cy="4301490"/>
            <wp:effectExtent l="0" t="0" r="10160" b="11430"/>
            <wp:docPr id="7" name="图片 7" descr="f:/琅琊山旅游公司/公司的活/出口商店入口处增设玻璃门/微信图片_20250415102324.png微信图片_202504151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琅琊山旅游公司/公司的活/出口商店入口处增设玻璃门/微信图片_20250415102324.png微信图片_20250415102324"/>
                    <pic:cNvPicPr>
                      <a:picLocks noChangeAspect="1"/>
                    </pic:cNvPicPr>
                  </pic:nvPicPr>
                  <pic:blipFill>
                    <a:blip r:embed="rId15"/>
                    <a:srcRect l="1144" r="1144"/>
                    <a:stretch>
                      <a:fillRect/>
                    </a:stretch>
                  </pic:blipFill>
                  <pic:spPr>
                    <a:xfrm>
                      <a:off x="0" y="0"/>
                      <a:ext cx="5735320" cy="4301490"/>
                    </a:xfrm>
                    <a:prstGeom prst="rect">
                      <a:avLst/>
                    </a:prstGeom>
                  </pic:spPr>
                </pic:pic>
              </a:graphicData>
            </a:graphic>
          </wp:inline>
        </w:drawing>
      </w:r>
    </w:p>
    <w:p w14:paraId="698CC8A1">
      <w:pPr>
        <w:rPr>
          <w:rFonts w:hint="default"/>
          <w:lang w:val="en-US" w:eastAsia="zh-CN"/>
        </w:rPr>
      </w:pPr>
    </w:p>
    <w:p w14:paraId="7ED26940">
      <w:pPr>
        <w:rPr>
          <w:rFonts w:hint="default"/>
          <w:lang w:val="en-US" w:eastAsia="zh-CN"/>
        </w:rPr>
      </w:pPr>
    </w:p>
    <w:p w14:paraId="5D1A2502">
      <w:pPr>
        <w:rPr>
          <w:rFonts w:hint="eastAsia"/>
          <w:b/>
          <w:bCs/>
          <w:lang w:val="en-US" w:eastAsia="zh-CN"/>
        </w:rPr>
      </w:pPr>
    </w:p>
    <w:p w14:paraId="1A89638A">
      <w:pPr>
        <w:rPr>
          <w:rFonts w:hint="default" w:ascii="Calibri" w:hAnsi="Calibri" w:eastAsia="宋体" w:cs="Times New Roman"/>
          <w:color w:val="auto"/>
          <w:highlight w:val="none"/>
          <w:lang w:val="en-US" w:eastAsia="zh-CN"/>
        </w:rPr>
      </w:pPr>
      <w:r>
        <w:rPr>
          <w:rFonts w:hint="eastAsia"/>
          <w:b/>
          <w:bCs/>
          <w:lang w:val="en-US" w:eastAsia="zh-CN"/>
        </w:rPr>
        <w:t>中标单位需根据业主需求完善效果图，并绘制平面图，施工内容包括但不限于以上内容，需根据业主要求完善效果图内各项施工内容。</w:t>
      </w:r>
    </w:p>
    <w:p w14:paraId="3A8ECE5D">
      <w:pPr>
        <w:snapToGrid w:val="0"/>
        <w:spacing w:line="360" w:lineRule="auto"/>
        <w:rPr>
          <w:rFonts w:hAnsi="宋体" w:cs="宋体"/>
          <w:b/>
          <w:bCs/>
          <w:color w:val="auto"/>
          <w:szCs w:val="21"/>
          <w:highlight w:val="none"/>
        </w:rPr>
      </w:pPr>
    </w:p>
    <w:p w14:paraId="52CDA1CB">
      <w:pPr>
        <w:pStyle w:val="2"/>
        <w:rPr>
          <w:rFonts w:hAnsi="宋体" w:cs="宋体"/>
          <w:b/>
          <w:bCs/>
          <w:color w:val="auto"/>
          <w:szCs w:val="21"/>
          <w:highlight w:val="none"/>
        </w:rPr>
      </w:pPr>
    </w:p>
    <w:p w14:paraId="3571CAF2">
      <w:pPr>
        <w:rPr>
          <w:rFonts w:hAnsi="宋体" w:cs="宋体"/>
          <w:b/>
          <w:bCs/>
          <w:color w:val="auto"/>
          <w:szCs w:val="21"/>
          <w:highlight w:val="none"/>
        </w:rPr>
      </w:pPr>
    </w:p>
    <w:p w14:paraId="1BD07CE6">
      <w:pPr>
        <w:pStyle w:val="2"/>
        <w:rPr>
          <w:rFonts w:hAnsi="宋体" w:cs="宋体"/>
          <w:b/>
          <w:bCs/>
          <w:color w:val="auto"/>
          <w:szCs w:val="21"/>
          <w:highlight w:val="none"/>
        </w:rPr>
      </w:pPr>
    </w:p>
    <w:p w14:paraId="29E9E604">
      <w:pPr>
        <w:rPr>
          <w:rFonts w:hAnsi="宋体" w:cs="宋体"/>
          <w:b/>
          <w:bCs/>
          <w:color w:val="auto"/>
          <w:szCs w:val="21"/>
          <w:highlight w:val="none"/>
        </w:rPr>
      </w:pPr>
    </w:p>
    <w:p w14:paraId="2DDE7760">
      <w:pPr>
        <w:pStyle w:val="2"/>
        <w:rPr>
          <w:rFonts w:hAnsi="宋体" w:cs="宋体"/>
          <w:b/>
          <w:bCs/>
          <w:color w:val="auto"/>
          <w:szCs w:val="21"/>
          <w:highlight w:val="none"/>
        </w:rPr>
      </w:pPr>
    </w:p>
    <w:p w14:paraId="6C2B0F85">
      <w:pPr>
        <w:rPr>
          <w:rFonts w:hAnsi="宋体" w:cs="宋体"/>
          <w:b/>
          <w:bCs/>
          <w:color w:val="auto"/>
          <w:szCs w:val="21"/>
          <w:highlight w:val="none"/>
        </w:rPr>
      </w:pPr>
    </w:p>
    <w:p w14:paraId="02F129A7">
      <w:pPr>
        <w:pStyle w:val="2"/>
        <w:rPr>
          <w:rFonts w:hAnsi="宋体" w:cs="宋体"/>
          <w:b/>
          <w:bCs/>
          <w:color w:val="auto"/>
          <w:szCs w:val="21"/>
          <w:highlight w:val="none"/>
        </w:rPr>
      </w:pPr>
    </w:p>
    <w:p w14:paraId="3F54DE92">
      <w:pPr>
        <w:rPr>
          <w:rFonts w:hAnsi="宋体" w:cs="宋体"/>
          <w:b/>
          <w:bCs/>
          <w:color w:val="auto"/>
          <w:szCs w:val="21"/>
          <w:highlight w:val="none"/>
        </w:rPr>
      </w:pPr>
    </w:p>
    <w:p w14:paraId="42A02931">
      <w:pPr>
        <w:pStyle w:val="2"/>
        <w:rPr>
          <w:rFonts w:hAnsi="宋体" w:cs="宋体"/>
          <w:b/>
          <w:bCs/>
          <w:color w:val="auto"/>
          <w:szCs w:val="21"/>
          <w:highlight w:val="none"/>
        </w:rPr>
      </w:pPr>
    </w:p>
    <w:p w14:paraId="06DF2C10">
      <w:pPr>
        <w:rPr>
          <w:rFonts w:hAnsi="宋体" w:cs="宋体"/>
          <w:b/>
          <w:bCs/>
          <w:color w:val="auto"/>
          <w:szCs w:val="21"/>
          <w:highlight w:val="none"/>
        </w:rPr>
      </w:pPr>
    </w:p>
    <w:p w14:paraId="070DDE5C">
      <w:pPr>
        <w:pStyle w:val="2"/>
        <w:rPr>
          <w:rFonts w:hAnsi="宋体" w:cs="宋体"/>
          <w:b/>
          <w:bCs/>
          <w:color w:val="auto"/>
          <w:szCs w:val="21"/>
          <w:highlight w:val="none"/>
        </w:rPr>
      </w:pPr>
    </w:p>
    <w:p w14:paraId="2CCA7F6D">
      <w:pPr>
        <w:rPr>
          <w:rFonts w:hAnsi="宋体" w:cs="宋体"/>
          <w:b/>
          <w:bCs/>
          <w:color w:val="auto"/>
          <w:szCs w:val="21"/>
          <w:highlight w:val="none"/>
        </w:rPr>
      </w:pPr>
    </w:p>
    <w:p w14:paraId="601B8F78">
      <w:pPr>
        <w:pStyle w:val="2"/>
        <w:rPr>
          <w:rFonts w:hAnsi="宋体" w:cs="宋体"/>
          <w:b/>
          <w:bCs/>
          <w:color w:val="auto"/>
          <w:szCs w:val="21"/>
          <w:highlight w:val="none"/>
        </w:rPr>
      </w:pPr>
    </w:p>
    <w:p w14:paraId="50C15DDB">
      <w:pPr>
        <w:rPr>
          <w:rFonts w:hAnsi="宋体" w:cs="宋体"/>
          <w:b/>
          <w:bCs/>
          <w:color w:val="auto"/>
          <w:szCs w:val="21"/>
          <w:highlight w:val="none"/>
        </w:rPr>
      </w:pPr>
    </w:p>
    <w:p w14:paraId="7B4D400A">
      <w:pPr>
        <w:pStyle w:val="2"/>
        <w:rPr>
          <w:rFonts w:hAnsi="宋体" w:cs="宋体"/>
          <w:b/>
          <w:bCs/>
          <w:color w:val="auto"/>
          <w:szCs w:val="21"/>
          <w:highlight w:val="none"/>
        </w:rPr>
      </w:pPr>
    </w:p>
    <w:p w14:paraId="101B34FC">
      <w:pPr>
        <w:rPr>
          <w:rFonts w:hAnsi="宋体" w:cs="宋体"/>
          <w:b/>
          <w:bCs/>
          <w:color w:val="auto"/>
          <w:szCs w:val="21"/>
          <w:highlight w:val="none"/>
        </w:rPr>
      </w:pPr>
    </w:p>
    <w:bookmarkEnd w:id="667"/>
    <w:p w14:paraId="166FCF3D">
      <w:pPr>
        <w:pStyle w:val="5"/>
        <w:numPr>
          <w:ilvl w:val="0"/>
          <w:numId w:val="3"/>
        </w:numPr>
        <w:spacing w:before="0" w:after="0"/>
        <w:jc w:val="center"/>
        <w:rPr>
          <w:rFonts w:hint="eastAsia"/>
          <w:color w:val="auto"/>
          <w:sz w:val="32"/>
          <w:szCs w:val="32"/>
          <w:highlight w:val="none"/>
        </w:rPr>
      </w:pPr>
      <w:bookmarkStart w:id="672" w:name="_Toc20868"/>
      <w:bookmarkStart w:id="673" w:name="_Toc16259"/>
      <w:r>
        <w:rPr>
          <w:rFonts w:hint="eastAsia"/>
          <w:color w:val="auto"/>
          <w:sz w:val="32"/>
          <w:szCs w:val="32"/>
          <w:highlight w:val="none"/>
        </w:rPr>
        <w:t>合同条款及格式</w:t>
      </w:r>
      <w:bookmarkEnd w:id="668"/>
      <w:bookmarkEnd w:id="669"/>
      <w:bookmarkEnd w:id="670"/>
      <w:bookmarkEnd w:id="671"/>
      <w:bookmarkEnd w:id="672"/>
      <w:bookmarkEnd w:id="673"/>
    </w:p>
    <w:p w14:paraId="48AB6B1B">
      <w:pPr>
        <w:widowControl/>
        <w:numPr>
          <w:ilvl w:val="0"/>
          <w:numId w:val="4"/>
        </w:numPr>
        <w:spacing w:before="156" w:beforeLines="50" w:after="156" w:afterLines="50" w:line="440" w:lineRule="exact"/>
        <w:ind w:left="0" w:firstLine="0"/>
        <w:jc w:val="center"/>
        <w:textAlignment w:val="baseline"/>
        <w:outlineLvl w:val="1"/>
        <w:rPr>
          <w:rFonts w:hint="eastAsia" w:ascii="宋体" w:hAnsi="宋体" w:cs="宋体"/>
          <w:b/>
          <w:color w:val="auto"/>
          <w:sz w:val="30"/>
          <w:szCs w:val="30"/>
          <w:highlight w:val="none"/>
        </w:rPr>
      </w:pPr>
      <w:bookmarkStart w:id="674" w:name="_Toc9590"/>
      <w:bookmarkStart w:id="675" w:name="_Toc23153"/>
      <w:bookmarkStart w:id="676" w:name="_Toc23095"/>
      <w:r>
        <w:rPr>
          <w:rFonts w:hint="eastAsia" w:ascii="宋体" w:hAnsi="宋体" w:cs="宋体"/>
          <w:b/>
          <w:color w:val="auto"/>
          <w:sz w:val="28"/>
          <w:szCs w:val="28"/>
          <w:highlight w:val="none"/>
        </w:rPr>
        <w:t xml:space="preserve">  </w:t>
      </w:r>
      <w:bookmarkStart w:id="677" w:name="_Toc13063"/>
      <w:r>
        <w:rPr>
          <w:rFonts w:hint="eastAsia" w:ascii="宋体" w:hAnsi="宋体" w:cs="宋体"/>
          <w:b/>
          <w:color w:val="auto"/>
          <w:sz w:val="28"/>
          <w:szCs w:val="28"/>
          <w:highlight w:val="none"/>
        </w:rPr>
        <w:t>合同协议书（格式）</w:t>
      </w:r>
      <w:bookmarkEnd w:id="677"/>
    </w:p>
    <w:p w14:paraId="11093ECE">
      <w:pPr>
        <w:spacing w:line="44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w:t>
      </w:r>
    </w:p>
    <w:p w14:paraId="455D37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bookmarkStart w:id="678" w:name="_Toc179632628"/>
      <w:bookmarkStart w:id="679" w:name="_Toc152042388"/>
      <w:bookmarkStart w:id="680" w:name="_Toc469495742"/>
      <w:bookmarkStart w:id="681" w:name="_Toc246996996"/>
      <w:bookmarkStart w:id="682" w:name="_Toc247085768"/>
      <w:bookmarkStart w:id="683" w:name="_Toc246996253"/>
      <w:bookmarkStart w:id="684" w:name="_Toc144974578"/>
      <w:bookmarkStart w:id="685" w:name="_Toc152045610"/>
      <w:bookmarkStart w:id="686" w:name="_Toc296602498"/>
      <w:r>
        <w:rPr>
          <w:rFonts w:hint="eastAsia" w:ascii="宋体" w:hAnsi="宋体" w:cs="宋体"/>
          <w:color w:val="auto"/>
          <w:szCs w:val="21"/>
          <w:highlight w:val="none"/>
        </w:rPr>
        <w:t>买    方：                                   卖    方：</w:t>
      </w:r>
    </w:p>
    <w:p w14:paraId="19AEA8C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3A57A4F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7DE77E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中华人民共和国</w:t>
      </w:r>
      <w:r>
        <w:rPr>
          <w:rFonts w:hint="eastAsia" w:ascii="宋体" w:hAnsi="宋体" w:cs="宋体"/>
          <w:color w:val="auto"/>
          <w:szCs w:val="21"/>
          <w:highlight w:val="none"/>
          <w:lang w:val="en-US" w:eastAsia="zh-CN"/>
        </w:rPr>
        <w:t>民法典》</w:t>
      </w:r>
      <w:r>
        <w:rPr>
          <w:rFonts w:hint="eastAsia" w:ascii="宋体" w:hAnsi="宋体" w:cs="宋体"/>
          <w:color w:val="auto"/>
          <w:szCs w:val="21"/>
          <w:highlight w:val="none"/>
        </w:rPr>
        <w:t>的规定，买卖双方同意按照下述的条款和条件，签署本合同。</w:t>
      </w:r>
    </w:p>
    <w:p w14:paraId="7A027FA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1"/>
        <w:rPr>
          <w:rFonts w:hint="eastAsia" w:ascii="宋体" w:hAnsi="宋体" w:cs="宋体"/>
          <w:color w:val="auto"/>
          <w:szCs w:val="21"/>
          <w:highlight w:val="none"/>
        </w:rPr>
      </w:pPr>
      <w:bookmarkStart w:id="687" w:name="_Toc22897"/>
      <w:r>
        <w:rPr>
          <w:rFonts w:hint="eastAsia" w:ascii="宋体" w:hAnsi="宋体" w:cs="宋体"/>
          <w:color w:val="auto"/>
          <w:szCs w:val="21"/>
          <w:highlight w:val="none"/>
        </w:rPr>
        <w:t>1、本合同文件</w:t>
      </w:r>
      <w:bookmarkEnd w:id="687"/>
    </w:p>
    <w:p w14:paraId="432E18D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35418578">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招标文件；</w:t>
      </w:r>
    </w:p>
    <w:p w14:paraId="36CB7DC7">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eastAsia="zh-CN"/>
        </w:rPr>
        <w:t>；</w:t>
      </w:r>
    </w:p>
    <w:p w14:paraId="08F8794A">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中标通知书</w:t>
      </w:r>
      <w:r>
        <w:rPr>
          <w:rFonts w:hint="eastAsia" w:ascii="宋体" w:hAnsi="宋体" w:cs="宋体"/>
          <w:color w:val="auto"/>
          <w:szCs w:val="21"/>
          <w:highlight w:val="none"/>
          <w:lang w:eastAsia="zh-CN"/>
        </w:rPr>
        <w:t>；</w:t>
      </w:r>
    </w:p>
    <w:p w14:paraId="03619E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1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（4）经双方确认进入合同的其它文件、补充条款或说明</w:t>
      </w:r>
      <w:r>
        <w:rPr>
          <w:rFonts w:hint="eastAsia" w:ascii="宋体" w:hAnsi="宋体" w:cs="宋体"/>
          <w:color w:val="auto"/>
          <w:szCs w:val="21"/>
          <w:highlight w:val="none"/>
          <w:lang w:eastAsia="zh-CN"/>
        </w:rPr>
        <w:t>。</w:t>
      </w:r>
    </w:p>
    <w:p w14:paraId="0A04BDC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2、采购标的、数量、质量要求</w:t>
      </w:r>
    </w:p>
    <w:p w14:paraId="59C680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3、合同总价</w:t>
      </w:r>
    </w:p>
    <w:p w14:paraId="2581436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6E08D542">
      <w:pPr>
        <w:snapToGrid w:val="0"/>
        <w:spacing w:line="440" w:lineRule="exact"/>
        <w:ind w:firstLine="420" w:firstLineChars="200"/>
        <w:rPr>
          <w:rFonts w:hint="default" w:ascii="宋体" w:hAnsi="宋体" w:cs="宋体"/>
          <w:b/>
          <w:bCs/>
          <w:color w:val="auto"/>
          <w:szCs w:val="21"/>
          <w:highlight w:val="none"/>
          <w:lang w:val="en-US" w:eastAsia="zh-CN"/>
        </w:rPr>
      </w:pPr>
      <w:r>
        <w:rPr>
          <w:rFonts w:hint="eastAsia" w:ascii="宋体" w:hAnsi="宋体" w:cs="宋体"/>
          <w:color w:val="auto"/>
          <w:szCs w:val="21"/>
          <w:highlight w:val="none"/>
        </w:rPr>
        <w:t>付款方式</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w:t>
      </w:r>
    </w:p>
    <w:p w14:paraId="02747A5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、合同</w:t>
      </w:r>
      <w:r>
        <w:rPr>
          <w:rFonts w:hint="eastAsia" w:ascii="宋体" w:hAnsi="宋体" w:cs="宋体"/>
          <w:color w:val="auto"/>
          <w:szCs w:val="21"/>
          <w:highlight w:val="none"/>
          <w:lang w:eastAsia="zh-CN"/>
        </w:rPr>
        <w:t>工期</w:t>
      </w:r>
      <w:r>
        <w:rPr>
          <w:rFonts w:hint="eastAsia" w:ascii="宋体" w:hAnsi="宋体" w:cs="宋体"/>
          <w:color w:val="auto"/>
          <w:szCs w:val="21"/>
          <w:highlight w:val="none"/>
        </w:rPr>
        <w:t>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w:t>
      </w:r>
    </w:p>
    <w:p w14:paraId="5D509FE6">
      <w:pPr>
        <w:keepNext w:val="0"/>
        <w:keepLines w:val="0"/>
        <w:pageBreakBefore w:val="0"/>
        <w:widowControl w:val="0"/>
        <w:kinsoku/>
        <w:wordWrap/>
        <w:overflowPunct/>
        <w:topLinePunct w:val="0"/>
        <w:autoSpaceDE/>
        <w:autoSpaceDN/>
        <w:bidi w:val="0"/>
        <w:adjustRightInd/>
        <w:snapToGrid/>
        <w:spacing w:line="440" w:lineRule="exact"/>
        <w:ind w:left="416" w:leftChars="198"/>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、供货地点：</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指定地点。</w:t>
      </w:r>
    </w:p>
    <w:p w14:paraId="132E2DEC">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、验收要求及违约责任</w:t>
      </w:r>
    </w:p>
    <w:p w14:paraId="0C36DC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eastAsia" w:ascii="宋体" w:cs="宋体"/>
          <w:color w:val="auto"/>
          <w:szCs w:val="21"/>
          <w:highlight w:val="none"/>
        </w:rPr>
        <w:t>违约责任及解决争议方法</w:t>
      </w:r>
    </w:p>
    <w:p w14:paraId="50DB163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、合同的生效</w:t>
      </w:r>
    </w:p>
    <w:p w14:paraId="02FEF265">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合同经双方授权代表签署，买卖双方加盖印章之后生效。</w:t>
      </w:r>
    </w:p>
    <w:p w14:paraId="6996327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本合同一式     份，双方各执     份。</w:t>
      </w:r>
    </w:p>
    <w:p w14:paraId="2A83330F">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买  方：                          卖  方：</w:t>
      </w:r>
    </w:p>
    <w:p w14:paraId="2E5B55C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名  称：（盖章）                   名  称：（盖章）</w:t>
      </w:r>
    </w:p>
    <w:p w14:paraId="61E79F0D">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法定代表人（或委托代理人）：       法定代表人（或委托代理人）：</w:t>
      </w:r>
    </w:p>
    <w:p w14:paraId="5C9CFB3C">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（签字）                        （签字）</w:t>
      </w:r>
    </w:p>
    <w:p w14:paraId="0BC94633">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地    址：                        地    址：</w:t>
      </w:r>
    </w:p>
    <w:p w14:paraId="048AA36D">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邮政编码：                        邮政编码：</w:t>
      </w:r>
    </w:p>
    <w:p w14:paraId="30410F4C">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电    话：                        电    话：</w:t>
      </w:r>
    </w:p>
    <w:p w14:paraId="1221A4B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开户银行：                        开户银行：</w:t>
      </w:r>
    </w:p>
    <w:p w14:paraId="27500FD1">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b/>
          <w:color w:val="auto"/>
          <w:sz w:val="24"/>
          <w:szCs w:val="24"/>
          <w:highlight w:val="none"/>
        </w:rPr>
      </w:pPr>
      <w:r>
        <w:rPr>
          <w:rFonts w:hint="eastAsia" w:ascii="宋体" w:hAnsi="宋体" w:cs="宋体"/>
          <w:color w:val="auto"/>
          <w:kern w:val="0"/>
          <w:sz w:val="24"/>
          <w:szCs w:val="24"/>
          <w:highlight w:val="none"/>
          <w:u w:val="none" w:color="000000"/>
        </w:rPr>
        <w:t>帐    号：                        帐    号：</w:t>
      </w:r>
    </w:p>
    <w:p w14:paraId="761B9AC0">
      <w:pPr>
        <w:keepNext w:val="0"/>
        <w:keepLines w:val="0"/>
        <w:pageBreakBefore w:val="0"/>
        <w:widowControl w:val="0"/>
        <w:kinsoku/>
        <w:wordWrap/>
        <w:overflowPunct/>
        <w:topLinePunct w:val="0"/>
        <w:autoSpaceDE/>
        <w:autoSpaceDN/>
        <w:bidi w:val="0"/>
        <w:adjustRightInd/>
        <w:snapToGrid/>
        <w:spacing w:before="162" w:beforeLines="50" w:after="162" w:afterLines="50" w:line="440" w:lineRule="exact"/>
        <w:jc w:val="center"/>
        <w:textAlignment w:val="auto"/>
        <w:outlineLvl w:val="1"/>
        <w:rPr>
          <w:rFonts w:hint="eastAsia" w:ascii="宋体" w:hAnsi="宋体" w:cs="宋体"/>
          <w:b/>
          <w:color w:val="auto"/>
          <w:sz w:val="30"/>
          <w:szCs w:val="30"/>
          <w:highlight w:val="none"/>
        </w:rPr>
      </w:pPr>
      <w:bookmarkStart w:id="688" w:name="_Toc17078"/>
      <w:r>
        <w:rPr>
          <w:rFonts w:hint="eastAsia" w:ascii="宋体" w:hAnsi="宋体" w:cs="宋体"/>
          <w:b/>
          <w:color w:val="auto"/>
          <w:sz w:val="30"/>
          <w:szCs w:val="30"/>
          <w:highlight w:val="none"/>
        </w:rPr>
        <w:t>二  合同条款</w:t>
      </w:r>
      <w:bookmarkEnd w:id="678"/>
      <w:bookmarkEnd w:id="679"/>
      <w:bookmarkEnd w:id="680"/>
      <w:bookmarkEnd w:id="681"/>
      <w:bookmarkEnd w:id="682"/>
      <w:bookmarkEnd w:id="683"/>
      <w:bookmarkEnd w:id="684"/>
      <w:bookmarkEnd w:id="685"/>
      <w:bookmarkEnd w:id="686"/>
      <w:bookmarkEnd w:id="688"/>
    </w:p>
    <w:p w14:paraId="12ACA91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  合同文件</w:t>
      </w:r>
    </w:p>
    <w:p w14:paraId="5046B078">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89" w:name="_Toc26120"/>
      <w:r>
        <w:rPr>
          <w:rFonts w:hint="eastAsia" w:ascii="宋体" w:hAnsi="宋体" w:eastAsia="宋体" w:cs="宋体"/>
          <w:color w:val="auto"/>
          <w:szCs w:val="21"/>
          <w:highlight w:val="none"/>
        </w:rPr>
        <w:t>1.合同文件适用法律</w:t>
      </w:r>
      <w:bookmarkEnd w:id="689"/>
    </w:p>
    <w:p w14:paraId="4EBC0A3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适用于合同文件的法律是中华人民共和国现行法律、法规及采购人所在地的地方性法规。</w:t>
      </w:r>
    </w:p>
    <w:p w14:paraId="0E71E141">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0" w:name="_Toc19941"/>
      <w:r>
        <w:rPr>
          <w:rFonts w:hint="eastAsia" w:ascii="宋体" w:hAnsi="宋体" w:eastAsia="宋体" w:cs="宋体"/>
          <w:color w:val="auto"/>
          <w:szCs w:val="21"/>
          <w:highlight w:val="none"/>
        </w:rPr>
        <w:t>2.合同文件组成和解释顺序</w:t>
      </w:r>
      <w:bookmarkEnd w:id="690"/>
    </w:p>
    <w:p w14:paraId="1FAAABF1">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(1)合同文件的组成和解释顺序如下：</w:t>
      </w:r>
    </w:p>
    <w:p w14:paraId="6F9B845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&lt;1&gt;合同的主要条款；</w:t>
      </w:r>
    </w:p>
    <w:p w14:paraId="2CD187BD">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&lt;2&gt;合同的一般性条款；</w:t>
      </w:r>
    </w:p>
    <w:p w14:paraId="55EB000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&lt;3&gt;洽商、变更等明确双方权利义务的纪要、协议；</w:t>
      </w:r>
    </w:p>
    <w:p w14:paraId="795EA5F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&lt;4&gt;中标通知书、投标文件和招标文件；</w:t>
      </w:r>
    </w:p>
    <w:p w14:paraId="2E2CC45C">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&lt;5&gt;有关图纸、标准、规范和其它有关技术资料、技术要求。</w:t>
      </w:r>
    </w:p>
    <w:p w14:paraId="37B1575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&lt;6&gt;合同的主要条款的效力优于合同的一般性条款的效力。</w:t>
      </w:r>
    </w:p>
    <w:p w14:paraId="0FA79D67">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1" w:name="_Toc7488"/>
      <w:r>
        <w:rPr>
          <w:rFonts w:hint="eastAsia" w:ascii="宋体" w:hAnsi="宋体" w:eastAsia="宋体" w:cs="宋体"/>
          <w:color w:val="auto"/>
          <w:szCs w:val="21"/>
          <w:highlight w:val="none"/>
        </w:rPr>
        <w:t>3.合同文件使用文字</w:t>
      </w:r>
      <w:bookmarkEnd w:id="691"/>
    </w:p>
    <w:p w14:paraId="341668ED">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(1)合同文件使用中文书写、解释和说明。</w:t>
      </w:r>
    </w:p>
    <w:p w14:paraId="6088675C">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02E0F54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  标的物的一般条款</w:t>
      </w:r>
    </w:p>
    <w:p w14:paraId="12EF40D3">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2" w:name="_Toc25863"/>
      <w:r>
        <w:rPr>
          <w:rFonts w:hint="eastAsia" w:ascii="宋体" w:hAnsi="宋体" w:eastAsia="宋体" w:cs="宋体"/>
          <w:color w:val="auto"/>
          <w:szCs w:val="21"/>
          <w:highlight w:val="none"/>
        </w:rPr>
        <w:t>4.完整物权</w:t>
      </w:r>
      <w:bookmarkEnd w:id="692"/>
    </w:p>
    <w:p w14:paraId="3CB16949">
      <w:pPr>
        <w:keepNext w:val="0"/>
        <w:keepLines w:val="0"/>
        <w:pageBreakBefore w:val="0"/>
        <w:widowControl w:val="0"/>
        <w:tabs>
          <w:tab w:val="left" w:pos="660"/>
        </w:tabs>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对于出卖的标的物，卖方应当拥有完整物权，并且卖方负有保证第三人不得向买方主张任何权利（包括知识产权）的义务。</w:t>
      </w:r>
    </w:p>
    <w:p w14:paraId="4129636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3" w:name="_Toc19484"/>
      <w:r>
        <w:rPr>
          <w:rFonts w:hint="eastAsia" w:ascii="宋体" w:hAnsi="宋体" w:eastAsia="宋体" w:cs="宋体"/>
          <w:color w:val="auto"/>
          <w:szCs w:val="21"/>
          <w:highlight w:val="none"/>
        </w:rPr>
        <w:t>5.质量保证</w:t>
      </w:r>
      <w:bookmarkEnd w:id="693"/>
    </w:p>
    <w:p w14:paraId="1F315370">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0558D33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2D5BE05F">
      <w:pPr>
        <w:pStyle w:val="15"/>
        <w:keepNext w:val="0"/>
        <w:keepLines w:val="0"/>
        <w:pageBreakBefore w:val="0"/>
        <w:widowControl w:val="0"/>
        <w:tabs>
          <w:tab w:val="left" w:pos="90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265E1FAB">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4" w:name="_Toc31694"/>
      <w:r>
        <w:rPr>
          <w:rFonts w:hint="eastAsia" w:ascii="宋体" w:hAnsi="宋体" w:eastAsia="宋体" w:cs="宋体"/>
          <w:color w:val="auto"/>
          <w:szCs w:val="21"/>
          <w:highlight w:val="none"/>
        </w:rPr>
        <w:t>6.包装</w:t>
      </w:r>
      <w:bookmarkEnd w:id="694"/>
    </w:p>
    <w:p w14:paraId="26B7ABBB">
      <w:pPr>
        <w:pStyle w:val="15"/>
        <w:keepNext w:val="0"/>
        <w:keepLines w:val="0"/>
        <w:pageBreakBefore w:val="0"/>
        <w:widowControl w:val="0"/>
        <w:tabs>
          <w:tab w:val="left" w:pos="900"/>
        </w:tabs>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1C6C132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5" w:name="_Toc7508"/>
      <w:r>
        <w:rPr>
          <w:rFonts w:hint="eastAsia" w:ascii="宋体" w:hAnsi="宋体" w:eastAsia="宋体" w:cs="宋体"/>
          <w:color w:val="auto"/>
          <w:szCs w:val="21"/>
          <w:highlight w:val="none"/>
        </w:rPr>
        <w:t>7.伴随服务</w:t>
      </w:r>
      <w:bookmarkEnd w:id="695"/>
    </w:p>
    <w:p w14:paraId="58AB2ABE">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(1)卖方除应履行按期按量交付合格标的物的义务之外，还应提供下列服务：</w:t>
      </w:r>
    </w:p>
    <w:p w14:paraId="01B8410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&lt;1&gt;标的物的现场安装或指导安装、启动、调试、监督（如果必须安装、调试的话）；</w:t>
      </w:r>
    </w:p>
    <w:p w14:paraId="65EC2BAD">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&lt;2&gt;提供标的物组装和一般维修所必须的工具；</w:t>
      </w:r>
    </w:p>
    <w:p w14:paraId="001C2EEE">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7C68410D">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&lt;4&gt;对买方技术人员的技术指导或培训。</w:t>
      </w:r>
    </w:p>
    <w:p w14:paraId="695C1AF4">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(2)除合同另有规定之外，伴随服务的费用均已含在合同价款中，买方不再另行进行支付。</w:t>
      </w:r>
    </w:p>
    <w:p w14:paraId="2E3897E2">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  标的物的交付、检验和验收</w:t>
      </w:r>
    </w:p>
    <w:p w14:paraId="07CC74FD">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6" w:name="_Toc18589"/>
      <w:r>
        <w:rPr>
          <w:rFonts w:hint="eastAsia" w:ascii="宋体" w:hAnsi="宋体" w:eastAsia="宋体" w:cs="宋体"/>
          <w:color w:val="auto"/>
          <w:szCs w:val="21"/>
          <w:highlight w:val="none"/>
        </w:rPr>
        <w:t>8.标的物的交付</w:t>
      </w:r>
      <w:bookmarkEnd w:id="696"/>
    </w:p>
    <w:p w14:paraId="74F6F696">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(1)标的物的所有权自标的物交付时转移。</w:t>
      </w:r>
    </w:p>
    <w:p w14:paraId="5A5AB427">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(2)卖方应当按照约定的期限和约定的地点交付符合招标文件要求的标的物。</w:t>
      </w:r>
    </w:p>
    <w:p w14:paraId="47C10F0D">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(3)卖方应当按照约定或者交易习惯向采购人交付提取标的物单证以外的有关单证和资料。</w:t>
      </w:r>
    </w:p>
    <w:p w14:paraId="5076362E">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7" w:name="_Toc29221"/>
      <w:r>
        <w:rPr>
          <w:rFonts w:hint="eastAsia" w:ascii="宋体" w:hAnsi="宋体" w:eastAsia="宋体" w:cs="宋体"/>
          <w:color w:val="auto"/>
          <w:szCs w:val="21"/>
          <w:highlight w:val="none"/>
        </w:rPr>
        <w:t>9.检验和验收</w:t>
      </w:r>
      <w:bookmarkEnd w:id="697"/>
    </w:p>
    <w:p w14:paraId="53600DD2">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13053A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(2)买方根据合同规定的内容和验收标准进行验收</w:t>
      </w:r>
      <w:r>
        <w:rPr>
          <w:rFonts w:hint="eastAsia" w:ascii="宋体" w:hAnsi="宋体" w:eastAsia="宋体" w:cs="宋体"/>
          <w:b/>
          <w:bCs/>
          <w:color w:val="auto"/>
          <w:sz w:val="21"/>
          <w:szCs w:val="21"/>
          <w:highlight w:val="none"/>
          <w:u w:val="none" w:color="000000"/>
          <w:lang w:val="en-US" w:eastAsia="zh-CN"/>
        </w:rPr>
        <w:t>，</w:t>
      </w:r>
      <w:r>
        <w:rPr>
          <w:rFonts w:hint="eastAsia" w:ascii="宋体" w:hAnsi="宋体" w:eastAsia="宋体" w:cs="宋体"/>
          <w:color w:val="auto"/>
          <w:sz w:val="21"/>
          <w:szCs w:val="21"/>
          <w:highlight w:val="none"/>
          <w:u w:val="none" w:color="000000"/>
        </w:rPr>
        <w:t>经检验无误后出具验收合格证明，该证明作为最终付款所需文件的组成部分。</w:t>
      </w:r>
    </w:p>
    <w:p w14:paraId="5E2D5915">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(3)验收期限自标的物交付之日起三十天内。特殊情况需延长的，双方应在合同条款中约定。</w:t>
      </w:r>
    </w:p>
    <w:p w14:paraId="0EE4156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 对标的物提出异议的时间和办法</w:t>
      </w:r>
    </w:p>
    <w:p w14:paraId="726A6D8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8" w:name="_Toc8853"/>
      <w:r>
        <w:rPr>
          <w:rFonts w:hint="eastAsia" w:ascii="宋体" w:hAnsi="宋体" w:eastAsia="宋体" w:cs="宋体"/>
          <w:color w:val="auto"/>
          <w:szCs w:val="21"/>
          <w:highlight w:val="none"/>
        </w:rPr>
        <w:t>10.对标的物提出异议的时间和办法</w:t>
      </w:r>
      <w:bookmarkEnd w:id="698"/>
      <w:r>
        <w:rPr>
          <w:rFonts w:hint="eastAsia" w:ascii="宋体" w:hAnsi="宋体" w:eastAsia="宋体" w:cs="宋体"/>
          <w:color w:val="auto"/>
          <w:szCs w:val="21"/>
          <w:highlight w:val="none"/>
        </w:rPr>
        <w:t xml:space="preserve"> </w:t>
      </w:r>
    </w:p>
    <w:p w14:paraId="10D12240">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5E03FEEB">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(2)如买方在验收期满后既不出具验收合格证明又未提出书面异议的视为卖方所交标的物符合合同规定。</w:t>
      </w:r>
    </w:p>
    <w:p w14:paraId="6EFB67B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(3)卖方应在收到买方书面异议后七天内负责处理问题，否则将视为默认买方提出的异议和处理意见。</w:t>
      </w:r>
    </w:p>
    <w:p w14:paraId="2852EA18">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 合同价款和支付</w:t>
      </w:r>
    </w:p>
    <w:p w14:paraId="6E13490D">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9" w:name="_Toc15512"/>
      <w:r>
        <w:rPr>
          <w:rFonts w:hint="eastAsia" w:ascii="宋体" w:hAnsi="宋体" w:eastAsia="宋体" w:cs="宋体"/>
          <w:color w:val="auto"/>
          <w:szCs w:val="21"/>
          <w:highlight w:val="none"/>
        </w:rPr>
        <w:t>11.合同价款和支付</w:t>
      </w:r>
      <w:bookmarkEnd w:id="699"/>
    </w:p>
    <w:p w14:paraId="5241907C">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(1)本合同的结算货币为人民币，单位元。</w:t>
      </w:r>
    </w:p>
    <w:p w14:paraId="0A7702D3">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(2)卖方应按照双方签订的合同规定交货并在合同主要条款规定的期限内持下列单据结算货款：</w:t>
      </w:r>
    </w:p>
    <w:p w14:paraId="219FE30B">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&lt;1&gt;合格的销售发票；</w:t>
      </w:r>
    </w:p>
    <w:p w14:paraId="2975297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&lt;2&gt;买方盖章签收后的送货回单和验收合格证明。</w:t>
      </w:r>
    </w:p>
    <w:p w14:paraId="332D42A7">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(3)买方应按合同主要条款规定的期限和方式付款。</w:t>
      </w:r>
    </w:p>
    <w:p w14:paraId="01C041EC">
      <w:pPr>
        <w:pStyle w:val="15"/>
        <w:keepNext w:val="0"/>
        <w:keepLines w:val="0"/>
        <w:pageBreakBefore w:val="0"/>
        <w:widowControl w:val="0"/>
        <w:tabs>
          <w:tab w:val="left" w:pos="540"/>
        </w:tabs>
        <w:kinsoku/>
        <w:wordWrap/>
        <w:overflowPunct w:val="0"/>
        <w:topLinePunct w:val="0"/>
        <w:autoSpaceDE/>
        <w:autoSpaceDN/>
        <w:bidi w:val="0"/>
        <w:snapToGrid/>
        <w:spacing w:line="440" w:lineRule="exact"/>
        <w:ind w:left="0" w:leftChars="0" w:firstLine="0" w:firstLineChars="0"/>
        <w:jc w:val="left"/>
        <w:rPr>
          <w:rFonts w:hint="default"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rPr>
        <w:t>(4)</w:t>
      </w:r>
      <w:r>
        <w:rPr>
          <w:rFonts w:hint="eastAsia" w:ascii="宋体" w:hAnsi="宋体" w:eastAsia="宋体" w:cs="宋体"/>
          <w:color w:val="auto"/>
          <w:sz w:val="21"/>
          <w:szCs w:val="21"/>
          <w:highlight w:val="none"/>
          <w:u w:val="none" w:color="000000"/>
          <w:lang w:val="en-US" w:eastAsia="zh-CN"/>
        </w:rPr>
        <w:t xml:space="preserve">投标单价不予调整，工程量按实计算。 </w:t>
      </w:r>
    </w:p>
    <w:p w14:paraId="01829412">
      <w:pPr>
        <w:pStyle w:val="15"/>
        <w:keepNext w:val="0"/>
        <w:keepLines w:val="0"/>
        <w:pageBreakBefore w:val="0"/>
        <w:widowControl w:val="0"/>
        <w:tabs>
          <w:tab w:val="left" w:pos="54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5</w:t>
      </w: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rPr>
        <w:t>根据现行税法对买方征收的与本合同有关的一切税费均由买方承担；根据现行税法对卖方征收的与本合同有关的一切税费均由卖方承担。</w:t>
      </w:r>
    </w:p>
    <w:p w14:paraId="1534AC4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 违约责任</w:t>
      </w:r>
    </w:p>
    <w:p w14:paraId="5EB86E9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0" w:name="_Toc5449"/>
      <w:r>
        <w:rPr>
          <w:rFonts w:hint="eastAsia" w:ascii="宋体" w:hAnsi="宋体" w:eastAsia="宋体" w:cs="宋体"/>
          <w:color w:val="auto"/>
          <w:szCs w:val="21"/>
          <w:highlight w:val="none"/>
        </w:rPr>
        <w:t>12.违约责任</w:t>
      </w:r>
      <w:bookmarkEnd w:id="700"/>
    </w:p>
    <w:p w14:paraId="7EF9EC5A">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2D50441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1" w:name="_Toc23803"/>
      <w:r>
        <w:rPr>
          <w:rFonts w:hint="eastAsia" w:ascii="宋体" w:hAnsi="宋体" w:eastAsia="宋体" w:cs="宋体"/>
          <w:color w:val="auto"/>
          <w:szCs w:val="21"/>
          <w:highlight w:val="none"/>
        </w:rPr>
        <w:t>13.买方违约责任</w:t>
      </w:r>
      <w:bookmarkEnd w:id="701"/>
    </w:p>
    <w:p w14:paraId="5C5E090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(1)在合同生效后，买方要求退货的，应向卖方偿付合同总价款的5%，作为违约金，违约金不足以补偿损失的，卖方有权要求甲方补足。</w:t>
      </w:r>
    </w:p>
    <w:p w14:paraId="7E755CF6">
      <w:pPr>
        <w:pStyle w:val="15"/>
        <w:keepNext w:val="0"/>
        <w:keepLines w:val="0"/>
        <w:pageBreakBefore w:val="0"/>
        <w:widowControl w:val="0"/>
        <w:kinsoku/>
        <w:wordWrap/>
        <w:overflowPunct w:val="0"/>
        <w:topLinePunct w:val="0"/>
        <w:autoSpaceDE/>
        <w:autoSpaceDN/>
        <w:bidi w:val="0"/>
        <w:snapToGrid/>
        <w:spacing w:line="440" w:lineRule="exact"/>
        <w:ind w:left="0" w:leftChars="0" w:right="-334" w:rightChars="-159"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(2)买方逾期付款的应按照逾期付款金额的每天万分之四支付逾期付款违约金。</w:t>
      </w:r>
    </w:p>
    <w:p w14:paraId="1208348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(3)买方违反合同规定，拒绝接收卖方交付的符合招标文件要求的合格标的物，应当承担卖方由此造成的损失。</w:t>
      </w:r>
    </w:p>
    <w:p w14:paraId="1B6B2C69">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2" w:name="_Toc32452"/>
      <w:r>
        <w:rPr>
          <w:rFonts w:hint="eastAsia" w:ascii="宋体" w:hAnsi="宋体" w:eastAsia="宋体" w:cs="宋体"/>
          <w:color w:val="auto"/>
          <w:szCs w:val="21"/>
          <w:highlight w:val="none"/>
        </w:rPr>
        <w:t>14.卖方违约责任</w:t>
      </w:r>
      <w:bookmarkEnd w:id="702"/>
    </w:p>
    <w:p w14:paraId="451D8DE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(1)卖方不能交货（逾期超过五天视为不能交货），或交货不合格从而影响买方按期正常使用的，应向买方偿付合同总价款5%的违约金，违约金不足以补偿损失的，买方有权要求卖方补足。</w:t>
      </w:r>
    </w:p>
    <w:p w14:paraId="2DE9009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329B9723">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3" w:name="_Toc9278"/>
      <w:r>
        <w:rPr>
          <w:rFonts w:hint="eastAsia" w:ascii="宋体" w:hAnsi="宋体" w:eastAsia="宋体" w:cs="宋体"/>
          <w:color w:val="auto"/>
          <w:szCs w:val="21"/>
          <w:highlight w:val="none"/>
        </w:rPr>
        <w:t>15.不可抗力</w:t>
      </w:r>
      <w:bookmarkEnd w:id="703"/>
    </w:p>
    <w:p w14:paraId="6E1AB269">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553A0E71">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70E9324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 索赔</w:t>
      </w:r>
    </w:p>
    <w:p w14:paraId="2FFB8346">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4" w:name="_Toc29441"/>
      <w:r>
        <w:rPr>
          <w:rFonts w:hint="eastAsia" w:ascii="宋体" w:hAnsi="宋体" w:eastAsia="宋体" w:cs="宋体"/>
          <w:color w:val="auto"/>
          <w:szCs w:val="21"/>
          <w:highlight w:val="none"/>
        </w:rPr>
        <w:t>16.索赔</w:t>
      </w:r>
      <w:bookmarkEnd w:id="704"/>
    </w:p>
    <w:p w14:paraId="6EDEC71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(1)买方有权根据当地产品质量检验机构或其它有权威部门出具的检验证书向卖方提出索赔。</w:t>
      </w:r>
    </w:p>
    <w:p w14:paraId="3B99E702">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47343FD3">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188F16D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&lt;2&gt;根据标的物的低劣程度、损坏程度以及甲方遭受损失的数额，经双方协商确定降低标的物的价格；</w:t>
      </w:r>
    </w:p>
    <w:p w14:paraId="7755D131">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206DD82A">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4F2A272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(4)买方提出索赔的书面材料应报当地政府采购管理部门备案。卖方同意的索赔方案应报当地政府采购管理部门审核。</w:t>
      </w:r>
    </w:p>
    <w:p w14:paraId="11F3003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八. 履约保证金</w:t>
      </w:r>
    </w:p>
    <w:p w14:paraId="1FCD1556">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5" w:name="_Toc27150"/>
      <w:r>
        <w:rPr>
          <w:rFonts w:hint="eastAsia" w:ascii="宋体" w:hAnsi="宋体" w:eastAsia="宋体" w:cs="宋体"/>
          <w:color w:val="auto"/>
          <w:szCs w:val="21"/>
          <w:highlight w:val="none"/>
        </w:rPr>
        <w:t>17.履约保证金</w:t>
      </w:r>
      <w:bookmarkEnd w:id="705"/>
    </w:p>
    <w:p w14:paraId="7675F7E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(1)卖方应在本合同签订时，按招标文件的约定提供相应的履约保证金，保证金的有效期应不低于合同有效期。</w:t>
      </w:r>
    </w:p>
    <w:p w14:paraId="731F4750">
      <w:pPr>
        <w:pStyle w:val="15"/>
        <w:keepNext w:val="0"/>
        <w:keepLines w:val="0"/>
        <w:pageBreakBefore w:val="0"/>
        <w:widowControl w:val="0"/>
        <w:kinsoku/>
        <w:wordWrap/>
        <w:overflowPunct w:val="0"/>
        <w:topLinePunct w:val="0"/>
        <w:autoSpaceDE/>
        <w:autoSpaceDN/>
        <w:bidi w:val="0"/>
        <w:snapToGrid/>
        <w:spacing w:line="440" w:lineRule="exact"/>
        <w:ind w:left="0" w:leftChars="0" w:right="-334" w:rightChars="-159"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(2)如果卖方未能履行合同规定的任何义务，买方有权从履约保证金中取得补偿。</w:t>
      </w:r>
    </w:p>
    <w:p w14:paraId="207E0EA9">
      <w:pPr>
        <w:pStyle w:val="15"/>
        <w:keepNext w:val="0"/>
        <w:keepLines w:val="0"/>
        <w:pageBreakBefore w:val="0"/>
        <w:widowControl w:val="0"/>
        <w:kinsoku/>
        <w:wordWrap/>
        <w:overflowPunct w:val="0"/>
        <w:topLinePunct w:val="0"/>
        <w:autoSpaceDE/>
        <w:autoSpaceDN/>
        <w:bidi w:val="0"/>
        <w:snapToGrid/>
        <w:spacing w:line="440" w:lineRule="exact"/>
        <w:ind w:right="-334" w:rightChars="-159" w:firstLine="0"/>
        <w:jc w:val="left"/>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九.  合同的解除和转让</w:t>
      </w:r>
    </w:p>
    <w:p w14:paraId="289A0EF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6" w:name="_Toc14359"/>
      <w:r>
        <w:rPr>
          <w:rFonts w:hint="eastAsia" w:ascii="宋体" w:hAnsi="宋体" w:eastAsia="宋体" w:cs="宋体"/>
          <w:color w:val="auto"/>
          <w:szCs w:val="21"/>
          <w:highlight w:val="none"/>
        </w:rPr>
        <w:t>18.合同的解除</w:t>
      </w:r>
      <w:bookmarkEnd w:id="706"/>
    </w:p>
    <w:p w14:paraId="7D776DDA">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(1)买方和卖方协商一致，可以解除合同。</w:t>
      </w:r>
    </w:p>
    <w:p w14:paraId="56A18584">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(2)有下列情形之一，合同一方可以解除合同：</w:t>
      </w:r>
    </w:p>
    <w:p w14:paraId="1AA7194F">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&lt;1&gt;因不可抗力致使不能实现合同目的，未受不可抗力影响的一方有权解除合同；</w:t>
      </w:r>
    </w:p>
    <w:p w14:paraId="44DA92AB">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&lt;2&gt;因合同一方违约导致合同不能履行，另一方有权解除合同。</w:t>
      </w:r>
    </w:p>
    <w:p w14:paraId="349D8374">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1229793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7" w:name="_Toc23775"/>
      <w:r>
        <w:rPr>
          <w:rFonts w:hint="eastAsia" w:ascii="宋体" w:hAnsi="宋体" w:eastAsia="宋体" w:cs="宋体"/>
          <w:color w:val="auto"/>
          <w:szCs w:val="21"/>
          <w:highlight w:val="none"/>
        </w:rPr>
        <w:t>19.合同的转让</w:t>
      </w:r>
      <w:bookmarkEnd w:id="707"/>
    </w:p>
    <w:p w14:paraId="3BECD2A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合同的部分和全部都不得转让。</w:t>
      </w:r>
    </w:p>
    <w:p w14:paraId="21290D41">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 合同的生效</w:t>
      </w:r>
    </w:p>
    <w:p w14:paraId="3D16425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8" w:name="_Toc2193"/>
      <w:r>
        <w:rPr>
          <w:rFonts w:hint="eastAsia" w:ascii="宋体" w:hAnsi="宋体" w:eastAsia="宋体" w:cs="宋体"/>
          <w:color w:val="auto"/>
          <w:szCs w:val="21"/>
          <w:highlight w:val="none"/>
        </w:rPr>
        <w:t>20.合同的生效</w:t>
      </w:r>
      <w:bookmarkEnd w:id="708"/>
    </w:p>
    <w:p w14:paraId="3C3EF3CD">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本合同在双方签字盖章并在采购人收到中标人提交的履约保证金后，经招标采购管理部门备案后生效。</w:t>
      </w:r>
    </w:p>
    <w:p w14:paraId="7C0B89AE">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十一. 争议解决</w:t>
      </w:r>
    </w:p>
    <w:p w14:paraId="751C2B95">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09" w:name="_Toc9037"/>
      <w:r>
        <w:rPr>
          <w:rFonts w:hint="eastAsia" w:ascii="宋体" w:hAnsi="宋体" w:eastAsia="宋体" w:cs="宋体"/>
          <w:color w:val="auto"/>
          <w:szCs w:val="21"/>
          <w:highlight w:val="none"/>
        </w:rPr>
        <w:t>21.争议解决</w:t>
      </w:r>
      <w:bookmarkEnd w:id="709"/>
    </w:p>
    <w:p w14:paraId="4C1FBF15">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 xml:space="preserve"> 买卖双方因合同发生争议，进行调解，协商不成，可选择：</w:t>
      </w:r>
    </w:p>
    <w:p w14:paraId="3B8484C4">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(1)双方同时申请仲裁；</w:t>
      </w:r>
    </w:p>
    <w:p w14:paraId="30945FDD">
      <w:pPr>
        <w:pStyle w:val="15"/>
        <w:keepNext w:val="0"/>
        <w:keepLines w:val="0"/>
        <w:pageBreakBefore w:val="0"/>
        <w:widowControl w:val="0"/>
        <w:tabs>
          <w:tab w:val="left" w:pos="90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(2)向买方所在地人民法院提起诉讼。</w:t>
      </w:r>
    </w:p>
    <w:p w14:paraId="7BB8254F">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十二 .附则</w:t>
      </w:r>
    </w:p>
    <w:p w14:paraId="0B22D7E3">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10" w:name="_Toc30165"/>
      <w:r>
        <w:rPr>
          <w:rFonts w:hint="eastAsia" w:ascii="宋体" w:hAnsi="宋体" w:eastAsia="宋体" w:cs="宋体"/>
          <w:color w:val="auto"/>
          <w:szCs w:val="21"/>
          <w:highlight w:val="none"/>
        </w:rPr>
        <w:t>22.合同份数。</w:t>
      </w:r>
      <w:bookmarkEnd w:id="710"/>
    </w:p>
    <w:p w14:paraId="60A386C3">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rPr>
        <w:t>本合同一式陆份，买卖双方各执二份，招标代理机构一份，招标采购管理部门一份</w:t>
      </w:r>
      <w:r>
        <w:rPr>
          <w:rFonts w:hint="eastAsia" w:ascii="宋体" w:hAnsi="宋体" w:eastAsia="宋体" w:cs="宋体"/>
          <w:color w:val="auto"/>
          <w:szCs w:val="21"/>
          <w:highlight w:val="none"/>
        </w:rPr>
        <w:t>。</w:t>
      </w:r>
    </w:p>
    <w:p w14:paraId="67B24BAA">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11" w:name="_Toc24952"/>
      <w:r>
        <w:rPr>
          <w:rFonts w:hint="eastAsia" w:ascii="宋体" w:hAnsi="宋体" w:eastAsia="宋体" w:cs="宋体"/>
          <w:color w:val="auto"/>
          <w:szCs w:val="21"/>
          <w:highlight w:val="none"/>
        </w:rPr>
        <w:t>23.未尽事宜</w:t>
      </w:r>
      <w:bookmarkEnd w:id="711"/>
    </w:p>
    <w:p w14:paraId="5FBE98FE">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本合同未尽事宜应按《中华人民共和国政府采购法》、《中华人民共和国民法典》、《中华人民共和国产品质量法》之规定解释。</w:t>
      </w:r>
    </w:p>
    <w:p w14:paraId="4EAE4DEB">
      <w:pPr>
        <w:spacing w:before="156" w:beforeLines="50" w:after="156" w:afterLines="50"/>
        <w:jc w:val="center"/>
        <w:outlineLvl w:val="9"/>
        <w:rPr>
          <w:rFonts w:hint="eastAsia" w:ascii="宋体"/>
          <w:b/>
          <w:color w:val="auto"/>
          <w:sz w:val="32"/>
          <w:szCs w:val="32"/>
          <w:highlight w:val="none"/>
        </w:rPr>
      </w:pPr>
    </w:p>
    <w:p w14:paraId="1188BB94">
      <w:pPr>
        <w:spacing w:before="156" w:beforeLines="50" w:after="156" w:afterLines="50"/>
        <w:jc w:val="center"/>
        <w:outlineLvl w:val="9"/>
        <w:rPr>
          <w:rFonts w:hint="eastAsia" w:ascii="宋体"/>
          <w:b/>
          <w:color w:val="auto"/>
          <w:sz w:val="32"/>
          <w:szCs w:val="32"/>
          <w:highlight w:val="none"/>
        </w:rPr>
      </w:pPr>
    </w:p>
    <w:p w14:paraId="6A618688">
      <w:pPr>
        <w:pStyle w:val="92"/>
        <w:rPr>
          <w:rFonts w:hint="eastAsia" w:ascii="宋体"/>
          <w:b/>
          <w:color w:val="auto"/>
          <w:sz w:val="32"/>
          <w:szCs w:val="32"/>
          <w:highlight w:val="none"/>
        </w:rPr>
      </w:pPr>
    </w:p>
    <w:p w14:paraId="78D14236">
      <w:pPr>
        <w:pStyle w:val="21"/>
        <w:rPr>
          <w:rFonts w:hint="eastAsia" w:ascii="宋体"/>
          <w:b/>
          <w:color w:val="auto"/>
          <w:sz w:val="32"/>
          <w:szCs w:val="32"/>
          <w:highlight w:val="none"/>
        </w:rPr>
      </w:pPr>
    </w:p>
    <w:p w14:paraId="09ABBB78">
      <w:pPr>
        <w:pStyle w:val="21"/>
        <w:rPr>
          <w:rFonts w:hint="eastAsia" w:ascii="宋体"/>
          <w:b/>
          <w:color w:val="auto"/>
          <w:sz w:val="32"/>
          <w:szCs w:val="32"/>
          <w:highlight w:val="none"/>
        </w:rPr>
      </w:pPr>
    </w:p>
    <w:p w14:paraId="6E367232">
      <w:pPr>
        <w:pStyle w:val="21"/>
        <w:rPr>
          <w:rFonts w:hint="eastAsia" w:ascii="宋体"/>
          <w:b/>
          <w:color w:val="auto"/>
          <w:sz w:val="32"/>
          <w:szCs w:val="32"/>
          <w:highlight w:val="none"/>
        </w:rPr>
      </w:pPr>
    </w:p>
    <w:p w14:paraId="29E3AB0A">
      <w:pPr>
        <w:pStyle w:val="6"/>
        <w:rPr>
          <w:rFonts w:hint="eastAsia"/>
          <w:color w:val="auto"/>
          <w:highlight w:val="none"/>
        </w:rPr>
      </w:pPr>
    </w:p>
    <w:p w14:paraId="5C972C3D">
      <w:pPr>
        <w:rPr>
          <w:rFonts w:hint="eastAsia"/>
          <w:color w:val="auto"/>
          <w:highlight w:val="none"/>
        </w:rPr>
      </w:pPr>
    </w:p>
    <w:p w14:paraId="5362470E">
      <w:pPr>
        <w:pStyle w:val="2"/>
        <w:rPr>
          <w:rFonts w:hint="eastAsia"/>
          <w:color w:val="auto"/>
          <w:highlight w:val="none"/>
        </w:rPr>
      </w:pPr>
    </w:p>
    <w:p w14:paraId="14801B65">
      <w:pPr>
        <w:rPr>
          <w:rFonts w:hint="eastAsia"/>
          <w:color w:val="auto"/>
          <w:highlight w:val="none"/>
        </w:rPr>
      </w:pPr>
    </w:p>
    <w:p w14:paraId="076E9886">
      <w:pPr>
        <w:pStyle w:val="2"/>
        <w:rPr>
          <w:rFonts w:hint="eastAsia"/>
          <w:color w:val="auto"/>
          <w:highlight w:val="none"/>
        </w:rPr>
      </w:pPr>
    </w:p>
    <w:p w14:paraId="498BE65A">
      <w:pPr>
        <w:rPr>
          <w:rFonts w:hint="eastAsia"/>
          <w:color w:val="auto"/>
          <w:highlight w:val="none"/>
        </w:rPr>
      </w:pPr>
    </w:p>
    <w:p w14:paraId="49308ABC">
      <w:pPr>
        <w:pStyle w:val="2"/>
        <w:rPr>
          <w:rFonts w:hint="eastAsia"/>
          <w:color w:val="auto"/>
          <w:highlight w:val="none"/>
        </w:rPr>
      </w:pPr>
    </w:p>
    <w:p w14:paraId="0A94D034">
      <w:pPr>
        <w:pStyle w:val="5"/>
        <w:jc w:val="center"/>
        <w:rPr>
          <w:rFonts w:hint="eastAsia"/>
          <w:color w:val="auto"/>
          <w:sz w:val="32"/>
          <w:szCs w:val="32"/>
          <w:highlight w:val="none"/>
        </w:rPr>
      </w:pPr>
      <w:bookmarkStart w:id="712" w:name="_Toc21133"/>
      <w:r>
        <w:rPr>
          <w:rFonts w:hint="eastAsia"/>
          <w:color w:val="auto"/>
          <w:sz w:val="32"/>
          <w:szCs w:val="32"/>
          <w:highlight w:val="none"/>
        </w:rPr>
        <w:t>第</w:t>
      </w:r>
      <w:r>
        <w:rPr>
          <w:rFonts w:hint="eastAsia"/>
          <w:color w:val="auto"/>
          <w:sz w:val="32"/>
          <w:szCs w:val="32"/>
          <w:highlight w:val="none"/>
          <w:lang w:val="en-US" w:eastAsia="zh-CN"/>
        </w:rPr>
        <w:t>五</w:t>
      </w:r>
      <w:r>
        <w:rPr>
          <w:rFonts w:hint="eastAsia"/>
          <w:color w:val="auto"/>
          <w:sz w:val="32"/>
          <w:szCs w:val="32"/>
          <w:highlight w:val="none"/>
        </w:rPr>
        <w:t>章  投标文件格式</w:t>
      </w:r>
      <w:bookmarkEnd w:id="674"/>
      <w:bookmarkEnd w:id="675"/>
      <w:bookmarkEnd w:id="676"/>
      <w:bookmarkEnd w:id="712"/>
    </w:p>
    <w:p w14:paraId="2AA2DB1E">
      <w:pPr>
        <w:jc w:val="center"/>
        <w:rPr>
          <w:rFonts w:hint="eastAsia" w:eastAsia="黑体"/>
          <w:color w:val="auto"/>
          <w:sz w:val="20"/>
          <w:highlight w:val="none"/>
        </w:rPr>
      </w:pPr>
    </w:p>
    <w:p w14:paraId="78DE02DB">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1DD161C2">
      <w:pPr>
        <w:jc w:val="center"/>
        <w:rPr>
          <w:rFonts w:hint="eastAsia" w:eastAsia="黑体"/>
          <w:color w:val="auto"/>
          <w:sz w:val="20"/>
          <w:highlight w:val="none"/>
        </w:rPr>
      </w:pPr>
    </w:p>
    <w:p w14:paraId="60F102DA">
      <w:pPr>
        <w:rPr>
          <w:rFonts w:hint="eastAsia" w:eastAsia="黑体"/>
          <w:color w:val="auto"/>
          <w:sz w:val="20"/>
          <w:highlight w:val="none"/>
        </w:rPr>
      </w:pPr>
    </w:p>
    <w:p w14:paraId="71B8D7A0">
      <w:pPr>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12CF8905">
      <w:pPr>
        <w:jc w:val="center"/>
        <w:rPr>
          <w:rFonts w:hint="eastAsia" w:eastAsia="黑体"/>
          <w:color w:val="auto"/>
          <w:sz w:val="44"/>
          <w:szCs w:val="44"/>
          <w:highlight w:val="none"/>
        </w:rPr>
      </w:pPr>
      <w:r>
        <w:rPr>
          <w:rFonts w:hint="eastAsia" w:eastAsia="黑体"/>
          <w:color w:val="auto"/>
          <w:sz w:val="44"/>
          <w:szCs w:val="44"/>
          <w:highlight w:val="none"/>
        </w:rPr>
        <w:t>（资信证明文件）</w:t>
      </w:r>
    </w:p>
    <w:p w14:paraId="3084748B">
      <w:pPr>
        <w:jc w:val="center"/>
        <w:rPr>
          <w:rFonts w:hint="eastAsia" w:eastAsia="黑体"/>
          <w:color w:val="auto"/>
          <w:sz w:val="44"/>
          <w:szCs w:val="44"/>
          <w:highlight w:val="none"/>
        </w:rPr>
      </w:pPr>
    </w:p>
    <w:p w14:paraId="35E5D22E">
      <w:pPr>
        <w:rPr>
          <w:rFonts w:hint="eastAsia" w:ascii="宋体"/>
          <w:color w:val="auto"/>
          <w:sz w:val="28"/>
          <w:szCs w:val="28"/>
          <w:highlight w:val="none"/>
        </w:rPr>
      </w:pPr>
    </w:p>
    <w:p w14:paraId="2E93F75D">
      <w:pPr>
        <w:rPr>
          <w:rFonts w:hint="eastAsia" w:ascii="宋体"/>
          <w:color w:val="auto"/>
          <w:sz w:val="28"/>
          <w:szCs w:val="28"/>
          <w:highlight w:val="none"/>
        </w:rPr>
      </w:pPr>
    </w:p>
    <w:p w14:paraId="046F0604">
      <w:pPr>
        <w:rPr>
          <w:rFonts w:hint="eastAsia" w:ascii="宋体"/>
          <w:color w:val="auto"/>
          <w:sz w:val="28"/>
          <w:szCs w:val="28"/>
          <w:highlight w:val="none"/>
        </w:rPr>
      </w:pPr>
    </w:p>
    <w:p w14:paraId="5BF23A91">
      <w:pPr>
        <w:rPr>
          <w:rFonts w:hint="eastAsia" w:ascii="宋体"/>
          <w:color w:val="auto"/>
          <w:sz w:val="28"/>
          <w:szCs w:val="28"/>
          <w:highlight w:val="none"/>
        </w:rPr>
      </w:pPr>
    </w:p>
    <w:p w14:paraId="00F4E883">
      <w:pPr>
        <w:rPr>
          <w:rFonts w:hint="eastAsia" w:ascii="宋体"/>
          <w:color w:val="auto"/>
          <w:sz w:val="28"/>
          <w:szCs w:val="28"/>
          <w:highlight w:val="none"/>
        </w:rPr>
      </w:pPr>
    </w:p>
    <w:p w14:paraId="73CF4E52">
      <w:pPr>
        <w:rPr>
          <w:rFonts w:hint="eastAsia" w:ascii="宋体"/>
          <w:color w:val="auto"/>
          <w:sz w:val="28"/>
          <w:szCs w:val="28"/>
          <w:highlight w:val="none"/>
        </w:rPr>
      </w:pPr>
    </w:p>
    <w:p w14:paraId="305002B4">
      <w:pPr>
        <w:rPr>
          <w:rFonts w:hint="eastAsia" w:ascii="宋体"/>
          <w:color w:val="auto"/>
          <w:sz w:val="28"/>
          <w:szCs w:val="28"/>
          <w:highlight w:val="none"/>
        </w:rPr>
      </w:pPr>
    </w:p>
    <w:p w14:paraId="13B89B29">
      <w:pPr>
        <w:rPr>
          <w:rFonts w:hint="eastAsia" w:ascii="宋体"/>
          <w:color w:val="auto"/>
          <w:sz w:val="28"/>
          <w:szCs w:val="28"/>
          <w:highlight w:val="none"/>
        </w:rPr>
      </w:pPr>
    </w:p>
    <w:p w14:paraId="2B0C09B8">
      <w:pPr>
        <w:rPr>
          <w:rFonts w:hint="eastAsia" w:ascii="宋体"/>
          <w:color w:val="auto"/>
          <w:sz w:val="28"/>
          <w:szCs w:val="28"/>
          <w:highlight w:val="none"/>
        </w:rPr>
      </w:pPr>
    </w:p>
    <w:p w14:paraId="21F47ACA">
      <w:pPr>
        <w:rPr>
          <w:rFonts w:hint="eastAsia" w:ascii="宋体"/>
          <w:color w:val="auto"/>
          <w:sz w:val="28"/>
          <w:szCs w:val="28"/>
          <w:highlight w:val="none"/>
        </w:rPr>
      </w:pPr>
    </w:p>
    <w:p w14:paraId="6DD7392B">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6D9408B5">
      <w:pPr>
        <w:jc w:val="center"/>
        <w:rPr>
          <w:rFonts w:hint="eastAsia"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0C37C049">
      <w:pPr>
        <w:spacing w:line="540" w:lineRule="exact"/>
        <w:jc w:val="center"/>
        <w:rPr>
          <w:rFonts w:hint="eastAsia"/>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C4A380D">
      <w:pPr>
        <w:spacing w:line="540" w:lineRule="exact"/>
        <w:rPr>
          <w:rFonts w:hint="eastAsia"/>
          <w:color w:val="auto"/>
          <w:highlight w:val="none"/>
        </w:rPr>
      </w:pPr>
    </w:p>
    <w:p w14:paraId="062E81E7">
      <w:pPr>
        <w:pStyle w:val="2"/>
        <w:rPr>
          <w:rFonts w:hint="eastAsia"/>
          <w:color w:val="auto"/>
          <w:highlight w:val="none"/>
        </w:rPr>
      </w:pPr>
    </w:p>
    <w:p w14:paraId="666DE414">
      <w:pPr>
        <w:pStyle w:val="2"/>
        <w:rPr>
          <w:rFonts w:hint="eastAsia"/>
          <w:color w:val="auto"/>
          <w:highlight w:val="none"/>
        </w:rPr>
      </w:pPr>
    </w:p>
    <w:p w14:paraId="3DD263AB">
      <w:pPr>
        <w:spacing w:line="400" w:lineRule="exact"/>
        <w:rPr>
          <w:rFonts w:hint="eastAsia"/>
          <w:b/>
          <w:color w:val="auto"/>
          <w:sz w:val="28"/>
          <w:szCs w:val="28"/>
          <w:highlight w:val="none"/>
        </w:rPr>
      </w:pPr>
    </w:p>
    <w:p w14:paraId="506BBA65">
      <w:pPr>
        <w:spacing w:line="400" w:lineRule="exact"/>
        <w:ind w:firstLine="562" w:firstLineChars="200"/>
        <w:jc w:val="center"/>
        <w:rPr>
          <w:rFonts w:hint="eastAsia"/>
          <w:b/>
          <w:color w:val="auto"/>
          <w:sz w:val="28"/>
          <w:szCs w:val="28"/>
          <w:highlight w:val="none"/>
        </w:rPr>
      </w:pPr>
      <w:r>
        <w:rPr>
          <w:rFonts w:hint="eastAsia"/>
          <w:b/>
          <w:color w:val="auto"/>
          <w:sz w:val="28"/>
          <w:szCs w:val="28"/>
          <w:highlight w:val="none"/>
        </w:rPr>
        <w:t>目    录</w:t>
      </w:r>
    </w:p>
    <w:p w14:paraId="0B194728">
      <w:pPr>
        <w:spacing w:line="400" w:lineRule="exact"/>
        <w:ind w:firstLine="420" w:firstLineChars="200"/>
        <w:rPr>
          <w:rFonts w:hint="eastAsia" w:ascii="宋体" w:hAnsi="宋体"/>
          <w:color w:val="auto"/>
          <w:highlight w:val="none"/>
        </w:rPr>
      </w:pPr>
    </w:p>
    <w:p w14:paraId="09F18804">
      <w:pPr>
        <w:numPr>
          <w:ilvl w:val="0"/>
          <w:numId w:val="0"/>
        </w:numPr>
        <w:spacing w:line="440" w:lineRule="exact"/>
        <w:ind w:firstLine="420" w:firstLineChars="200"/>
        <w:outlineLvl w:val="1"/>
        <w:rPr>
          <w:rFonts w:hint="eastAsia" w:ascii="宋体" w:hAnsi="宋体" w:cs="宋体"/>
          <w:color w:val="auto"/>
          <w:szCs w:val="21"/>
          <w:highlight w:val="none"/>
          <w:lang w:eastAsia="zh-CN"/>
        </w:rPr>
      </w:pPr>
      <w:bookmarkStart w:id="713" w:name="_Toc2630"/>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投标人基本情况表</w:t>
      </w:r>
      <w:r>
        <w:rPr>
          <w:rFonts w:hint="eastAsia" w:ascii="宋体" w:hAnsi="宋体" w:cs="宋体"/>
          <w:color w:val="auto"/>
          <w:szCs w:val="21"/>
          <w:highlight w:val="none"/>
          <w:lang w:eastAsia="zh-CN"/>
        </w:rPr>
        <w:t>；</w:t>
      </w:r>
      <w:bookmarkEnd w:id="713"/>
    </w:p>
    <w:p w14:paraId="3C352DF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法定代表人身份证明</w:t>
      </w:r>
      <w:r>
        <w:rPr>
          <w:rFonts w:hint="eastAsia" w:ascii="宋体" w:hAnsi="宋体" w:cs="宋体"/>
          <w:color w:val="auto"/>
          <w:szCs w:val="21"/>
          <w:highlight w:val="none"/>
          <w:lang w:val="en-US" w:eastAsia="zh-CN"/>
        </w:rPr>
        <w:t>文件</w:t>
      </w:r>
      <w:r>
        <w:rPr>
          <w:rFonts w:hint="eastAsia" w:ascii="宋体" w:hAnsi="宋体" w:cs="宋体"/>
          <w:color w:val="auto"/>
          <w:szCs w:val="21"/>
          <w:highlight w:val="none"/>
        </w:rPr>
        <w:t>和本人身份证(或法定代表人授权委托书和委托代理人身份证)；</w:t>
      </w:r>
    </w:p>
    <w:p w14:paraId="7C8C7066">
      <w:pPr>
        <w:spacing w:line="440" w:lineRule="exact"/>
        <w:ind w:firstLine="420" w:firstLineChars="200"/>
        <w:outlineLvl w:val="1"/>
        <w:rPr>
          <w:rFonts w:hint="eastAsia"/>
          <w:color w:val="auto"/>
          <w:highlight w:val="none"/>
        </w:rPr>
      </w:pPr>
      <w:bookmarkStart w:id="714" w:name="_Toc3424"/>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宋体" w:hAnsi="宋体" w:cs="宋体"/>
          <w:color w:val="auto"/>
          <w:szCs w:val="21"/>
          <w:highlight w:val="none"/>
        </w:rPr>
        <w:t>诚信投标承诺书；</w:t>
      </w:r>
      <w:bookmarkEnd w:id="714"/>
    </w:p>
    <w:p w14:paraId="79315915">
      <w:pPr>
        <w:spacing w:line="440" w:lineRule="exact"/>
        <w:ind w:firstLine="420" w:firstLineChars="200"/>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ascii="宋体"/>
          <w:color w:val="auto"/>
          <w:szCs w:val="21"/>
          <w:highlight w:val="none"/>
        </w:rPr>
        <w:t>投标人有效的营业执照、税务登记证、组织机构代码证（或三合一证书）</w:t>
      </w:r>
      <w:r>
        <w:rPr>
          <w:rFonts w:hint="eastAsia"/>
          <w:color w:val="auto"/>
          <w:highlight w:val="none"/>
        </w:rPr>
        <w:t>；</w:t>
      </w:r>
    </w:p>
    <w:p w14:paraId="654C921B">
      <w:pPr>
        <w:spacing w:line="440" w:lineRule="exact"/>
        <w:ind w:firstLine="420" w:firstLineChars="200"/>
        <w:rPr>
          <w:rFonts w:hint="eastAsia" w:ascii="宋体" w:hAnsi="宋体"/>
          <w:b/>
          <w:bCs/>
          <w:color w:val="auto"/>
          <w:szCs w:val="21"/>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ascii="Times New Roman" w:hAnsi="Times New Roman" w:eastAsia="宋体" w:cs="Times New Roman"/>
          <w:color w:val="auto"/>
          <w:highlight w:val="none"/>
          <w:lang w:eastAsia="zh-CN"/>
        </w:rPr>
        <w:t>投</w:t>
      </w:r>
      <w:r>
        <w:rPr>
          <w:rFonts w:hint="eastAsia" w:ascii="宋体" w:hAnsi="宋体"/>
          <w:color w:val="auto"/>
          <w:szCs w:val="21"/>
          <w:highlight w:val="none"/>
        </w:rPr>
        <w:t>标人认为需要补充的其他材料。</w:t>
      </w:r>
    </w:p>
    <w:p w14:paraId="19E14B5A">
      <w:pPr>
        <w:spacing w:line="340" w:lineRule="exact"/>
        <w:ind w:firstLine="422" w:firstLineChars="200"/>
        <w:rPr>
          <w:rFonts w:hint="eastAsia" w:ascii="宋体" w:hAnsi="宋体"/>
          <w:color w:val="auto"/>
          <w:szCs w:val="21"/>
          <w:highlight w:val="none"/>
        </w:rPr>
      </w:pPr>
      <w:r>
        <w:rPr>
          <w:rFonts w:hint="eastAsia" w:ascii="宋体" w:hAnsi="宋体"/>
          <w:b/>
          <w:bCs/>
          <w:color w:val="auto"/>
          <w:szCs w:val="21"/>
          <w:highlight w:val="none"/>
        </w:rPr>
        <w:t>注：以上资信证明文件的原件或复印件加盖单位公章，按以上顺序装订成册。</w:t>
      </w:r>
    </w:p>
    <w:p w14:paraId="510C8E29">
      <w:pPr>
        <w:spacing w:line="360" w:lineRule="auto"/>
        <w:jc w:val="center"/>
        <w:outlineLvl w:val="1"/>
        <w:rPr>
          <w:rFonts w:hint="eastAsia"/>
          <w:b/>
          <w:color w:val="auto"/>
          <w:sz w:val="28"/>
          <w:szCs w:val="28"/>
          <w:highlight w:val="none"/>
        </w:rPr>
      </w:pPr>
      <w:r>
        <w:rPr>
          <w:rFonts w:hint="eastAsia" w:eastAsia="黑体"/>
          <w:color w:val="auto"/>
          <w:sz w:val="20"/>
          <w:szCs w:val="20"/>
          <w:highlight w:val="none"/>
        </w:rPr>
        <w:br w:type="page"/>
      </w:r>
      <w:bookmarkStart w:id="715" w:name="_Toc25522"/>
      <w:r>
        <w:rPr>
          <w:b/>
          <w:color w:val="auto"/>
          <w:sz w:val="28"/>
          <w:szCs w:val="28"/>
          <w:highlight w:val="none"/>
        </w:rPr>
        <w:t>（</w:t>
      </w:r>
      <w:r>
        <w:rPr>
          <w:rFonts w:hint="eastAsia"/>
          <w:b/>
          <w:color w:val="auto"/>
          <w:sz w:val="28"/>
          <w:szCs w:val="28"/>
          <w:highlight w:val="none"/>
        </w:rPr>
        <w:t>1</w:t>
      </w:r>
      <w:r>
        <w:rPr>
          <w:b/>
          <w:color w:val="auto"/>
          <w:sz w:val="28"/>
          <w:szCs w:val="28"/>
          <w:highlight w:val="none"/>
        </w:rPr>
        <w:t>）</w:t>
      </w:r>
      <w:r>
        <w:rPr>
          <w:rFonts w:hint="eastAsia"/>
          <w:b/>
          <w:color w:val="auto"/>
          <w:sz w:val="28"/>
          <w:szCs w:val="28"/>
          <w:highlight w:val="none"/>
        </w:rPr>
        <w:t>投标人基本情况表</w:t>
      </w:r>
      <w:bookmarkEnd w:id="715"/>
    </w:p>
    <w:tbl>
      <w:tblPr>
        <w:tblStyle w:val="51"/>
        <w:tblW w:w="95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2"/>
        <w:gridCol w:w="1004"/>
        <w:gridCol w:w="1062"/>
        <w:gridCol w:w="1408"/>
        <w:gridCol w:w="350"/>
        <w:gridCol w:w="1205"/>
        <w:gridCol w:w="546"/>
        <w:gridCol w:w="960"/>
        <w:gridCol w:w="1112"/>
      </w:tblGrid>
      <w:tr w14:paraId="4EF0D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7D00067">
            <w:pPr>
              <w:topLinePunct/>
              <w:spacing w:line="440" w:lineRule="exact"/>
              <w:jc w:val="center"/>
              <w:rPr>
                <w:color w:val="auto"/>
                <w:szCs w:val="21"/>
                <w:highlight w:val="none"/>
              </w:rPr>
            </w:pPr>
            <w:r>
              <w:rPr>
                <w:color w:val="auto"/>
                <w:szCs w:val="21"/>
                <w:highlight w:val="none"/>
              </w:rPr>
              <w:t>投标人名称</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1C440DCF">
            <w:pPr>
              <w:topLinePunct/>
              <w:spacing w:line="440" w:lineRule="exact"/>
              <w:jc w:val="center"/>
              <w:rPr>
                <w:color w:val="auto"/>
                <w:szCs w:val="21"/>
                <w:highlight w:val="none"/>
              </w:rPr>
            </w:pPr>
          </w:p>
        </w:tc>
      </w:tr>
      <w:tr w14:paraId="0B1D4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69E4B282">
            <w:pPr>
              <w:topLinePunct/>
              <w:spacing w:line="440" w:lineRule="exact"/>
              <w:jc w:val="center"/>
              <w:rPr>
                <w:color w:val="auto"/>
                <w:szCs w:val="21"/>
                <w:highlight w:val="none"/>
              </w:rPr>
            </w:pPr>
            <w:r>
              <w:rPr>
                <w:color w:val="auto"/>
                <w:szCs w:val="21"/>
                <w:highlight w:val="none"/>
              </w:rPr>
              <w:t>注册地址</w:t>
            </w:r>
          </w:p>
        </w:tc>
        <w:tc>
          <w:tcPr>
            <w:tcW w:w="3824" w:type="dxa"/>
            <w:gridSpan w:val="4"/>
            <w:tcBorders>
              <w:top w:val="single" w:color="auto" w:sz="4" w:space="0"/>
              <w:left w:val="single" w:color="auto" w:sz="4" w:space="0"/>
              <w:bottom w:val="single" w:color="auto" w:sz="4" w:space="0"/>
              <w:right w:val="single" w:color="auto" w:sz="4" w:space="0"/>
            </w:tcBorders>
            <w:noWrap w:val="0"/>
            <w:vAlign w:val="center"/>
          </w:tcPr>
          <w:p w14:paraId="26CC9F87">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32A8DC30">
            <w:pPr>
              <w:topLinePunct/>
              <w:spacing w:line="440" w:lineRule="exact"/>
              <w:jc w:val="center"/>
              <w:rPr>
                <w:color w:val="auto"/>
                <w:szCs w:val="21"/>
                <w:highlight w:val="none"/>
              </w:rPr>
            </w:pPr>
            <w:r>
              <w:rPr>
                <w:color w:val="auto"/>
                <w:szCs w:val="21"/>
                <w:highlight w:val="none"/>
              </w:rPr>
              <w:t>邮政编码</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43747720">
            <w:pPr>
              <w:topLinePunct/>
              <w:spacing w:line="440" w:lineRule="exact"/>
              <w:jc w:val="center"/>
              <w:rPr>
                <w:color w:val="auto"/>
                <w:szCs w:val="21"/>
                <w:highlight w:val="none"/>
              </w:rPr>
            </w:pPr>
          </w:p>
        </w:tc>
      </w:tr>
      <w:tr w14:paraId="24403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6" w:hRule="atLeast"/>
          <w:jc w:val="center"/>
        </w:trPr>
        <w:tc>
          <w:tcPr>
            <w:tcW w:w="1932" w:type="dxa"/>
            <w:vMerge w:val="restart"/>
            <w:tcBorders>
              <w:top w:val="single" w:color="auto" w:sz="4" w:space="0"/>
              <w:left w:val="single" w:color="auto" w:sz="4" w:space="0"/>
              <w:bottom w:val="single" w:color="auto" w:sz="4" w:space="0"/>
              <w:right w:val="single" w:color="auto" w:sz="4" w:space="0"/>
            </w:tcBorders>
            <w:noWrap w:val="0"/>
            <w:vAlign w:val="center"/>
          </w:tcPr>
          <w:p w14:paraId="69BBED91">
            <w:pPr>
              <w:topLinePunct/>
              <w:spacing w:line="440" w:lineRule="exact"/>
              <w:jc w:val="center"/>
              <w:rPr>
                <w:color w:val="auto"/>
                <w:szCs w:val="21"/>
                <w:highlight w:val="none"/>
              </w:rPr>
            </w:pPr>
            <w:r>
              <w:rPr>
                <w:color w:val="auto"/>
                <w:szCs w:val="21"/>
                <w:highlight w:val="none"/>
              </w:rPr>
              <w:t>联系方式</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A2EC181">
            <w:pPr>
              <w:topLinePunct/>
              <w:spacing w:line="440" w:lineRule="exact"/>
              <w:jc w:val="center"/>
              <w:rPr>
                <w:color w:val="auto"/>
                <w:szCs w:val="21"/>
                <w:highlight w:val="none"/>
              </w:rPr>
            </w:pPr>
            <w:r>
              <w:rPr>
                <w:color w:val="auto"/>
                <w:szCs w:val="21"/>
                <w:highlight w:val="none"/>
              </w:rPr>
              <w:t>联系人</w:t>
            </w:r>
          </w:p>
        </w:tc>
        <w:tc>
          <w:tcPr>
            <w:tcW w:w="2820" w:type="dxa"/>
            <w:gridSpan w:val="3"/>
            <w:tcBorders>
              <w:top w:val="single" w:color="auto" w:sz="4" w:space="0"/>
              <w:left w:val="single" w:color="auto" w:sz="4" w:space="0"/>
              <w:bottom w:val="single" w:color="auto" w:sz="4" w:space="0"/>
              <w:right w:val="single" w:color="auto" w:sz="4" w:space="0"/>
            </w:tcBorders>
            <w:noWrap w:val="0"/>
            <w:vAlign w:val="center"/>
          </w:tcPr>
          <w:p w14:paraId="31F7AF81">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02809A98">
            <w:pPr>
              <w:topLinePunct/>
              <w:spacing w:line="440" w:lineRule="exact"/>
              <w:jc w:val="center"/>
              <w:rPr>
                <w:color w:val="auto"/>
                <w:szCs w:val="21"/>
                <w:highlight w:val="none"/>
              </w:rPr>
            </w:pPr>
            <w:r>
              <w:rPr>
                <w:color w:val="auto"/>
                <w:szCs w:val="21"/>
                <w:highlight w:val="none"/>
              </w:rPr>
              <w:t>电 话</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4F5CD2F8">
            <w:pPr>
              <w:topLinePunct/>
              <w:spacing w:line="440" w:lineRule="exact"/>
              <w:jc w:val="center"/>
              <w:rPr>
                <w:color w:val="auto"/>
                <w:szCs w:val="21"/>
                <w:highlight w:val="none"/>
              </w:rPr>
            </w:pPr>
          </w:p>
        </w:tc>
      </w:tr>
      <w:tr w14:paraId="618A2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6" w:hRule="atLeast"/>
          <w:jc w:val="center"/>
        </w:trPr>
        <w:tc>
          <w:tcPr>
            <w:tcW w:w="1932" w:type="dxa"/>
            <w:vMerge w:val="continue"/>
            <w:tcBorders>
              <w:top w:val="single" w:color="auto" w:sz="4" w:space="0"/>
              <w:left w:val="single" w:color="auto" w:sz="4" w:space="0"/>
              <w:bottom w:val="single" w:color="auto" w:sz="4" w:space="0"/>
              <w:right w:val="single" w:color="auto" w:sz="4" w:space="0"/>
            </w:tcBorders>
            <w:noWrap w:val="0"/>
            <w:vAlign w:val="center"/>
          </w:tcPr>
          <w:p w14:paraId="50CF4EB4">
            <w:pPr>
              <w:topLinePunct/>
              <w:spacing w:line="440" w:lineRule="exact"/>
              <w:jc w:val="center"/>
              <w:rPr>
                <w:color w:val="auto"/>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DF6C85F">
            <w:pPr>
              <w:topLinePunct/>
              <w:spacing w:line="440" w:lineRule="exact"/>
              <w:jc w:val="center"/>
              <w:rPr>
                <w:color w:val="auto"/>
                <w:szCs w:val="21"/>
                <w:highlight w:val="none"/>
              </w:rPr>
            </w:pPr>
            <w:r>
              <w:rPr>
                <w:color w:val="auto"/>
                <w:szCs w:val="21"/>
                <w:highlight w:val="none"/>
              </w:rPr>
              <w:t>传  真</w:t>
            </w:r>
          </w:p>
        </w:tc>
        <w:tc>
          <w:tcPr>
            <w:tcW w:w="2820" w:type="dxa"/>
            <w:gridSpan w:val="3"/>
            <w:tcBorders>
              <w:top w:val="single" w:color="auto" w:sz="4" w:space="0"/>
              <w:left w:val="single" w:color="auto" w:sz="4" w:space="0"/>
              <w:bottom w:val="single" w:color="auto" w:sz="4" w:space="0"/>
              <w:right w:val="single" w:color="auto" w:sz="4" w:space="0"/>
            </w:tcBorders>
            <w:noWrap w:val="0"/>
            <w:vAlign w:val="center"/>
          </w:tcPr>
          <w:p w14:paraId="5DEEB094">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1A3AC74F">
            <w:pPr>
              <w:topLinePunct/>
              <w:spacing w:line="440" w:lineRule="exact"/>
              <w:jc w:val="center"/>
              <w:rPr>
                <w:color w:val="auto"/>
                <w:szCs w:val="21"/>
                <w:highlight w:val="none"/>
              </w:rPr>
            </w:pPr>
            <w:r>
              <w:rPr>
                <w:color w:val="auto"/>
                <w:szCs w:val="21"/>
                <w:highlight w:val="none"/>
              </w:rPr>
              <w:t>网 址</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5A2E885A">
            <w:pPr>
              <w:topLinePunct/>
              <w:spacing w:line="440" w:lineRule="exact"/>
              <w:jc w:val="center"/>
              <w:rPr>
                <w:color w:val="auto"/>
                <w:szCs w:val="21"/>
                <w:highlight w:val="none"/>
              </w:rPr>
            </w:pPr>
          </w:p>
        </w:tc>
      </w:tr>
      <w:tr w14:paraId="44D38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EE22529">
            <w:pPr>
              <w:topLinePunct/>
              <w:spacing w:line="440" w:lineRule="exact"/>
              <w:jc w:val="center"/>
              <w:rPr>
                <w:color w:val="auto"/>
                <w:szCs w:val="21"/>
                <w:highlight w:val="none"/>
              </w:rPr>
            </w:pPr>
            <w:r>
              <w:rPr>
                <w:color w:val="auto"/>
                <w:szCs w:val="21"/>
                <w:highlight w:val="none"/>
              </w:rPr>
              <w:t>法定代表人</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866DAAE">
            <w:pPr>
              <w:topLinePunct/>
              <w:spacing w:line="440" w:lineRule="exact"/>
              <w:jc w:val="center"/>
              <w:rPr>
                <w:color w:val="auto"/>
                <w:szCs w:val="21"/>
                <w:highlight w:val="none"/>
              </w:rPr>
            </w:pPr>
            <w:r>
              <w:rPr>
                <w:color w:val="auto"/>
                <w:szCs w:val="21"/>
                <w:highlight w:val="none"/>
              </w:rPr>
              <w:t>姓名</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4ED902CF">
            <w:pPr>
              <w:topLinePunct/>
              <w:spacing w:line="440" w:lineRule="exact"/>
              <w:jc w:val="center"/>
              <w:rPr>
                <w:color w:val="auto"/>
                <w:szCs w:val="21"/>
                <w:highlight w:val="none"/>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CBBB378">
            <w:pPr>
              <w:topLinePunct/>
              <w:spacing w:line="440" w:lineRule="exact"/>
              <w:jc w:val="center"/>
              <w:rPr>
                <w:color w:val="auto"/>
                <w:szCs w:val="21"/>
                <w:highlight w:val="none"/>
              </w:rPr>
            </w:pPr>
            <w:r>
              <w:rPr>
                <w:color w:val="auto"/>
                <w:szCs w:val="21"/>
                <w:highlight w:val="none"/>
              </w:rPr>
              <w:t>技术职称</w:t>
            </w:r>
          </w:p>
        </w:tc>
        <w:tc>
          <w:tcPr>
            <w:tcW w:w="2101" w:type="dxa"/>
            <w:gridSpan w:val="3"/>
            <w:tcBorders>
              <w:top w:val="single" w:color="auto" w:sz="4" w:space="0"/>
              <w:left w:val="single" w:color="auto" w:sz="4" w:space="0"/>
              <w:bottom w:val="single" w:color="auto" w:sz="4" w:space="0"/>
              <w:right w:val="single" w:color="auto" w:sz="4" w:space="0"/>
            </w:tcBorders>
            <w:noWrap w:val="0"/>
            <w:vAlign w:val="center"/>
          </w:tcPr>
          <w:p w14:paraId="1DEE9755">
            <w:pPr>
              <w:topLinePunct/>
              <w:spacing w:line="440" w:lineRule="exact"/>
              <w:jc w:val="center"/>
              <w:rPr>
                <w:color w:val="auto"/>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0237EFDB">
            <w:pPr>
              <w:topLinePunct/>
              <w:spacing w:line="440" w:lineRule="exact"/>
              <w:jc w:val="center"/>
              <w:rPr>
                <w:color w:val="auto"/>
                <w:szCs w:val="21"/>
                <w:highlight w:val="none"/>
              </w:rPr>
            </w:pPr>
            <w:r>
              <w:rPr>
                <w:color w:val="auto"/>
                <w:szCs w:val="21"/>
                <w:highlight w:val="none"/>
              </w:rPr>
              <w:t>电话</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3EA9379">
            <w:pPr>
              <w:topLinePunct/>
              <w:spacing w:line="440" w:lineRule="exact"/>
              <w:jc w:val="center"/>
              <w:rPr>
                <w:color w:val="auto"/>
                <w:szCs w:val="21"/>
                <w:highlight w:val="none"/>
              </w:rPr>
            </w:pPr>
          </w:p>
        </w:tc>
      </w:tr>
      <w:tr w14:paraId="48284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91708B1">
            <w:pPr>
              <w:topLinePunct/>
              <w:spacing w:line="440" w:lineRule="exact"/>
              <w:jc w:val="center"/>
              <w:rPr>
                <w:color w:val="auto"/>
                <w:szCs w:val="21"/>
                <w:highlight w:val="none"/>
              </w:rPr>
            </w:pPr>
            <w:r>
              <w:rPr>
                <w:color w:val="auto"/>
                <w:szCs w:val="21"/>
                <w:highlight w:val="none"/>
              </w:rPr>
              <w:t>成立时间</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14:paraId="4AE00350">
            <w:pPr>
              <w:topLinePunct/>
              <w:spacing w:line="440" w:lineRule="exact"/>
              <w:jc w:val="center"/>
              <w:rPr>
                <w:color w:val="auto"/>
                <w:szCs w:val="21"/>
                <w:highlight w:val="none"/>
              </w:rPr>
            </w:pPr>
          </w:p>
        </w:tc>
        <w:tc>
          <w:tcPr>
            <w:tcW w:w="5581" w:type="dxa"/>
            <w:gridSpan w:val="6"/>
            <w:tcBorders>
              <w:top w:val="single" w:color="auto" w:sz="4" w:space="0"/>
              <w:left w:val="single" w:color="auto" w:sz="4" w:space="0"/>
              <w:bottom w:val="single" w:color="auto" w:sz="4" w:space="0"/>
              <w:right w:val="single" w:color="auto" w:sz="4" w:space="0"/>
            </w:tcBorders>
            <w:noWrap w:val="0"/>
            <w:vAlign w:val="center"/>
          </w:tcPr>
          <w:p w14:paraId="34181C16">
            <w:pPr>
              <w:topLinePunct/>
              <w:spacing w:line="440" w:lineRule="exact"/>
              <w:ind w:firstLine="105" w:firstLineChars="50"/>
              <w:jc w:val="center"/>
              <w:rPr>
                <w:color w:val="auto"/>
                <w:szCs w:val="21"/>
                <w:highlight w:val="none"/>
              </w:rPr>
            </w:pPr>
            <w:r>
              <w:rPr>
                <w:color w:val="auto"/>
                <w:szCs w:val="21"/>
                <w:highlight w:val="none"/>
              </w:rPr>
              <w:t>员工总人数：</w:t>
            </w:r>
          </w:p>
        </w:tc>
      </w:tr>
      <w:tr w14:paraId="0171C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526B9D2B">
            <w:pPr>
              <w:topLinePunct/>
              <w:spacing w:line="440" w:lineRule="exact"/>
              <w:jc w:val="center"/>
              <w:rPr>
                <w:color w:val="auto"/>
                <w:szCs w:val="21"/>
                <w:highlight w:val="none"/>
              </w:rPr>
            </w:pPr>
            <w:r>
              <w:rPr>
                <w:color w:val="auto"/>
                <w:szCs w:val="21"/>
                <w:highlight w:val="none"/>
              </w:rPr>
              <w:t>营业执照号</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23FE648E">
            <w:pPr>
              <w:topLinePunct/>
              <w:spacing w:line="440" w:lineRule="exact"/>
              <w:jc w:val="center"/>
              <w:rPr>
                <w:color w:val="auto"/>
                <w:szCs w:val="21"/>
                <w:highlight w:val="none"/>
              </w:rPr>
            </w:pPr>
          </w:p>
        </w:tc>
      </w:tr>
      <w:tr w14:paraId="10D6C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4"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4B20C14F">
            <w:pPr>
              <w:topLinePunct/>
              <w:spacing w:line="440" w:lineRule="exact"/>
              <w:jc w:val="center"/>
              <w:rPr>
                <w:color w:val="auto"/>
                <w:szCs w:val="21"/>
                <w:highlight w:val="none"/>
              </w:rPr>
            </w:pPr>
            <w:r>
              <w:rPr>
                <w:color w:val="auto"/>
                <w:szCs w:val="21"/>
                <w:highlight w:val="none"/>
              </w:rPr>
              <w:t>注册资金</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24A5026D">
            <w:pPr>
              <w:topLinePunct/>
              <w:spacing w:line="440" w:lineRule="exact"/>
              <w:jc w:val="center"/>
              <w:rPr>
                <w:color w:val="auto"/>
                <w:szCs w:val="21"/>
                <w:highlight w:val="none"/>
              </w:rPr>
            </w:pPr>
          </w:p>
        </w:tc>
      </w:tr>
      <w:tr w14:paraId="463CE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626CDB75">
            <w:pPr>
              <w:topLinePunct/>
              <w:spacing w:line="440" w:lineRule="exact"/>
              <w:jc w:val="center"/>
              <w:rPr>
                <w:color w:val="auto"/>
                <w:szCs w:val="21"/>
                <w:highlight w:val="none"/>
              </w:rPr>
            </w:pPr>
            <w:r>
              <w:rPr>
                <w:color w:val="auto"/>
                <w:szCs w:val="21"/>
                <w:highlight w:val="none"/>
              </w:rPr>
              <w:t>开户银行</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624FEB79">
            <w:pPr>
              <w:topLinePunct/>
              <w:spacing w:line="440" w:lineRule="exact"/>
              <w:jc w:val="center"/>
              <w:rPr>
                <w:color w:val="auto"/>
                <w:szCs w:val="21"/>
                <w:highlight w:val="none"/>
              </w:rPr>
            </w:pPr>
          </w:p>
        </w:tc>
      </w:tr>
      <w:tr w14:paraId="530C8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7"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34D763E">
            <w:pPr>
              <w:topLinePunct/>
              <w:spacing w:line="440" w:lineRule="exact"/>
              <w:jc w:val="center"/>
              <w:rPr>
                <w:color w:val="auto"/>
                <w:szCs w:val="21"/>
                <w:highlight w:val="none"/>
              </w:rPr>
            </w:pPr>
            <w:r>
              <w:rPr>
                <w:color w:val="auto"/>
                <w:szCs w:val="21"/>
                <w:highlight w:val="none"/>
              </w:rPr>
              <w:t>账号</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4EA93106">
            <w:pPr>
              <w:topLinePunct/>
              <w:spacing w:line="440" w:lineRule="exact"/>
              <w:jc w:val="center"/>
              <w:rPr>
                <w:color w:val="auto"/>
                <w:szCs w:val="21"/>
                <w:highlight w:val="none"/>
              </w:rPr>
            </w:pPr>
          </w:p>
        </w:tc>
      </w:tr>
      <w:tr w14:paraId="0082C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3" w:hRule="atLeast"/>
          <w:jc w:val="center"/>
        </w:trPr>
        <w:tc>
          <w:tcPr>
            <w:tcW w:w="1932" w:type="dxa"/>
            <w:tcBorders>
              <w:top w:val="single" w:color="auto" w:sz="4" w:space="0"/>
              <w:left w:val="single" w:color="auto" w:sz="4" w:space="0"/>
              <w:right w:val="single" w:color="auto" w:sz="4" w:space="0"/>
            </w:tcBorders>
            <w:noWrap w:val="0"/>
            <w:vAlign w:val="center"/>
          </w:tcPr>
          <w:p w14:paraId="48510682">
            <w:pPr>
              <w:topLinePunct/>
              <w:spacing w:line="440" w:lineRule="exact"/>
              <w:ind w:firstLine="210" w:firstLineChars="100"/>
              <w:jc w:val="center"/>
              <w:rPr>
                <w:color w:val="auto"/>
                <w:szCs w:val="21"/>
                <w:highlight w:val="none"/>
              </w:rPr>
            </w:pPr>
            <w:r>
              <w:rPr>
                <w:color w:val="auto"/>
                <w:szCs w:val="21"/>
                <w:highlight w:val="none"/>
              </w:rPr>
              <w:t>经营范围</w:t>
            </w:r>
          </w:p>
        </w:tc>
        <w:tc>
          <w:tcPr>
            <w:tcW w:w="7647" w:type="dxa"/>
            <w:gridSpan w:val="8"/>
            <w:tcBorders>
              <w:top w:val="single" w:color="auto" w:sz="4" w:space="0"/>
              <w:left w:val="single" w:color="auto" w:sz="4" w:space="0"/>
              <w:right w:val="single" w:color="auto" w:sz="4" w:space="0"/>
            </w:tcBorders>
            <w:noWrap w:val="0"/>
            <w:vAlign w:val="center"/>
          </w:tcPr>
          <w:p w14:paraId="2705E4D3">
            <w:pPr>
              <w:topLinePunct/>
              <w:spacing w:line="440" w:lineRule="exact"/>
              <w:jc w:val="center"/>
              <w:rPr>
                <w:color w:val="auto"/>
                <w:szCs w:val="21"/>
                <w:highlight w:val="none"/>
              </w:rPr>
            </w:pPr>
          </w:p>
          <w:p w14:paraId="1E729825">
            <w:pPr>
              <w:topLinePunct/>
              <w:spacing w:line="440" w:lineRule="exact"/>
              <w:jc w:val="center"/>
              <w:rPr>
                <w:color w:val="auto"/>
                <w:szCs w:val="21"/>
                <w:highlight w:val="none"/>
              </w:rPr>
            </w:pPr>
          </w:p>
          <w:p w14:paraId="66207EF4">
            <w:pPr>
              <w:topLinePunct/>
              <w:spacing w:line="440" w:lineRule="exact"/>
              <w:rPr>
                <w:color w:val="auto"/>
                <w:szCs w:val="21"/>
                <w:highlight w:val="none"/>
              </w:rPr>
            </w:pPr>
          </w:p>
        </w:tc>
      </w:tr>
      <w:tr w14:paraId="22A36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48793453">
            <w:pPr>
              <w:topLinePunct/>
              <w:spacing w:line="440" w:lineRule="exact"/>
              <w:jc w:val="center"/>
              <w:rPr>
                <w:color w:val="auto"/>
                <w:szCs w:val="21"/>
                <w:highlight w:val="none"/>
              </w:rPr>
            </w:pPr>
            <w:r>
              <w:rPr>
                <w:color w:val="auto"/>
                <w:szCs w:val="21"/>
                <w:highlight w:val="none"/>
              </w:rPr>
              <w:t>备注</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528A9455">
            <w:pPr>
              <w:topLinePunct/>
              <w:spacing w:line="440" w:lineRule="exact"/>
              <w:jc w:val="center"/>
              <w:rPr>
                <w:color w:val="auto"/>
                <w:szCs w:val="21"/>
                <w:highlight w:val="none"/>
              </w:rPr>
            </w:pPr>
          </w:p>
        </w:tc>
      </w:tr>
    </w:tbl>
    <w:p w14:paraId="620196CD">
      <w:pPr>
        <w:pStyle w:val="6"/>
        <w:outlineLvl w:val="9"/>
        <w:rPr>
          <w:rFonts w:hint="eastAsia"/>
          <w:color w:val="auto"/>
          <w:highlight w:val="none"/>
        </w:rPr>
      </w:pPr>
    </w:p>
    <w:p w14:paraId="1E0C1988">
      <w:pPr>
        <w:jc w:val="right"/>
        <w:rPr>
          <w:rFonts w:hint="eastAsia"/>
          <w:color w:val="auto"/>
          <w:highlight w:val="none"/>
        </w:rPr>
      </w:pPr>
      <w:r>
        <w:rPr>
          <w:rFonts w:hint="eastAsia"/>
          <w:color w:val="auto"/>
          <w:szCs w:val="21"/>
          <w:highlight w:val="none"/>
        </w:rPr>
        <w:t>企业名称：</w:t>
      </w:r>
      <w:r>
        <w:rPr>
          <w:rFonts w:hint="eastAsia"/>
          <w:color w:val="auto"/>
          <w:szCs w:val="21"/>
          <w:highlight w:val="none"/>
          <w:u w:val="single"/>
        </w:rPr>
        <w:t xml:space="preserve">               （盖章）</w:t>
      </w:r>
    </w:p>
    <w:p w14:paraId="13011ECF">
      <w:pPr>
        <w:spacing w:line="440" w:lineRule="exact"/>
        <w:ind w:firstLine="5565" w:firstLineChars="2650"/>
        <w:rPr>
          <w:rFonts w:hint="eastAsia" w:ascii="宋体" w:hAnsi="宋体"/>
          <w:color w:val="auto"/>
          <w:szCs w:val="21"/>
          <w:highlight w:val="none"/>
        </w:rPr>
      </w:pPr>
      <w:r>
        <w:rPr>
          <w:rFonts w:hint="eastAsia" w:ascii="宋体" w:hAnsi="宋体"/>
          <w:color w:val="auto"/>
          <w:szCs w:val="21"/>
          <w:highlight w:val="none"/>
        </w:rPr>
        <w:t>日   期：</w:t>
      </w:r>
    </w:p>
    <w:p w14:paraId="04777B90">
      <w:pPr>
        <w:spacing w:line="440" w:lineRule="exact"/>
        <w:ind w:firstLine="5565" w:firstLineChars="2650"/>
        <w:rPr>
          <w:color w:val="auto"/>
          <w:szCs w:val="21"/>
          <w:highlight w:val="none"/>
          <w:u w:val="single"/>
        </w:rPr>
      </w:pPr>
    </w:p>
    <w:p w14:paraId="346BB0CD">
      <w:pPr>
        <w:spacing w:line="360" w:lineRule="auto"/>
        <w:jc w:val="center"/>
        <w:outlineLvl w:val="1"/>
        <w:rPr>
          <w:rFonts w:hint="eastAsia" w:ascii="宋体"/>
          <w:b/>
          <w:color w:val="auto"/>
          <w:sz w:val="28"/>
          <w:szCs w:val="28"/>
          <w:highlight w:val="none"/>
        </w:rPr>
      </w:pPr>
      <w:bookmarkStart w:id="716" w:name="_Toc26250"/>
      <w:bookmarkStart w:id="717" w:name="_Toc488780208"/>
      <w:bookmarkStart w:id="718" w:name="_Toc15300917"/>
      <w:bookmarkStart w:id="719" w:name="_Toc56962913"/>
      <w:r>
        <w:rPr>
          <w:rFonts w:hint="eastAsia"/>
          <w:b/>
          <w:color w:val="auto"/>
          <w:sz w:val="28"/>
          <w:szCs w:val="28"/>
          <w:highlight w:val="none"/>
        </w:rPr>
        <w:t>（2）法定代表人身份证明或授权委托书</w:t>
      </w:r>
      <w:bookmarkEnd w:id="716"/>
    </w:p>
    <w:p w14:paraId="57E8B3D2">
      <w:pPr>
        <w:pStyle w:val="215"/>
        <w:spacing w:before="312" w:beforeLines="100" w:after="312" w:afterLines="100" w:line="480" w:lineRule="exact"/>
        <w:rPr>
          <w:rFonts w:hint="eastAsia" w:ascii="宋体"/>
          <w:b/>
          <w:color w:val="auto"/>
          <w:sz w:val="24"/>
          <w:szCs w:val="24"/>
          <w:highlight w:val="none"/>
        </w:rPr>
      </w:pPr>
      <w:r>
        <w:rPr>
          <w:rFonts w:hint="eastAsia" w:ascii="宋体"/>
          <w:color w:val="auto"/>
          <w:sz w:val="24"/>
          <w:szCs w:val="24"/>
          <w:highlight w:val="none"/>
        </w:rPr>
        <w:t>1、法定代表人身份证明</w:t>
      </w:r>
    </w:p>
    <w:p w14:paraId="6DD6D818">
      <w:pPr>
        <w:spacing w:line="46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092C249B">
      <w:pPr>
        <w:spacing w:line="46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AA68AF7">
      <w:pPr>
        <w:spacing w:line="46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5610C8AC">
      <w:pPr>
        <w:spacing w:line="46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lang w:val="en-US" w:eastAsia="zh-CN"/>
        </w:rPr>
        <w:t xml:space="preserve">      </w:t>
      </w:r>
      <w:r>
        <w:rPr>
          <w:rFonts w:hint="eastAsia" w:ascii="宋体"/>
          <w:color w:val="auto"/>
          <w:sz w:val="24"/>
          <w:highlight w:val="none"/>
        </w:rPr>
        <w:t>日</w:t>
      </w:r>
    </w:p>
    <w:p w14:paraId="4FC6B8CF">
      <w:pPr>
        <w:spacing w:line="460" w:lineRule="exact"/>
        <w:ind w:firstLine="480" w:firstLineChars="200"/>
        <w:rPr>
          <w:rFonts w:hint="eastAsia"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328CD0AC">
      <w:pPr>
        <w:spacing w:line="460" w:lineRule="exact"/>
        <w:ind w:firstLine="480" w:firstLineChars="200"/>
        <w:rPr>
          <w:rFonts w:hint="eastAsia"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439B3BBD">
      <w:pPr>
        <w:spacing w:line="46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458A2298">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7F2C543F">
      <w:pPr>
        <w:pStyle w:val="2"/>
        <w:ind w:firstLine="480"/>
        <w:rPr>
          <w:rFonts w:hint="eastAsia"/>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1B931213">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3E235730">
      <w:pPr>
        <w:spacing w:line="360" w:lineRule="auto"/>
        <w:rPr>
          <w:rFonts w:hint="eastAsia" w:ascii="宋体"/>
          <w:color w:val="auto"/>
          <w:sz w:val="24"/>
          <w:highlight w:val="none"/>
        </w:rPr>
      </w:pPr>
      <w:r>
        <w:rPr>
          <w:rFonts w:hint="eastAsia" w:ascii="宋体"/>
          <w:color w:val="auto"/>
          <w:sz w:val="24"/>
          <w:highlight w:val="none"/>
        </w:rPr>
        <w:t xml:space="preserve">                                        年    月     日</w:t>
      </w:r>
    </w:p>
    <w:p w14:paraId="45D12E0D">
      <w:pPr>
        <w:spacing w:line="360" w:lineRule="auto"/>
        <w:jc w:val="center"/>
        <w:rPr>
          <w:rFonts w:hint="eastAsia" w:ascii="宋体"/>
          <w:color w:val="auto"/>
          <w:sz w:val="28"/>
          <w:szCs w:val="28"/>
          <w:highlight w:val="none"/>
        </w:rPr>
      </w:pPr>
      <w:r>
        <w:rPr>
          <w:rFonts w:hint="eastAsia" w:ascii="宋体"/>
          <w:color w:val="auto"/>
          <w:sz w:val="28"/>
          <w:szCs w:val="28"/>
          <w:highlight w:val="none"/>
        </w:rPr>
        <w:t>2、授权委托书</w:t>
      </w:r>
    </w:p>
    <w:p w14:paraId="0F6ACD78">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”(项目名称）投标文件，全权处理与该项目投标、评审答疑、签订合同以及与合同执行有关的一切事务，其法律后果由我方承担。</w:t>
      </w:r>
    </w:p>
    <w:p w14:paraId="66E87EA2">
      <w:pPr>
        <w:spacing w:line="480" w:lineRule="exact"/>
        <w:ind w:firstLine="480" w:firstLineChars="200"/>
        <w:rPr>
          <w:rFonts w:hint="eastAsia"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3D7B098D">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58A6142">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4D634A86">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4993B049">
      <w:pPr>
        <w:spacing w:line="440" w:lineRule="exact"/>
        <w:ind w:firstLine="960" w:firstLineChars="400"/>
        <w:rPr>
          <w:rFonts w:hint="eastAsia" w:ascii="宋体"/>
          <w:color w:val="auto"/>
          <w:sz w:val="24"/>
          <w:highlight w:val="none"/>
        </w:rPr>
      </w:pPr>
      <w:r>
        <w:rPr>
          <w:rFonts w:hint="eastAsia" w:ascii="宋体"/>
          <w:color w:val="auto"/>
          <w:sz w:val="24"/>
          <w:highlight w:val="none"/>
        </w:rPr>
        <w:t xml:space="preserve"> </w:t>
      </w:r>
    </w:p>
    <w:p w14:paraId="15424CEA">
      <w:pPr>
        <w:spacing w:line="480" w:lineRule="exact"/>
        <w:ind w:firstLine="3000" w:firstLineChars="1250"/>
        <w:rPr>
          <w:rFonts w:hint="eastAsia" w:ascii="宋体"/>
          <w:color w:val="auto"/>
          <w:sz w:val="24"/>
          <w:highlight w:val="none"/>
        </w:rPr>
      </w:pPr>
      <w:r>
        <w:rPr>
          <w:rFonts w:hint="eastAsia" w:ascii="宋体"/>
          <w:color w:val="auto"/>
          <w:sz w:val="24"/>
          <w:highlight w:val="none"/>
        </w:rPr>
        <w:t>投标人（盖单位章）：</w:t>
      </w:r>
    </w:p>
    <w:p w14:paraId="4DD30029">
      <w:pPr>
        <w:spacing w:line="480" w:lineRule="exact"/>
        <w:ind w:firstLine="2280" w:firstLineChars="950"/>
        <w:rPr>
          <w:rFonts w:hint="eastAsia" w:ascii="宋体"/>
          <w:color w:val="auto"/>
          <w:sz w:val="24"/>
          <w:highlight w:val="none"/>
        </w:rPr>
      </w:pPr>
      <w:r>
        <w:rPr>
          <w:rFonts w:hint="eastAsia" w:ascii="宋体"/>
          <w:color w:val="auto"/>
          <w:sz w:val="24"/>
          <w:highlight w:val="none"/>
        </w:rPr>
        <w:t>法定代表人（身份证号码）：          （签字或盖章）</w:t>
      </w:r>
    </w:p>
    <w:p w14:paraId="2716B40D">
      <w:pPr>
        <w:spacing w:line="480" w:lineRule="exact"/>
        <w:ind w:firstLine="2280" w:firstLineChars="950"/>
        <w:rPr>
          <w:rFonts w:hint="eastAsia" w:ascii="宋体"/>
          <w:color w:val="auto"/>
          <w:sz w:val="24"/>
          <w:highlight w:val="none"/>
        </w:rPr>
      </w:pPr>
      <w:r>
        <w:rPr>
          <w:rFonts w:hint="eastAsia" w:ascii="宋体"/>
          <w:color w:val="auto"/>
          <w:sz w:val="24"/>
          <w:highlight w:val="none"/>
        </w:rPr>
        <w:t>委托代理人（身份证号码）：          （签字或盖章）</w:t>
      </w:r>
    </w:p>
    <w:p w14:paraId="33881E44">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                  年    月    日</w:t>
      </w:r>
    </w:p>
    <w:p w14:paraId="4DC0F7D7">
      <w:pPr>
        <w:spacing w:line="360" w:lineRule="auto"/>
        <w:jc w:val="center"/>
        <w:rPr>
          <w:rFonts w:hint="eastAsia"/>
          <w:b/>
          <w:color w:val="auto"/>
          <w:sz w:val="28"/>
          <w:szCs w:val="28"/>
          <w:highlight w:val="none"/>
        </w:rPr>
      </w:pPr>
    </w:p>
    <w:p w14:paraId="0C7010D5">
      <w:pPr>
        <w:spacing w:line="360" w:lineRule="auto"/>
        <w:jc w:val="center"/>
        <w:outlineLvl w:val="1"/>
        <w:rPr>
          <w:b/>
          <w:color w:val="auto"/>
          <w:sz w:val="28"/>
          <w:szCs w:val="28"/>
          <w:highlight w:val="none"/>
        </w:rPr>
      </w:pPr>
      <w:bookmarkStart w:id="720" w:name="_Toc7822"/>
      <w:r>
        <w:rPr>
          <w:rFonts w:hint="eastAsia"/>
          <w:b/>
          <w:color w:val="auto"/>
          <w:sz w:val="28"/>
          <w:szCs w:val="28"/>
          <w:highlight w:val="none"/>
        </w:rPr>
        <w:t>（3）诚信投标承诺书</w:t>
      </w:r>
      <w:bookmarkEnd w:id="717"/>
      <w:bookmarkEnd w:id="718"/>
      <w:bookmarkEnd w:id="720"/>
      <w:r>
        <w:rPr>
          <w:b/>
          <w:color w:val="auto"/>
          <w:sz w:val="28"/>
          <w:szCs w:val="28"/>
          <w:highlight w:val="none"/>
        </w:rPr>
        <w:t xml:space="preserve"> </w:t>
      </w:r>
      <w:bookmarkEnd w:id="719"/>
    </w:p>
    <w:p w14:paraId="7B7B406F">
      <w:pPr>
        <w:spacing w:line="560" w:lineRule="exact"/>
        <w:rPr>
          <w:color w:val="auto"/>
          <w:szCs w:val="21"/>
          <w:highlight w:val="none"/>
        </w:rPr>
      </w:pPr>
      <w:r>
        <w:rPr>
          <w:rFonts w:hint="eastAsia"/>
          <w:b/>
          <w:color w:val="auto"/>
          <w:szCs w:val="21"/>
          <w:highlight w:val="none"/>
        </w:rPr>
        <w:t>本人以企业法定代表人的身份郑重承诺</w:t>
      </w:r>
      <w:r>
        <w:rPr>
          <w:rFonts w:hint="eastAsia"/>
          <w:color w:val="auto"/>
          <w:szCs w:val="21"/>
          <w:highlight w:val="none"/>
        </w:rPr>
        <w:t>：</w:t>
      </w:r>
    </w:p>
    <w:p w14:paraId="1B6B85A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03C0CB8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05246B3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36CFCD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43471A7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7509A4C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0E2E511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六、我公司没有下列情形： 1、被人民法院列入失信被执行人的；2、我公司及其法定代表人、拟派项目经理（项目负责人）近三年被人民检察院列入行贿犯罪档案的；3、被市场监督管理部门列入经营异常名录或者严重违法企业名单的；4、被税务部门列入重大税收违法案件当事人的；5、被政府采购监管部门列入政府采购严重违法失信行为记录名单的；6、在“信用中国”网站上披露仍在公示期的严重失信行为的；7、被滁州市县两级行业主管部门及公管部门禁止在一定期限内参加政府采购活动且在禁止期限内的；8、被滁州市县两级公管部门记入不良行为记录或者信用信息记录，且在披露期内的；9、被人力资源社会保障行政部门列入拖欠农民工工资“黑名单”的；10、参与政府采购活动前3年在经营活动中有重大违法记录的。</w:t>
      </w:r>
    </w:p>
    <w:p w14:paraId="21A686D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七、严格遵守开标现场纪律，服从监管人员管理；</w:t>
      </w:r>
    </w:p>
    <w:p w14:paraId="0F7954D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八、保证中标后不转包，若有分包征得招标人同意；</w:t>
      </w:r>
    </w:p>
    <w:p w14:paraId="0201652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九、保证中标之后，按照投标文件要求提供相关后续服务；</w:t>
      </w:r>
    </w:p>
    <w:p w14:paraId="4CA4169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755962D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A0E5C9F">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4CC65C5A">
      <w:pPr>
        <w:pStyle w:val="2"/>
        <w:rPr>
          <w:rFonts w:hint="eastAsia"/>
          <w:color w:val="auto"/>
          <w:highlight w:val="none"/>
        </w:rPr>
      </w:pPr>
    </w:p>
    <w:p w14:paraId="72CA0A48">
      <w:pPr>
        <w:pStyle w:val="2"/>
        <w:rPr>
          <w:rFonts w:hint="eastAsia"/>
          <w:color w:val="auto"/>
          <w:highlight w:val="none"/>
        </w:rPr>
      </w:pPr>
    </w:p>
    <w:p w14:paraId="30EE0E78">
      <w:pPr>
        <w:spacing w:line="560" w:lineRule="exact"/>
        <w:ind w:firstLine="420" w:firstLineChars="200"/>
        <w:rPr>
          <w:rFonts w:hint="eastAsia"/>
          <w:color w:val="auto"/>
          <w:szCs w:val="21"/>
          <w:highlight w:val="none"/>
        </w:rPr>
      </w:pPr>
      <w:r>
        <w:rPr>
          <w:rFonts w:hint="eastAsia"/>
          <w:color w:val="auto"/>
          <w:szCs w:val="21"/>
          <w:highlight w:val="none"/>
        </w:rPr>
        <w:t>开户银行：                    基本账户：</w:t>
      </w:r>
    </w:p>
    <w:p w14:paraId="61716826">
      <w:pPr>
        <w:pStyle w:val="2"/>
        <w:rPr>
          <w:color w:val="auto"/>
          <w:highlight w:val="none"/>
        </w:rPr>
      </w:pPr>
    </w:p>
    <w:p w14:paraId="44E388F1">
      <w:pPr>
        <w:spacing w:line="560" w:lineRule="exact"/>
        <w:ind w:firstLine="420" w:firstLineChars="200"/>
        <w:rPr>
          <w:rFonts w:hint="eastAsia"/>
          <w:color w:val="auto"/>
          <w:szCs w:val="21"/>
          <w:highlight w:val="none"/>
        </w:rPr>
      </w:pPr>
      <w:r>
        <w:rPr>
          <w:rFonts w:hint="eastAsia"/>
          <w:color w:val="auto"/>
          <w:szCs w:val="21"/>
          <w:highlight w:val="none"/>
        </w:rPr>
        <w:t>投标人（盖章）：              法定代表人或授权委托代理人（签字或盖章）：</w:t>
      </w:r>
    </w:p>
    <w:p w14:paraId="0A5BFB4A">
      <w:pPr>
        <w:spacing w:line="400" w:lineRule="exact"/>
        <w:ind w:firstLine="3360" w:firstLineChars="1600"/>
        <w:rPr>
          <w:rFonts w:hint="eastAsia" w:ascii="宋体" w:hAnsi="宋体"/>
          <w:color w:val="auto"/>
          <w:szCs w:val="21"/>
          <w:highlight w:val="none"/>
        </w:rPr>
      </w:pPr>
    </w:p>
    <w:p w14:paraId="2B674F2C">
      <w:pPr>
        <w:spacing w:line="400" w:lineRule="exact"/>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5B18C75">
      <w:pPr>
        <w:rPr>
          <w:rFonts w:hint="eastAsia"/>
          <w:color w:val="auto"/>
          <w:highlight w:val="none"/>
        </w:rPr>
      </w:pPr>
    </w:p>
    <w:p w14:paraId="0FB1E468">
      <w:pPr>
        <w:spacing w:line="460" w:lineRule="exact"/>
        <w:jc w:val="center"/>
        <w:rPr>
          <w:rFonts w:hint="eastAsia"/>
          <w:b/>
          <w:bCs/>
          <w:color w:val="auto"/>
          <w:sz w:val="36"/>
          <w:highlight w:val="none"/>
        </w:rPr>
      </w:pPr>
    </w:p>
    <w:p w14:paraId="159AE786">
      <w:pPr>
        <w:pStyle w:val="2"/>
        <w:rPr>
          <w:rFonts w:hint="eastAsia"/>
          <w:color w:val="auto"/>
          <w:highlight w:val="none"/>
        </w:rPr>
      </w:pPr>
    </w:p>
    <w:p w14:paraId="13D6E59A">
      <w:pPr>
        <w:pStyle w:val="2"/>
        <w:rPr>
          <w:rFonts w:hint="eastAsia"/>
          <w:color w:val="auto"/>
          <w:highlight w:val="none"/>
        </w:rPr>
      </w:pPr>
    </w:p>
    <w:p w14:paraId="1DD7BA46">
      <w:pPr>
        <w:pStyle w:val="2"/>
        <w:rPr>
          <w:rFonts w:hint="eastAsia"/>
          <w:color w:val="auto"/>
          <w:highlight w:val="none"/>
        </w:rPr>
      </w:pPr>
    </w:p>
    <w:p w14:paraId="1BED35C7">
      <w:pPr>
        <w:pStyle w:val="2"/>
        <w:rPr>
          <w:rFonts w:hint="eastAsia"/>
          <w:color w:val="auto"/>
          <w:highlight w:val="none"/>
        </w:rPr>
      </w:pPr>
    </w:p>
    <w:p w14:paraId="2156B440">
      <w:pPr>
        <w:pStyle w:val="2"/>
        <w:rPr>
          <w:rFonts w:hint="eastAsia"/>
          <w:color w:val="auto"/>
          <w:highlight w:val="none"/>
        </w:rPr>
      </w:pPr>
    </w:p>
    <w:p w14:paraId="1DA58C82">
      <w:pPr>
        <w:pStyle w:val="2"/>
        <w:rPr>
          <w:rFonts w:hint="eastAsia"/>
          <w:color w:val="auto"/>
          <w:highlight w:val="none"/>
        </w:rPr>
      </w:pPr>
    </w:p>
    <w:p w14:paraId="411DFFC8">
      <w:pPr>
        <w:jc w:val="center"/>
        <w:rPr>
          <w:b/>
          <w:bCs/>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134" w:right="1418" w:bottom="1134" w:left="1418" w:header="680" w:footer="680" w:gutter="0"/>
          <w:pgNumType w:fmt="decimal"/>
          <w:cols w:space="720" w:num="1"/>
          <w:titlePg/>
          <w:docGrid w:type="lines" w:linePitch="312" w:charSpace="0"/>
        </w:sectPr>
      </w:pPr>
    </w:p>
    <w:p w14:paraId="54EA76C5">
      <w:pPr>
        <w:pStyle w:val="6"/>
        <w:rPr>
          <w:rFonts w:hint="eastAsia" w:eastAsia="黑体"/>
          <w:color w:val="auto"/>
          <w:sz w:val="28"/>
          <w:szCs w:val="28"/>
          <w:highlight w:val="none"/>
          <w:u w:val="single"/>
        </w:rPr>
      </w:pPr>
    </w:p>
    <w:p w14:paraId="0C3371D2">
      <w:pPr>
        <w:rPr>
          <w:rFonts w:hint="eastAsia"/>
          <w:color w:val="auto"/>
          <w:highlight w:val="none"/>
        </w:rPr>
      </w:pPr>
    </w:p>
    <w:p w14:paraId="5F1E9CDD">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74318FD4">
      <w:pPr>
        <w:jc w:val="center"/>
        <w:rPr>
          <w:rFonts w:hint="eastAsia" w:eastAsia="黑体"/>
          <w:color w:val="auto"/>
          <w:sz w:val="20"/>
          <w:szCs w:val="20"/>
          <w:highlight w:val="none"/>
        </w:rPr>
      </w:pPr>
    </w:p>
    <w:p w14:paraId="7BBEA03C">
      <w:pPr>
        <w:rPr>
          <w:rFonts w:hint="eastAsia" w:eastAsia="黑体"/>
          <w:color w:val="auto"/>
          <w:sz w:val="20"/>
          <w:szCs w:val="20"/>
          <w:highlight w:val="none"/>
        </w:rPr>
      </w:pPr>
    </w:p>
    <w:p w14:paraId="047E4113">
      <w:pPr>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4929A879">
      <w:pPr>
        <w:jc w:val="center"/>
        <w:rPr>
          <w:rFonts w:hint="eastAsia" w:eastAsia="黑体"/>
          <w:color w:val="auto"/>
          <w:sz w:val="44"/>
          <w:szCs w:val="44"/>
          <w:highlight w:val="none"/>
        </w:rPr>
      </w:pPr>
      <w:r>
        <w:rPr>
          <w:rFonts w:hint="eastAsia" w:eastAsia="黑体"/>
          <w:color w:val="auto"/>
          <w:sz w:val="44"/>
          <w:szCs w:val="44"/>
          <w:highlight w:val="none"/>
        </w:rPr>
        <w:t>（商务标文件）</w:t>
      </w:r>
    </w:p>
    <w:p w14:paraId="7C013411">
      <w:pPr>
        <w:rPr>
          <w:rFonts w:eastAsia="黑体"/>
          <w:color w:val="auto"/>
          <w:sz w:val="28"/>
          <w:szCs w:val="28"/>
          <w:highlight w:val="none"/>
        </w:rPr>
      </w:pPr>
    </w:p>
    <w:p w14:paraId="583C0B28">
      <w:pPr>
        <w:rPr>
          <w:rFonts w:eastAsia="黑体"/>
          <w:color w:val="auto"/>
          <w:sz w:val="28"/>
          <w:szCs w:val="28"/>
          <w:highlight w:val="none"/>
        </w:rPr>
      </w:pPr>
    </w:p>
    <w:p w14:paraId="1F74B2E8">
      <w:pPr>
        <w:rPr>
          <w:rFonts w:eastAsia="黑体"/>
          <w:color w:val="auto"/>
          <w:sz w:val="28"/>
          <w:szCs w:val="28"/>
          <w:highlight w:val="none"/>
        </w:rPr>
      </w:pPr>
    </w:p>
    <w:p w14:paraId="3E2C1D62">
      <w:pPr>
        <w:rPr>
          <w:rFonts w:eastAsia="黑体"/>
          <w:color w:val="auto"/>
          <w:sz w:val="28"/>
          <w:szCs w:val="28"/>
          <w:highlight w:val="none"/>
        </w:rPr>
      </w:pPr>
    </w:p>
    <w:p w14:paraId="64280631">
      <w:pPr>
        <w:rPr>
          <w:rFonts w:eastAsia="黑体"/>
          <w:color w:val="auto"/>
          <w:sz w:val="28"/>
          <w:szCs w:val="28"/>
          <w:highlight w:val="none"/>
        </w:rPr>
      </w:pPr>
    </w:p>
    <w:p w14:paraId="0B9BBF0F">
      <w:pPr>
        <w:rPr>
          <w:rFonts w:eastAsia="黑体"/>
          <w:color w:val="auto"/>
          <w:sz w:val="28"/>
          <w:szCs w:val="28"/>
          <w:highlight w:val="none"/>
        </w:rPr>
      </w:pPr>
    </w:p>
    <w:p w14:paraId="25AE0B38">
      <w:pPr>
        <w:rPr>
          <w:rFonts w:eastAsia="黑体"/>
          <w:color w:val="auto"/>
          <w:sz w:val="28"/>
          <w:szCs w:val="28"/>
          <w:highlight w:val="none"/>
        </w:rPr>
      </w:pPr>
    </w:p>
    <w:p w14:paraId="6AE4FD1F">
      <w:pPr>
        <w:rPr>
          <w:rFonts w:eastAsia="黑体"/>
          <w:color w:val="auto"/>
          <w:sz w:val="28"/>
          <w:szCs w:val="28"/>
          <w:highlight w:val="none"/>
        </w:rPr>
      </w:pPr>
    </w:p>
    <w:p w14:paraId="36227593">
      <w:pPr>
        <w:rPr>
          <w:rFonts w:eastAsia="黑体"/>
          <w:color w:val="auto"/>
          <w:sz w:val="28"/>
          <w:szCs w:val="28"/>
          <w:highlight w:val="none"/>
        </w:rPr>
      </w:pPr>
    </w:p>
    <w:p w14:paraId="771BF3CE">
      <w:pPr>
        <w:rPr>
          <w:rFonts w:hint="eastAsia" w:eastAsia="黑体"/>
          <w:color w:val="auto"/>
          <w:sz w:val="28"/>
          <w:szCs w:val="28"/>
          <w:highlight w:val="none"/>
        </w:rPr>
      </w:pPr>
    </w:p>
    <w:p w14:paraId="193944E3">
      <w:pPr>
        <w:rPr>
          <w:rFonts w:eastAsia="黑体"/>
          <w:color w:val="auto"/>
          <w:sz w:val="28"/>
          <w:szCs w:val="28"/>
          <w:highlight w:val="none"/>
        </w:rPr>
      </w:pPr>
    </w:p>
    <w:p w14:paraId="07816EC7">
      <w:pPr>
        <w:rPr>
          <w:rFonts w:eastAsia="黑体"/>
          <w:color w:val="auto"/>
          <w:sz w:val="28"/>
          <w:szCs w:val="28"/>
          <w:highlight w:val="none"/>
        </w:rPr>
      </w:pPr>
    </w:p>
    <w:p w14:paraId="1BD139F8">
      <w:pPr>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盖章</w:t>
      </w:r>
      <w:r>
        <w:rPr>
          <w:rFonts w:eastAsia="黑体"/>
          <w:color w:val="auto"/>
          <w:sz w:val="28"/>
          <w:szCs w:val="28"/>
          <w:highlight w:val="none"/>
        </w:rPr>
        <w:t>）</w:t>
      </w:r>
    </w:p>
    <w:p w14:paraId="01FEE1A7">
      <w:pPr>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A5B18F8">
      <w:pPr>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4FB45CA1">
      <w:pPr>
        <w:spacing w:line="440" w:lineRule="exact"/>
        <w:rPr>
          <w:rFonts w:hint="eastAsia" w:eastAsia="黑体"/>
          <w:color w:val="auto"/>
          <w:sz w:val="20"/>
          <w:szCs w:val="20"/>
          <w:highlight w:val="none"/>
        </w:rPr>
      </w:pPr>
    </w:p>
    <w:p w14:paraId="5080C534">
      <w:pPr>
        <w:spacing w:line="440" w:lineRule="exact"/>
        <w:rPr>
          <w:rFonts w:hint="eastAsia"/>
          <w:b/>
          <w:bCs/>
          <w:color w:val="auto"/>
          <w:sz w:val="32"/>
          <w:szCs w:val="32"/>
          <w:highlight w:val="none"/>
        </w:rPr>
      </w:pPr>
      <w:bookmarkStart w:id="721" w:name="_Toc246996374"/>
      <w:bookmarkStart w:id="722" w:name="_Toc247085892"/>
      <w:bookmarkStart w:id="723" w:name="_Toc144974881"/>
      <w:bookmarkStart w:id="724" w:name="_Toc246997117"/>
      <w:bookmarkStart w:id="725" w:name="_Toc296602622"/>
      <w:bookmarkStart w:id="726" w:name="_Toc179632833"/>
      <w:bookmarkStart w:id="727" w:name="_Toc152045813"/>
      <w:bookmarkStart w:id="728" w:name="_Toc152042602"/>
    </w:p>
    <w:p w14:paraId="04231AB6">
      <w:pPr>
        <w:spacing w:line="440" w:lineRule="exact"/>
        <w:rPr>
          <w:rFonts w:hint="eastAsia"/>
          <w:b/>
          <w:bCs/>
          <w:color w:val="auto"/>
          <w:sz w:val="32"/>
          <w:szCs w:val="32"/>
          <w:highlight w:val="none"/>
        </w:rPr>
      </w:pPr>
    </w:p>
    <w:p w14:paraId="54E79E93">
      <w:pPr>
        <w:pStyle w:val="2"/>
        <w:rPr>
          <w:rFonts w:hint="eastAsia"/>
          <w:color w:val="auto"/>
          <w:highlight w:val="none"/>
        </w:rPr>
      </w:pPr>
    </w:p>
    <w:p w14:paraId="1FF3FB40">
      <w:pPr>
        <w:spacing w:line="440" w:lineRule="exact"/>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商务标目录</w:t>
      </w:r>
    </w:p>
    <w:p w14:paraId="43964269">
      <w:pPr>
        <w:spacing w:line="440" w:lineRule="exact"/>
        <w:ind w:firstLine="420" w:firstLineChars="200"/>
        <w:rPr>
          <w:rFonts w:hint="eastAsia" w:eastAsia="宋体"/>
          <w:color w:val="auto"/>
          <w:highlight w:val="none"/>
          <w:lang w:val="en-US" w:eastAsia="zh-CN"/>
        </w:rPr>
      </w:pPr>
      <w:r>
        <w:rPr>
          <w:rFonts w:hint="eastAsia"/>
          <w:color w:val="auto"/>
          <w:highlight w:val="none"/>
        </w:rPr>
        <w:t>（</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开标一览表</w:t>
      </w:r>
    </w:p>
    <w:p w14:paraId="436C8F9D">
      <w:pPr>
        <w:spacing w:line="440" w:lineRule="exact"/>
        <w:ind w:firstLine="420" w:firstLineChars="200"/>
        <w:rPr>
          <w:rFonts w:hint="eastAsia"/>
          <w:color w:val="auto"/>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color w:val="auto"/>
          <w:highlight w:val="none"/>
        </w:rPr>
        <w:t xml:space="preserve">投标函（格式见附件）；  </w:t>
      </w:r>
    </w:p>
    <w:p w14:paraId="10B659F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）工程量清单报价书；</w:t>
      </w:r>
    </w:p>
    <w:p w14:paraId="404F0E75">
      <w:pPr>
        <w:spacing w:line="44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（4）招标人推荐的材料品牌响应表（如有）；</w:t>
      </w:r>
    </w:p>
    <w:p w14:paraId="0A7D8121">
      <w:pPr>
        <w:spacing w:line="440" w:lineRule="exact"/>
        <w:ind w:firstLine="420" w:firstLineChars="200"/>
        <w:jc w:val="both"/>
        <w:rPr>
          <w:rFonts w:hint="eastAsia"/>
          <w:color w:val="auto"/>
          <w:highlight w:val="none"/>
        </w:rPr>
      </w:pPr>
      <w:r>
        <w:rPr>
          <w:rFonts w:hint="eastAsia" w:ascii="宋体" w:hAnsi="宋体" w:eastAsia="宋体" w:cs="宋体"/>
          <w:color w:val="auto"/>
          <w:kern w:val="2"/>
          <w:sz w:val="21"/>
          <w:szCs w:val="21"/>
          <w:highlight w:val="none"/>
          <w:lang w:val="en-US" w:eastAsia="zh-CN" w:bidi="ar-SA"/>
        </w:rPr>
        <w:t>（5）</w:t>
      </w:r>
      <w:r>
        <w:rPr>
          <w:rFonts w:hint="eastAsia" w:eastAsia="宋体"/>
          <w:color w:val="auto"/>
          <w:highlight w:val="none"/>
          <w:lang w:val="en-US" w:eastAsia="zh-CN"/>
        </w:rPr>
        <w:t>投标人认为</w:t>
      </w:r>
      <w:r>
        <w:rPr>
          <w:rFonts w:hint="eastAsia"/>
          <w:color w:val="auto"/>
          <w:highlight w:val="none"/>
        </w:rPr>
        <w:t>所需</w:t>
      </w:r>
      <w:r>
        <w:rPr>
          <w:rFonts w:hint="eastAsia"/>
          <w:color w:val="auto"/>
          <w:highlight w:val="none"/>
          <w:lang w:val="en-US" w:eastAsia="zh-CN"/>
        </w:rPr>
        <w:t>的</w:t>
      </w:r>
      <w:r>
        <w:rPr>
          <w:rFonts w:hint="eastAsia"/>
          <w:color w:val="auto"/>
          <w:highlight w:val="none"/>
        </w:rPr>
        <w:t>其他材料。</w:t>
      </w:r>
    </w:p>
    <w:p w14:paraId="79C74D45">
      <w:pPr>
        <w:spacing w:line="440" w:lineRule="exact"/>
        <w:ind w:firstLine="420" w:firstLineChars="200"/>
        <w:jc w:val="center"/>
        <w:rPr>
          <w:rFonts w:hint="eastAsia"/>
          <w:color w:val="auto"/>
          <w:highlight w:val="none"/>
        </w:rPr>
      </w:pPr>
    </w:p>
    <w:p w14:paraId="581C0435">
      <w:pPr>
        <w:spacing w:line="440" w:lineRule="exact"/>
        <w:ind w:firstLine="420" w:firstLineChars="200"/>
        <w:jc w:val="center"/>
        <w:rPr>
          <w:rFonts w:hint="eastAsia"/>
          <w:color w:val="auto"/>
          <w:highlight w:val="none"/>
        </w:rPr>
      </w:pPr>
    </w:p>
    <w:p w14:paraId="2C4C9202">
      <w:pPr>
        <w:spacing w:line="360" w:lineRule="exact"/>
        <w:ind w:firstLine="308" w:firstLineChars="147"/>
        <w:jc w:val="center"/>
        <w:rPr>
          <w:rFonts w:hint="eastAsia" w:ascii="宋体"/>
          <w:b/>
          <w:color w:val="auto"/>
          <w:sz w:val="36"/>
          <w:szCs w:val="36"/>
          <w:highlight w:val="none"/>
        </w:rPr>
      </w:pPr>
      <w:r>
        <w:rPr>
          <w:rFonts w:hint="eastAsia"/>
          <w:color w:val="auto"/>
          <w:highlight w:val="none"/>
        </w:rPr>
        <w:br w:type="page"/>
      </w:r>
      <w:r>
        <w:rPr>
          <w:rFonts w:hint="eastAsia"/>
          <w:b/>
          <w:bCs/>
          <w:color w:val="auto"/>
          <w:sz w:val="32"/>
          <w:szCs w:val="32"/>
          <w:highlight w:val="none"/>
        </w:rPr>
        <w:t>（1）</w:t>
      </w:r>
      <w:r>
        <w:rPr>
          <w:rFonts w:hint="eastAsia" w:ascii="宋体"/>
          <w:b/>
          <w:color w:val="auto"/>
          <w:sz w:val="36"/>
          <w:szCs w:val="36"/>
          <w:highlight w:val="none"/>
        </w:rPr>
        <w:t>开标一览表</w:t>
      </w:r>
    </w:p>
    <w:p w14:paraId="348BB371">
      <w:pPr>
        <w:spacing w:line="360" w:lineRule="exact"/>
        <w:ind w:firstLine="354" w:firstLineChars="147"/>
        <w:rPr>
          <w:rFonts w:hint="eastAsia" w:ascii="宋体"/>
          <w:b/>
          <w:color w:val="auto"/>
          <w:sz w:val="24"/>
          <w:highlight w:val="none"/>
        </w:rPr>
      </w:pPr>
    </w:p>
    <w:p w14:paraId="1E2445BB">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6C5D7406">
      <w:pPr>
        <w:snapToGrid w:val="0"/>
        <w:spacing w:line="460" w:lineRule="exact"/>
        <w:ind w:left="2940" w:leftChars="1400" w:firstLine="720" w:firstLineChars="300"/>
        <w:rPr>
          <w:rFonts w:hint="eastAsia" w:ascii="宋体"/>
          <w:color w:val="auto"/>
          <w:sz w:val="24"/>
          <w:highlight w:val="none"/>
        </w:rPr>
      </w:pPr>
    </w:p>
    <w:tbl>
      <w:tblPr>
        <w:tblStyle w:val="5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693AE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22AF8C9F">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0C657366">
            <w:pPr>
              <w:spacing w:line="360" w:lineRule="auto"/>
              <w:jc w:val="left"/>
              <w:rPr>
                <w:rFonts w:hint="eastAsia"/>
                <w:color w:val="auto"/>
                <w:sz w:val="24"/>
                <w:highlight w:val="none"/>
              </w:rPr>
            </w:pPr>
            <w:r>
              <w:rPr>
                <w:rFonts w:hint="eastAsia"/>
                <w:color w:val="auto"/>
                <w:sz w:val="24"/>
                <w:highlight w:val="none"/>
              </w:rPr>
              <w:t xml:space="preserve">         </w:t>
            </w:r>
          </w:p>
        </w:tc>
      </w:tr>
      <w:tr w14:paraId="3A15B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4B08CE7A">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3C63CF68">
            <w:pPr>
              <w:rPr>
                <w:rFonts w:hint="eastAsia" w:ascii="宋体" w:eastAsia="宋体"/>
                <w:color w:val="auto"/>
                <w:sz w:val="24"/>
                <w:highlight w:val="none"/>
                <w:lang w:val="en-US" w:eastAsia="zh-CN"/>
              </w:rPr>
            </w:pPr>
            <w:r>
              <w:rPr>
                <w:rFonts w:hint="eastAsia" w:ascii="宋体"/>
                <w:color w:val="auto"/>
                <w:sz w:val="24"/>
                <w:highlight w:val="none"/>
                <w:lang w:val="en-US" w:eastAsia="zh-CN"/>
              </w:rPr>
              <w:t>/</w:t>
            </w:r>
          </w:p>
        </w:tc>
      </w:tr>
      <w:tr w14:paraId="0CFF6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29F148D3">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265DC8A0">
            <w:pPr>
              <w:pStyle w:val="27"/>
              <w:spacing w:line="460" w:lineRule="exact"/>
              <w:ind w:left="86" w:leftChars="41"/>
              <w:rPr>
                <w:rFonts w:hint="eastAsia" w:ascii="宋体" w:eastAsia="宋体"/>
                <w:color w:val="auto"/>
                <w:sz w:val="24"/>
                <w:szCs w:val="24"/>
                <w:highlight w:val="none"/>
                <w:lang w:val="en-US" w:eastAsia="zh-CN"/>
              </w:rPr>
            </w:pPr>
          </w:p>
        </w:tc>
      </w:tr>
      <w:tr w14:paraId="204A7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44D8632F">
            <w:pPr>
              <w:spacing w:line="360" w:lineRule="auto"/>
              <w:jc w:val="center"/>
              <w:rPr>
                <w:rFonts w:ascii="宋体"/>
                <w:color w:val="auto"/>
                <w:sz w:val="24"/>
                <w:highlight w:val="none"/>
              </w:rPr>
            </w:pPr>
            <w:r>
              <w:rPr>
                <w:rFonts w:hint="eastAsia" w:ascii="宋体"/>
                <w:color w:val="auto"/>
                <w:sz w:val="24"/>
                <w:highlight w:val="none"/>
              </w:rPr>
              <w:t>总投标价\</w:t>
            </w:r>
            <w:r>
              <w:rPr>
                <w:rFonts w:hint="eastAsia" w:ascii="宋体"/>
                <w:color w:val="auto"/>
                <w:sz w:val="24"/>
                <w:highlight w:val="none"/>
                <w:lang w:eastAsia="zh-CN"/>
              </w:rPr>
              <w:t>工期</w:t>
            </w:r>
          </w:p>
        </w:tc>
        <w:tc>
          <w:tcPr>
            <w:tcW w:w="6952" w:type="dxa"/>
            <w:tcBorders>
              <w:left w:val="single" w:color="auto" w:sz="12" w:space="0"/>
            </w:tcBorders>
            <w:noWrap w:val="0"/>
            <w:vAlign w:val="center"/>
          </w:tcPr>
          <w:p w14:paraId="02868B1D">
            <w:pPr>
              <w:spacing w:line="360" w:lineRule="auto"/>
              <w:rPr>
                <w:rFonts w:hint="eastAsia" w:ascii="宋体"/>
                <w:color w:val="auto"/>
                <w:sz w:val="24"/>
                <w:highlight w:val="none"/>
              </w:rPr>
            </w:pPr>
            <w:r>
              <w:rPr>
                <w:rFonts w:hint="eastAsia" w:ascii="宋体"/>
                <w:color w:val="auto"/>
                <w:sz w:val="24"/>
                <w:highlight w:val="none"/>
              </w:rPr>
              <w:t>总投标价 （大写）：</w:t>
            </w:r>
            <w:r>
              <w:rPr>
                <w:rFonts w:hint="eastAsia" w:ascii="宋体"/>
                <w:color w:val="auto"/>
                <w:sz w:val="24"/>
                <w:highlight w:val="none"/>
                <w:u w:val="single"/>
              </w:rPr>
              <w:t xml:space="preserve">                   </w:t>
            </w:r>
            <w:r>
              <w:rPr>
                <w:rFonts w:hint="eastAsia" w:ascii="宋体"/>
                <w:color w:val="auto"/>
                <w:sz w:val="24"/>
                <w:highlight w:val="none"/>
              </w:rPr>
              <w:t>元</w:t>
            </w:r>
          </w:p>
          <w:p w14:paraId="1DE9E8A8">
            <w:pPr>
              <w:spacing w:line="360" w:lineRule="auto"/>
              <w:ind w:firstLine="1080" w:firstLineChars="450"/>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14:paraId="49199624">
            <w:pPr>
              <w:spacing w:line="360" w:lineRule="auto"/>
              <w:rPr>
                <w:rFonts w:hint="eastAsia"/>
                <w:color w:val="auto"/>
                <w:sz w:val="24"/>
                <w:highlight w:val="none"/>
              </w:rPr>
            </w:pPr>
            <w:r>
              <w:rPr>
                <w:rFonts w:hint="eastAsia" w:ascii="宋体"/>
                <w:color w:val="auto"/>
                <w:sz w:val="24"/>
                <w:highlight w:val="none"/>
                <w:lang w:eastAsia="zh-CN"/>
              </w:rPr>
              <w:t>工期</w:t>
            </w:r>
            <w:r>
              <w:rPr>
                <w:rFonts w:hint="eastAsia" w:ascii="宋体"/>
                <w:color w:val="auto"/>
                <w:sz w:val="24"/>
                <w:highlight w:val="none"/>
              </w:rPr>
              <w:t>：</w:t>
            </w:r>
            <w:r>
              <w:rPr>
                <w:rFonts w:hint="eastAsia" w:ascii="宋体"/>
                <w:color w:val="auto"/>
                <w:sz w:val="24"/>
                <w:highlight w:val="none"/>
                <w:u w:val="single"/>
              </w:rPr>
              <w:t xml:space="preserve">                    </w:t>
            </w:r>
          </w:p>
        </w:tc>
      </w:tr>
    </w:tbl>
    <w:p w14:paraId="4B9C5BC8">
      <w:pPr>
        <w:snapToGrid w:val="0"/>
        <w:spacing w:line="460" w:lineRule="exact"/>
        <w:ind w:firstLine="361" w:firstLineChars="200"/>
        <w:rPr>
          <w:rFonts w:hint="eastAsia" w:ascii="宋体"/>
          <w:b/>
          <w:color w:val="auto"/>
          <w:sz w:val="24"/>
          <w:highlight w:val="none"/>
        </w:rPr>
      </w:pPr>
      <w:r>
        <w:rPr>
          <w:rFonts w:hint="eastAsia" w:ascii="宋体" w:hAnsi="宋体" w:eastAsia="宋体" w:cs="宋体"/>
          <w:b/>
          <w:bCs/>
          <w:i w:val="0"/>
          <w:iCs w:val="0"/>
          <w:color w:val="000000"/>
          <w:kern w:val="0"/>
          <w:sz w:val="18"/>
          <w:szCs w:val="18"/>
          <w:highlight w:val="none"/>
          <w:u w:val="none"/>
          <w:lang w:val="en-US" w:eastAsia="zh-CN" w:bidi="ar"/>
        </w:rPr>
        <w:t>投标</w:t>
      </w:r>
      <w:r>
        <w:rPr>
          <w:rFonts w:hint="eastAsia" w:ascii="宋体" w:hAnsi="宋体" w:cs="宋体"/>
          <w:b/>
          <w:bCs/>
          <w:i w:val="0"/>
          <w:iCs w:val="0"/>
          <w:color w:val="000000"/>
          <w:kern w:val="0"/>
          <w:sz w:val="18"/>
          <w:szCs w:val="18"/>
          <w:highlight w:val="none"/>
          <w:u w:val="none"/>
          <w:lang w:val="en-US" w:eastAsia="zh-CN" w:bidi="ar"/>
        </w:rPr>
        <w:t>总价</w:t>
      </w:r>
      <w:r>
        <w:rPr>
          <w:rFonts w:hint="eastAsia" w:ascii="宋体" w:hAnsi="宋体" w:eastAsia="宋体" w:cs="宋体"/>
          <w:b/>
          <w:bCs/>
          <w:i w:val="0"/>
          <w:iCs w:val="0"/>
          <w:color w:val="000000"/>
          <w:kern w:val="0"/>
          <w:sz w:val="18"/>
          <w:szCs w:val="18"/>
          <w:highlight w:val="none"/>
          <w:u w:val="none"/>
          <w:lang w:val="en-US" w:eastAsia="zh-CN" w:bidi="ar"/>
        </w:rPr>
        <w:t>包括：</w:t>
      </w:r>
      <w:r>
        <w:rPr>
          <w:rFonts w:hint="eastAsia" w:ascii="宋体" w:hAnsi="宋体" w:eastAsia="宋体" w:cs="宋体"/>
          <w:i w:val="0"/>
          <w:iCs w:val="0"/>
          <w:color w:val="000000"/>
          <w:kern w:val="0"/>
          <w:sz w:val="18"/>
          <w:szCs w:val="18"/>
          <w:highlight w:val="none"/>
          <w:u w:val="none"/>
          <w:lang w:val="en-US" w:eastAsia="zh-CN" w:bidi="ar"/>
        </w:rPr>
        <w:t>货物设备费、人工费、材料费（含主材及辅材）、装卸费、运输费、安装费、调试培训费、检定费用、管理费、利润、风险费用、代理费、专家评审费用、验收及后期服务及国家对中标单位征收的各种税费等所有一切费用，采购人将不再支付任何费用。</w:t>
      </w:r>
      <w:r>
        <w:rPr>
          <w:rFonts w:hint="eastAsia" w:ascii="宋体" w:hAnsi="宋体" w:eastAsia="宋体" w:cs="宋体"/>
          <w:i w:val="0"/>
          <w:iCs w:val="0"/>
          <w:color w:val="000000"/>
          <w:kern w:val="0"/>
          <w:sz w:val="16"/>
          <w:szCs w:val="16"/>
          <w:highlight w:val="yellow"/>
          <w:u w:val="none"/>
          <w:lang w:val="en-US" w:eastAsia="zh-CN" w:bidi="ar"/>
        </w:rPr>
        <w:br w:type="textWrapping"/>
      </w:r>
    </w:p>
    <w:p w14:paraId="77BD48E1">
      <w:pPr>
        <w:rPr>
          <w:rFonts w:hint="eastAsia"/>
        </w:rPr>
      </w:pPr>
    </w:p>
    <w:p w14:paraId="1B9E5D5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签字或盖章</w:t>
      </w:r>
      <w:r>
        <w:rPr>
          <w:rFonts w:hint="eastAsia" w:ascii="宋体"/>
          <w:color w:val="auto"/>
          <w:sz w:val="24"/>
          <w:highlight w:val="none"/>
        </w:rPr>
        <w:t>）：         投标人（盖单位章）：</w:t>
      </w:r>
    </w:p>
    <w:p w14:paraId="231BC5C7">
      <w:pPr>
        <w:spacing w:line="440" w:lineRule="exact"/>
        <w:ind w:firstLine="480" w:firstLineChars="200"/>
        <w:jc w:val="center"/>
        <w:rPr>
          <w:rFonts w:hint="eastAsia" w:ascii="宋体"/>
          <w:color w:val="auto"/>
          <w:sz w:val="24"/>
          <w:highlight w:val="none"/>
        </w:r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D793388">
      <w:pPr>
        <w:spacing w:line="440" w:lineRule="exact"/>
        <w:ind w:firstLine="480" w:firstLineChars="200"/>
        <w:jc w:val="center"/>
        <w:rPr>
          <w:rFonts w:hint="eastAsia" w:ascii="宋体"/>
          <w:color w:val="auto"/>
          <w:sz w:val="24"/>
          <w:highlight w:val="none"/>
        </w:rPr>
      </w:pPr>
    </w:p>
    <w:p w14:paraId="2AC3CB19">
      <w:pPr>
        <w:spacing w:line="440" w:lineRule="exact"/>
        <w:ind w:firstLine="480" w:firstLineChars="200"/>
        <w:jc w:val="center"/>
        <w:rPr>
          <w:rFonts w:hint="eastAsia" w:ascii="宋体"/>
          <w:color w:val="auto"/>
          <w:sz w:val="24"/>
          <w:highlight w:val="none"/>
        </w:rPr>
      </w:pPr>
    </w:p>
    <w:p w14:paraId="68EE4CA2">
      <w:pPr>
        <w:spacing w:line="440" w:lineRule="exact"/>
        <w:ind w:firstLine="480" w:firstLineChars="200"/>
        <w:jc w:val="center"/>
        <w:rPr>
          <w:rFonts w:hint="eastAsia" w:ascii="宋体"/>
          <w:color w:val="auto"/>
          <w:sz w:val="24"/>
          <w:highlight w:val="none"/>
        </w:rPr>
      </w:pPr>
    </w:p>
    <w:p w14:paraId="1F1F15DF">
      <w:pPr>
        <w:spacing w:line="440" w:lineRule="exact"/>
        <w:ind w:firstLine="480" w:firstLineChars="200"/>
        <w:jc w:val="center"/>
        <w:rPr>
          <w:rFonts w:hint="eastAsia" w:ascii="宋体"/>
          <w:color w:val="auto"/>
          <w:sz w:val="24"/>
          <w:highlight w:val="none"/>
        </w:rPr>
      </w:pPr>
    </w:p>
    <w:p w14:paraId="302D4196">
      <w:pPr>
        <w:spacing w:line="440" w:lineRule="exact"/>
        <w:ind w:firstLine="480" w:firstLineChars="200"/>
        <w:jc w:val="center"/>
        <w:rPr>
          <w:rFonts w:hint="eastAsia" w:ascii="宋体"/>
          <w:color w:val="auto"/>
          <w:sz w:val="24"/>
          <w:highlight w:val="none"/>
        </w:rPr>
      </w:pPr>
    </w:p>
    <w:p w14:paraId="620E20F4">
      <w:pPr>
        <w:spacing w:line="440" w:lineRule="exact"/>
        <w:ind w:firstLine="643" w:firstLineChars="200"/>
        <w:jc w:val="center"/>
        <w:outlineLvl w:val="1"/>
        <w:rPr>
          <w:rFonts w:hint="eastAsia" w:ascii="Times New Roman" w:hAnsi="Times New Roman" w:eastAsia="宋体" w:cs="Times New Roman"/>
          <w:b/>
          <w:color w:val="auto"/>
          <w:sz w:val="32"/>
          <w:szCs w:val="32"/>
          <w:highlight w:val="none"/>
        </w:rPr>
      </w:pPr>
      <w:bookmarkStart w:id="729" w:name="_Toc9574"/>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lang w:val="en-US" w:eastAsia="zh-CN"/>
        </w:rPr>
        <w:t>2</w:t>
      </w:r>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rPr>
        <w:t>投 标 函</w:t>
      </w:r>
      <w:bookmarkEnd w:id="729"/>
    </w:p>
    <w:p w14:paraId="59CC469B">
      <w:pPr>
        <w:spacing w:line="500" w:lineRule="exact"/>
        <w:rPr>
          <w:rFonts w:hint="eastAsia"/>
          <w:color w:val="auto"/>
          <w:highlight w:val="none"/>
        </w:rPr>
      </w:pPr>
      <w:r>
        <w:rPr>
          <w:rFonts w:hint="eastAsia"/>
          <w:b/>
          <w:bCs/>
          <w:color w:val="auto"/>
          <w:highlight w:val="none"/>
        </w:rPr>
        <w:t>致 ：</w:t>
      </w:r>
      <w:r>
        <w:rPr>
          <w:rFonts w:hint="eastAsia"/>
          <w:b/>
          <w:bCs/>
          <w:color w:val="auto"/>
          <w:highlight w:val="none"/>
          <w:u w:val="single"/>
        </w:rPr>
        <w:t xml:space="preserve">                （招标人名称）</w:t>
      </w:r>
      <w:r>
        <w:rPr>
          <w:rFonts w:hint="eastAsia"/>
          <w:color w:val="auto"/>
          <w:highlight w:val="none"/>
        </w:rPr>
        <w:t xml:space="preserve">：  </w:t>
      </w:r>
    </w:p>
    <w:p w14:paraId="2A0A45AB">
      <w:pPr>
        <w:spacing w:line="560" w:lineRule="exact"/>
        <w:ind w:firstLine="420" w:firstLineChars="20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1、根据你方招标的</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招标文件，遵照《中华人民共和国招标投标法》等有关规定，经踏勘项目现场和研究上述</w:t>
      </w:r>
      <w:r>
        <w:rPr>
          <w:rFonts w:hint="eastAsia" w:ascii="宋体" w:hAnsi="宋体"/>
          <w:color w:val="auto"/>
          <w:sz w:val="21"/>
          <w:szCs w:val="21"/>
          <w:highlight w:val="none"/>
          <w:lang w:val="en-US" w:eastAsia="zh-CN"/>
        </w:rPr>
        <w:t>招标文件</w:t>
      </w:r>
      <w:r>
        <w:rPr>
          <w:rFonts w:hint="eastAsia" w:ascii="宋体" w:hAnsi="宋体"/>
          <w:color w:val="auto"/>
          <w:sz w:val="21"/>
          <w:szCs w:val="21"/>
          <w:highlight w:val="none"/>
        </w:rPr>
        <w:t>的投标须知、合同条件、技术规范和其他有关文件后，我方愿以</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（币种，金额、单位）                   </w:t>
      </w:r>
      <w:r>
        <w:rPr>
          <w:rFonts w:hint="eastAsia" w:ascii="宋体" w:hAnsi="宋体"/>
          <w:color w:val="auto"/>
          <w:sz w:val="21"/>
          <w:szCs w:val="21"/>
          <w:highlight w:val="none"/>
        </w:rPr>
        <w:t>的投标总报价承包上</w:t>
      </w:r>
      <w:r>
        <w:rPr>
          <w:rFonts w:hint="eastAsia" w:ascii="宋体" w:hAnsi="宋体" w:eastAsia="宋体" w:cs="Times New Roman"/>
          <w:color w:val="auto"/>
          <w:sz w:val="21"/>
          <w:szCs w:val="21"/>
          <w:highlight w:val="none"/>
        </w:rPr>
        <w:t>述</w:t>
      </w:r>
      <w:r>
        <w:rPr>
          <w:rFonts w:hint="eastAsia" w:ascii="宋体" w:hAnsi="宋体" w:eastAsia="宋体" w:cs="Times New Roman"/>
          <w:color w:val="auto"/>
          <w:sz w:val="21"/>
          <w:szCs w:val="21"/>
          <w:highlight w:val="none"/>
          <w:lang w:val="en-US" w:eastAsia="zh-CN"/>
        </w:rPr>
        <w:t>项目</w:t>
      </w:r>
      <w:r>
        <w:rPr>
          <w:rFonts w:hint="eastAsia" w:ascii="宋体" w:hAnsi="宋体" w:eastAsia="宋体" w:cs="Times New Roman"/>
          <w:color w:val="auto"/>
          <w:sz w:val="21"/>
          <w:szCs w:val="21"/>
          <w:highlight w:val="none"/>
        </w:rPr>
        <w:t>的货物与服务</w:t>
      </w:r>
      <w:r>
        <w:rPr>
          <w:rFonts w:hint="eastAsia" w:ascii="宋体" w:hAnsi="宋体" w:eastAsia="宋体" w:cs="Times New Roman"/>
          <w:color w:val="auto"/>
          <w:sz w:val="21"/>
          <w:szCs w:val="21"/>
          <w:highlight w:val="none"/>
          <w:lang w:eastAsia="zh-CN"/>
        </w:rPr>
        <w:t>。</w:t>
      </w:r>
    </w:p>
    <w:p w14:paraId="30E7DE24">
      <w:pPr>
        <w:numPr>
          <w:ilvl w:val="0"/>
          <w:numId w:val="6"/>
        </w:numPr>
        <w:spacing w:line="560" w:lineRule="exact"/>
        <w:ind w:left="0" w:firstLine="404" w:firstLineChars="200"/>
        <w:rPr>
          <w:rFonts w:ascii="宋体" w:hAnsi="宋体"/>
          <w:color w:val="auto"/>
          <w:spacing w:val="-4"/>
          <w:sz w:val="21"/>
          <w:szCs w:val="21"/>
          <w:highlight w:val="none"/>
        </w:rPr>
      </w:pPr>
      <w:r>
        <w:rPr>
          <w:rFonts w:hint="eastAsia" w:ascii="宋体" w:hAnsi="宋体"/>
          <w:color w:val="auto"/>
          <w:spacing w:val="-4"/>
          <w:sz w:val="21"/>
          <w:szCs w:val="21"/>
          <w:highlight w:val="none"/>
        </w:rPr>
        <w:t>我方已详细审核全部</w:t>
      </w:r>
      <w:r>
        <w:rPr>
          <w:rFonts w:hint="eastAsia" w:ascii="宋体" w:hAnsi="宋体"/>
          <w:color w:val="auto"/>
          <w:spacing w:val="-4"/>
          <w:sz w:val="21"/>
          <w:szCs w:val="21"/>
          <w:highlight w:val="none"/>
          <w:lang w:val="en-US" w:eastAsia="zh-CN"/>
        </w:rPr>
        <w:t>招标文件</w:t>
      </w:r>
      <w:r>
        <w:rPr>
          <w:rFonts w:hint="eastAsia" w:ascii="宋体" w:hAnsi="宋体"/>
          <w:color w:val="auto"/>
          <w:spacing w:val="-4"/>
          <w:sz w:val="21"/>
          <w:szCs w:val="21"/>
          <w:highlight w:val="none"/>
        </w:rPr>
        <w:t>及有关附件，承诺</w:t>
      </w:r>
      <w:r>
        <w:rPr>
          <w:rFonts w:hint="eastAsia" w:ascii="宋体" w:hAnsi="宋体"/>
          <w:color w:val="auto"/>
          <w:spacing w:val="-4"/>
          <w:sz w:val="21"/>
          <w:szCs w:val="21"/>
          <w:highlight w:val="none"/>
          <w:lang w:val="en-US" w:eastAsia="zh-CN"/>
        </w:rPr>
        <w:t>招标文件</w:t>
      </w:r>
      <w:r>
        <w:rPr>
          <w:rFonts w:hint="eastAsia" w:ascii="宋体" w:hAnsi="宋体"/>
          <w:color w:val="auto"/>
          <w:spacing w:val="-4"/>
          <w:sz w:val="21"/>
          <w:szCs w:val="21"/>
          <w:highlight w:val="none"/>
        </w:rPr>
        <w:t>及有关附件中所有条款。</w:t>
      </w:r>
    </w:p>
    <w:p w14:paraId="5ABE51B4">
      <w:p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3、一旦我方中标，</w:t>
      </w:r>
      <w:r>
        <w:rPr>
          <w:rFonts w:hint="eastAsia" w:ascii="宋体" w:hAnsi="宋体"/>
          <w:color w:val="auto"/>
          <w:sz w:val="21"/>
          <w:szCs w:val="21"/>
          <w:highlight w:val="none"/>
          <w:lang w:val="en-US" w:eastAsia="zh-CN"/>
        </w:rPr>
        <w:t>工期为：</w:t>
      </w:r>
      <w:r>
        <w:rPr>
          <w:rFonts w:hint="eastAsia" w:ascii="宋体" w:hAnsi="宋体" w:cs="宋体"/>
          <w:color w:val="auto"/>
          <w:szCs w:val="21"/>
          <w:highlight w:val="none"/>
        </w:rPr>
        <w:t>自合同签订之日起</w:t>
      </w:r>
      <w:r>
        <w:rPr>
          <w:rFonts w:hint="eastAsia" w:ascii="宋体" w:hAnsi="宋体" w:cs="宋体"/>
          <w:color w:val="auto"/>
          <w:szCs w:val="21"/>
          <w:highlight w:val="none"/>
          <w:u w:val="single"/>
          <w:lang w:val="en-US" w:eastAsia="zh-CN"/>
        </w:rPr>
        <w:t xml:space="preserve"> 10个日历天</w:t>
      </w:r>
      <w:r>
        <w:rPr>
          <w:rFonts w:hint="eastAsia" w:ascii="宋体" w:hAnsi="宋体" w:cs="宋体"/>
          <w:color w:val="auto"/>
          <w:szCs w:val="21"/>
          <w:highlight w:val="none"/>
        </w:rPr>
        <w:t>内供货、安装及验收完成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每推迟一天，按1000 元/天处以违约金</w:t>
      </w:r>
      <w:r>
        <w:rPr>
          <w:rFonts w:hint="eastAsia" w:ascii="宋体" w:hAnsi="宋体" w:cs="宋体"/>
          <w:color w:val="auto"/>
          <w:szCs w:val="21"/>
          <w:highlight w:val="none"/>
        </w:rPr>
        <w:t>。</w:t>
      </w:r>
    </w:p>
    <w:p w14:paraId="5954CBB6">
      <w:p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4、如果我方在本投标书有效期内撤回投标书，或在中标通知书下达后</w:t>
      </w:r>
      <w:r>
        <w:rPr>
          <w:rFonts w:ascii="宋体" w:hAnsi="宋体"/>
          <w:color w:val="auto"/>
          <w:sz w:val="21"/>
          <w:szCs w:val="21"/>
          <w:highlight w:val="none"/>
          <w:u w:val="single"/>
        </w:rPr>
        <w:t xml:space="preserve">     </w:t>
      </w:r>
      <w:r>
        <w:rPr>
          <w:rFonts w:hint="eastAsia" w:ascii="宋体" w:hAnsi="宋体"/>
          <w:color w:val="auto"/>
          <w:sz w:val="21"/>
          <w:szCs w:val="21"/>
          <w:highlight w:val="none"/>
        </w:rPr>
        <w:t>天内未能或拒绝签订合同书，或自行转标，贵单位有权</w:t>
      </w:r>
      <w:r>
        <w:rPr>
          <w:rFonts w:hint="eastAsia" w:ascii="宋体" w:hAnsi="宋体"/>
          <w:color w:val="auto"/>
          <w:sz w:val="21"/>
          <w:szCs w:val="21"/>
          <w:highlight w:val="none"/>
          <w:lang w:val="en-US" w:eastAsia="zh-CN"/>
        </w:rPr>
        <w:t>取消中标资格</w:t>
      </w:r>
      <w:r>
        <w:rPr>
          <w:rFonts w:hint="eastAsia" w:ascii="宋体" w:hAnsi="宋体"/>
          <w:color w:val="auto"/>
          <w:sz w:val="21"/>
          <w:szCs w:val="21"/>
          <w:highlight w:val="none"/>
        </w:rPr>
        <w:t>，并另选中标单位。</w:t>
      </w:r>
    </w:p>
    <w:p w14:paraId="38E1002F">
      <w:pPr>
        <w:spacing w:line="5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5、我单位提供如下通讯地址：</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电子邮箱（地址），确认本项目相关法律文书均通过提供的以上地址送达，相关文书只要发送至以上电子邮箱（地址）即视为送达，投标人愿意承担一切法律后果。</w:t>
      </w:r>
    </w:p>
    <w:p w14:paraId="5D82B693">
      <w:pPr>
        <w:spacing w:line="500" w:lineRule="exact"/>
        <w:ind w:firstLine="420" w:firstLineChars="200"/>
        <w:rPr>
          <w:rFonts w:hint="eastAsia"/>
          <w:color w:val="auto"/>
          <w:szCs w:val="21"/>
          <w:highlight w:val="none"/>
        </w:rPr>
      </w:pPr>
    </w:p>
    <w:p w14:paraId="13931124">
      <w:pPr>
        <w:spacing w:line="400" w:lineRule="exact"/>
        <w:ind w:firstLine="2310" w:firstLineChars="1100"/>
        <w:rPr>
          <w:color w:val="auto"/>
          <w:szCs w:val="21"/>
          <w:highlight w:val="none"/>
          <w:u w:val="single"/>
        </w:rPr>
      </w:pPr>
      <w:r>
        <w:rPr>
          <w:rFonts w:hint="eastAsia"/>
          <w:color w:val="auto"/>
          <w:szCs w:val="21"/>
          <w:highlight w:val="none"/>
        </w:rPr>
        <w:t>投标人：</w:t>
      </w:r>
      <w:r>
        <w:rPr>
          <w:color w:val="auto"/>
          <w:szCs w:val="21"/>
          <w:highlight w:val="none"/>
          <w:u w:val="single"/>
        </w:rPr>
        <w:t xml:space="preserve">                             </w:t>
      </w:r>
      <w:r>
        <w:rPr>
          <w:rFonts w:hint="eastAsia"/>
          <w:color w:val="auto"/>
          <w:szCs w:val="21"/>
          <w:highlight w:val="none"/>
          <w:u w:val="single"/>
        </w:rPr>
        <w:t>（盖章）</w:t>
      </w:r>
      <w:r>
        <w:rPr>
          <w:color w:val="auto"/>
          <w:szCs w:val="21"/>
          <w:highlight w:val="none"/>
          <w:u w:val="single"/>
        </w:rPr>
        <w:t xml:space="preserve">   </w:t>
      </w:r>
    </w:p>
    <w:p w14:paraId="080C0A99">
      <w:pPr>
        <w:spacing w:line="400" w:lineRule="exact"/>
        <w:ind w:firstLine="2310" w:firstLineChars="1100"/>
        <w:rPr>
          <w:color w:val="auto"/>
          <w:szCs w:val="21"/>
          <w:highlight w:val="none"/>
        </w:rPr>
      </w:pPr>
      <w:r>
        <w:rPr>
          <w:rFonts w:hint="eastAsia"/>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（签字或盖章）</w:t>
      </w:r>
    </w:p>
    <w:p w14:paraId="2FDFDC03">
      <w:pPr>
        <w:spacing w:line="400" w:lineRule="exact"/>
        <w:ind w:firstLine="2310" w:firstLineChars="1100"/>
        <w:rPr>
          <w:rFonts w:hint="eastAsia"/>
          <w:color w:val="auto"/>
          <w:szCs w:val="21"/>
          <w:highlight w:val="none"/>
        </w:rPr>
      </w:pPr>
      <w:r>
        <w:rPr>
          <w:rFonts w:hint="eastAsia"/>
          <w:color w:val="auto"/>
          <w:szCs w:val="21"/>
          <w:highlight w:val="none"/>
        </w:rPr>
        <w:t>单位地址：</w:t>
      </w:r>
      <w:r>
        <w:rPr>
          <w:color w:val="auto"/>
          <w:szCs w:val="21"/>
          <w:highlight w:val="none"/>
          <w:u w:val="single"/>
        </w:rPr>
        <w:t xml:space="preserve">                             </w:t>
      </w:r>
      <w:r>
        <w:rPr>
          <w:rFonts w:hint="eastAsia"/>
          <w:color w:val="auto"/>
          <w:szCs w:val="21"/>
          <w:highlight w:val="none"/>
        </w:rPr>
        <w:t xml:space="preserve">       </w:t>
      </w:r>
    </w:p>
    <w:p w14:paraId="0029894A">
      <w:pPr>
        <w:spacing w:line="400" w:lineRule="exact"/>
        <w:ind w:firstLine="2310" w:firstLineChars="1100"/>
        <w:rPr>
          <w:color w:val="auto"/>
          <w:szCs w:val="21"/>
          <w:highlight w:val="none"/>
          <w:u w:val="single"/>
        </w:rPr>
      </w:pPr>
      <w:r>
        <w:rPr>
          <w:rFonts w:hint="eastAsia"/>
          <w:color w:val="auto"/>
          <w:szCs w:val="21"/>
          <w:highlight w:val="none"/>
        </w:rPr>
        <w:t>邮政编码：</w:t>
      </w:r>
      <w:r>
        <w:rPr>
          <w:color w:val="auto"/>
          <w:szCs w:val="21"/>
          <w:highlight w:val="none"/>
          <w:u w:val="single"/>
        </w:rPr>
        <w:t xml:space="preserve">            </w:t>
      </w:r>
      <w:r>
        <w:rPr>
          <w:rFonts w:hint="eastAsia"/>
          <w:color w:val="auto"/>
          <w:szCs w:val="21"/>
          <w:highlight w:val="none"/>
        </w:rPr>
        <w:t>电话：</w:t>
      </w:r>
      <w:r>
        <w:rPr>
          <w:color w:val="auto"/>
          <w:szCs w:val="21"/>
          <w:highlight w:val="none"/>
          <w:u w:val="single"/>
        </w:rPr>
        <w:t xml:space="preserve">        </w:t>
      </w:r>
      <w:r>
        <w:rPr>
          <w:rFonts w:hint="eastAsia"/>
          <w:color w:val="auto"/>
          <w:szCs w:val="21"/>
          <w:highlight w:val="none"/>
        </w:rPr>
        <w:t>传真：</w:t>
      </w:r>
      <w:r>
        <w:rPr>
          <w:color w:val="auto"/>
          <w:szCs w:val="21"/>
          <w:highlight w:val="none"/>
          <w:u w:val="single"/>
        </w:rPr>
        <w:t xml:space="preserve">       </w:t>
      </w:r>
    </w:p>
    <w:p w14:paraId="71A01450">
      <w:pPr>
        <w:spacing w:line="400" w:lineRule="exact"/>
        <w:ind w:firstLine="2310" w:firstLineChars="1100"/>
        <w:rPr>
          <w:rFonts w:hint="eastAsia"/>
          <w:color w:val="auto"/>
          <w:highlight w:val="none"/>
        </w:rPr>
      </w:pPr>
      <w:r>
        <w:rPr>
          <w:rFonts w:hint="eastAsia"/>
          <w:color w:val="auto"/>
          <w:szCs w:val="21"/>
          <w:highlight w:val="none"/>
        </w:rPr>
        <w:t>日期：</w:t>
      </w:r>
      <w:r>
        <w:rPr>
          <w:color w:val="auto"/>
          <w:szCs w:val="21"/>
          <w:highlight w:val="none"/>
          <w:u w:val="single"/>
        </w:rPr>
        <w:t xml:space="preserve">           </w:t>
      </w:r>
      <w:r>
        <w:rPr>
          <w:rFonts w:hint="eastAsia"/>
          <w:color w:val="auto"/>
          <w:szCs w:val="21"/>
          <w:highlight w:val="none"/>
        </w:rPr>
        <w:t>年</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月</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日</w:t>
      </w:r>
    </w:p>
    <w:p w14:paraId="7B2C1E31">
      <w:pPr>
        <w:ind w:right="-178" w:rightChars="-85"/>
        <w:jc w:val="center"/>
        <w:rPr>
          <w:rFonts w:hint="eastAsia"/>
          <w:b/>
          <w:color w:val="auto"/>
          <w:sz w:val="32"/>
          <w:szCs w:val="32"/>
          <w:highlight w:val="none"/>
        </w:rPr>
      </w:pPr>
    </w:p>
    <w:p w14:paraId="2D71AA45">
      <w:pPr>
        <w:pStyle w:val="2"/>
        <w:rPr>
          <w:rFonts w:hint="eastAsia"/>
          <w:b/>
          <w:color w:val="auto"/>
          <w:sz w:val="32"/>
          <w:szCs w:val="32"/>
          <w:highlight w:val="none"/>
        </w:rPr>
      </w:pPr>
    </w:p>
    <w:p w14:paraId="33302DD7">
      <w:pPr>
        <w:rPr>
          <w:rFonts w:hint="eastAsia"/>
          <w:b/>
          <w:color w:val="auto"/>
          <w:sz w:val="32"/>
          <w:szCs w:val="32"/>
          <w:highlight w:val="none"/>
        </w:rPr>
      </w:pPr>
    </w:p>
    <w:p w14:paraId="0A71C303">
      <w:pPr>
        <w:pStyle w:val="2"/>
        <w:rPr>
          <w:rFonts w:hint="eastAsia"/>
          <w:b/>
          <w:color w:val="auto"/>
          <w:sz w:val="32"/>
          <w:szCs w:val="32"/>
          <w:highlight w:val="none"/>
        </w:rPr>
      </w:pPr>
    </w:p>
    <w:p w14:paraId="1C749D41">
      <w:pPr>
        <w:rPr>
          <w:rFonts w:hint="eastAsia"/>
          <w:b/>
          <w:color w:val="auto"/>
          <w:sz w:val="32"/>
          <w:szCs w:val="32"/>
          <w:highlight w:val="none"/>
        </w:rPr>
      </w:pPr>
    </w:p>
    <w:bookmarkEnd w:id="721"/>
    <w:bookmarkEnd w:id="722"/>
    <w:bookmarkEnd w:id="723"/>
    <w:bookmarkEnd w:id="724"/>
    <w:bookmarkEnd w:id="725"/>
    <w:bookmarkEnd w:id="726"/>
    <w:bookmarkEnd w:id="727"/>
    <w:bookmarkEnd w:id="728"/>
    <w:p w14:paraId="5482AF96">
      <w:pPr>
        <w:rPr>
          <w:rFonts w:hint="eastAsia"/>
          <w:b/>
          <w:color w:val="auto"/>
          <w:sz w:val="32"/>
          <w:szCs w:val="32"/>
          <w:highlight w:val="none"/>
        </w:rPr>
      </w:pPr>
    </w:p>
    <w:sectPr>
      <w:headerReference r:id="rId11" w:type="default"/>
      <w:footerReference r:id="rId12" w:type="default"/>
      <w:pgSz w:w="11906" w:h="16838"/>
      <w:pgMar w:top="1134" w:right="1361" w:bottom="1077" w:left="1361" w:header="680" w:footer="68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A259F">
    <w:pPr>
      <w:pStyle w:val="3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B1E425">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FB1E425">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381D8">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032B77">
                          <w:pPr>
                            <w:pStyle w:val="30"/>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Najut8BAAC/AwAADgAAAGRycy9lMm9Eb2MueG1srVPBjtMwEL0j8Q+W&#10;7zTZIqE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ANajut8BAAC/AwAADgAAAAAA&#10;AAABACAAAAAeAQAAZHJzL2Uyb0RvYy54bWxQSwUGAAAAAAYABgBZAQAAbwUAAAAA&#10;">
              <v:fill on="f" focussize="0,0"/>
              <v:stroke on="f"/>
              <v:imagedata o:title=""/>
              <o:lock v:ext="edit" aspectratio="f"/>
              <v:textbox inset="0mm,0mm,0mm,0mm" style="mso-fit-shape-to-text:t;">
                <w:txbxContent>
                  <w:p w14:paraId="70032B77">
                    <w:pPr>
                      <w:pStyle w:val="30"/>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9327">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88CB4">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7FE00B">
                          <w:pPr>
                            <w:pStyle w:val="30"/>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W4aN4BAAC/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eaEpYGffv08/f57+vOD&#10;vcz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ho3gEAAL8DAAAOAAAAAAAA&#10;AAEAIAAAAB4BAABkcnMvZTJvRG9jLnhtbFBLBQYAAAAABgAGAFkBAABuBQAAAAA=&#10;">
              <v:fill on="f" focussize="0,0"/>
              <v:stroke on="f"/>
              <v:imagedata o:title=""/>
              <o:lock v:ext="edit" aspectratio="f"/>
              <v:textbox inset="0mm,0mm,0mm,0mm" style="mso-fit-shape-to-text:t;">
                <w:txbxContent>
                  <w:p w14:paraId="417FE00B">
                    <w:pPr>
                      <w:pStyle w:val="30"/>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CBCE6">
    <w:pPr>
      <w:pStyle w:val="30"/>
      <w:ind w:right="360"/>
      <w:rPr>
        <w:rFonts w:hint="eastAsia"/>
        <w:kern w:val="0"/>
        <w:szCs w:val="21"/>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452356">
                          <w:pPr>
                            <w:pStyle w:val="3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p8Nwt8BAAC/AwAADgAAAAAA&#10;AAABACAAAAAeAQAAZHJzL2Uyb0RvYy54bWxQSwUGAAAAAAYABgBZAQAAbwUAAAAA&#10;">
              <v:fill on="f" focussize="0,0"/>
              <v:stroke on="f"/>
              <v:imagedata o:title=""/>
              <o:lock v:ext="edit" aspectratio="f"/>
              <v:textbox inset="0mm,0mm,0mm,0mm" style="mso-fit-shape-to-text:t;">
                <w:txbxContent>
                  <w:p w14:paraId="42452356">
                    <w:pPr>
                      <w:pStyle w:val="3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721806"/>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FKTBcsBAACcAwAADgAAAGRycy9lMm9Eb2MueG1srVNLbtswEN0XyB0I&#10;7mPKLlA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1XlFhucODn79/OP36df34l&#10;y+Jt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hSkwXLAQAAnAMAAA4AAAAAAAAAAQAgAAAAHgEAAGRycy9lMm9E&#10;b2MueG1sUEsFBgAAAAAGAAYAWQEAAFsFAAAAAA==&#10;">
              <v:fill on="f" focussize="0,0"/>
              <v:stroke on="f"/>
              <v:imagedata o:title=""/>
              <o:lock v:ext="edit" aspectratio="f"/>
              <v:textbox inset="0mm,0mm,0mm,0mm" style="mso-fit-shape-to-text:t;">
                <w:txbxContent>
                  <w:p w14:paraId="0D721806"/>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68EC">
    <w:pPr>
      <w:pStyle w:val="31"/>
      <w:pBdr>
        <w:bottom w:val="none" w:color="auto" w:sz="0" w:space="0"/>
      </w:pBdr>
      <w:jc w:val="right"/>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02741">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1C249">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1794E">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750F">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F374EA"/>
    <w:multiLevelType w:val="singleLevel"/>
    <w:tmpl w:val="D3F374EA"/>
    <w:lvl w:ilvl="0" w:tentative="0">
      <w:start w:val="4"/>
      <w:numFmt w:val="chineseCounting"/>
      <w:suff w:val="space"/>
      <w:lvlText w:val="第%1章"/>
      <w:lvlJc w:val="left"/>
      <w:rPr>
        <w:rFonts w:hint="eastAsia"/>
      </w:rPr>
    </w:lvl>
  </w:abstractNum>
  <w:abstractNum w:abstractNumId="1">
    <w:nsid w:val="00000000"/>
    <w:multiLevelType w:val="multilevel"/>
    <w:tmpl w:val="00000000"/>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F5A86A3"/>
    <w:multiLevelType w:val="singleLevel"/>
    <w:tmpl w:val="0F5A86A3"/>
    <w:lvl w:ilvl="0" w:tentative="0">
      <w:start w:val="3"/>
      <w:numFmt w:val="chineseCounting"/>
      <w:suff w:val="space"/>
      <w:lvlText w:val="第%1章"/>
      <w:lvlJc w:val="left"/>
      <w:rPr>
        <w:rFonts w:hint="eastAsia"/>
      </w:rPr>
    </w:lvl>
  </w:abstractNum>
  <w:abstractNum w:abstractNumId="4">
    <w:nsid w:val="59A75B41"/>
    <w:multiLevelType w:val="singleLevel"/>
    <w:tmpl w:val="59A75B41"/>
    <w:lvl w:ilvl="0" w:tentative="0">
      <w:start w:val="1"/>
      <w:numFmt w:val="chineseCounting"/>
      <w:suff w:val="nothing"/>
      <w:lvlText w:val="%1、"/>
      <w:lvlJc w:val="left"/>
      <w:rPr>
        <w:rFonts w:hint="eastAsia"/>
      </w:rPr>
    </w:lvl>
  </w:abstractNum>
  <w:abstractNum w:abstractNumId="5">
    <w:nsid w:val="5D873223"/>
    <w:multiLevelType w:val="singleLevel"/>
    <w:tmpl w:val="5D873223"/>
    <w:lvl w:ilvl="0" w:tentative="0">
      <w:start w:val="1"/>
      <w:numFmt w:val="decimal"/>
      <w:suff w:val="nothing"/>
      <w:lvlText w:val="（%1）"/>
      <w:lvlJc w:val="left"/>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zMjM5NzRiNDA0OGVhZjcxYjE2YWQxYzdhOTZjMDkifQ=="/>
  </w:docVars>
  <w:rsids>
    <w:rsidRoot w:val="00172A27"/>
    <w:rsid w:val="00000F03"/>
    <w:rsid w:val="0000102C"/>
    <w:rsid w:val="00002296"/>
    <w:rsid w:val="00003341"/>
    <w:rsid w:val="00006820"/>
    <w:rsid w:val="0000765B"/>
    <w:rsid w:val="000133FD"/>
    <w:rsid w:val="00013CDB"/>
    <w:rsid w:val="000149CE"/>
    <w:rsid w:val="00014BE3"/>
    <w:rsid w:val="000152EF"/>
    <w:rsid w:val="00015E33"/>
    <w:rsid w:val="000163F2"/>
    <w:rsid w:val="0002000D"/>
    <w:rsid w:val="000210A3"/>
    <w:rsid w:val="00021731"/>
    <w:rsid w:val="0002303F"/>
    <w:rsid w:val="00025652"/>
    <w:rsid w:val="00027350"/>
    <w:rsid w:val="000275A3"/>
    <w:rsid w:val="00027B66"/>
    <w:rsid w:val="000301A2"/>
    <w:rsid w:val="0003022F"/>
    <w:rsid w:val="00030431"/>
    <w:rsid w:val="00031287"/>
    <w:rsid w:val="000346D8"/>
    <w:rsid w:val="00034D00"/>
    <w:rsid w:val="000369B9"/>
    <w:rsid w:val="00036E1B"/>
    <w:rsid w:val="00037222"/>
    <w:rsid w:val="00041DC0"/>
    <w:rsid w:val="00043152"/>
    <w:rsid w:val="000455A4"/>
    <w:rsid w:val="00045A6A"/>
    <w:rsid w:val="000466F8"/>
    <w:rsid w:val="0004671B"/>
    <w:rsid w:val="00047776"/>
    <w:rsid w:val="000520E9"/>
    <w:rsid w:val="000534C0"/>
    <w:rsid w:val="0005658A"/>
    <w:rsid w:val="00056830"/>
    <w:rsid w:val="00056A2D"/>
    <w:rsid w:val="00056E3D"/>
    <w:rsid w:val="00061677"/>
    <w:rsid w:val="00063BED"/>
    <w:rsid w:val="00063C44"/>
    <w:rsid w:val="0006566F"/>
    <w:rsid w:val="0006584B"/>
    <w:rsid w:val="00065940"/>
    <w:rsid w:val="00065AAB"/>
    <w:rsid w:val="00070B50"/>
    <w:rsid w:val="00071845"/>
    <w:rsid w:val="000738CE"/>
    <w:rsid w:val="00077AAD"/>
    <w:rsid w:val="00080440"/>
    <w:rsid w:val="00080971"/>
    <w:rsid w:val="000818D5"/>
    <w:rsid w:val="000826E7"/>
    <w:rsid w:val="0008469B"/>
    <w:rsid w:val="0008521D"/>
    <w:rsid w:val="00085D26"/>
    <w:rsid w:val="00086AF9"/>
    <w:rsid w:val="00087577"/>
    <w:rsid w:val="00090F13"/>
    <w:rsid w:val="0009199E"/>
    <w:rsid w:val="00091D2B"/>
    <w:rsid w:val="0009306E"/>
    <w:rsid w:val="000944D8"/>
    <w:rsid w:val="00094759"/>
    <w:rsid w:val="00096398"/>
    <w:rsid w:val="00096946"/>
    <w:rsid w:val="000A0086"/>
    <w:rsid w:val="000A1B93"/>
    <w:rsid w:val="000A2A89"/>
    <w:rsid w:val="000A3A88"/>
    <w:rsid w:val="000A4579"/>
    <w:rsid w:val="000A48D0"/>
    <w:rsid w:val="000A7358"/>
    <w:rsid w:val="000A77AA"/>
    <w:rsid w:val="000B026F"/>
    <w:rsid w:val="000B02B3"/>
    <w:rsid w:val="000B41C7"/>
    <w:rsid w:val="000B4E0B"/>
    <w:rsid w:val="000B5789"/>
    <w:rsid w:val="000B5D69"/>
    <w:rsid w:val="000B609D"/>
    <w:rsid w:val="000B734D"/>
    <w:rsid w:val="000B767F"/>
    <w:rsid w:val="000B7C36"/>
    <w:rsid w:val="000C2ACE"/>
    <w:rsid w:val="000C3844"/>
    <w:rsid w:val="000C423F"/>
    <w:rsid w:val="000C4FA9"/>
    <w:rsid w:val="000C5DC5"/>
    <w:rsid w:val="000C7A2C"/>
    <w:rsid w:val="000D069B"/>
    <w:rsid w:val="000D15D2"/>
    <w:rsid w:val="000D18C0"/>
    <w:rsid w:val="000D1BC7"/>
    <w:rsid w:val="000D2370"/>
    <w:rsid w:val="000D2998"/>
    <w:rsid w:val="000D2DEB"/>
    <w:rsid w:val="000D4F76"/>
    <w:rsid w:val="000D5B18"/>
    <w:rsid w:val="000E1E50"/>
    <w:rsid w:val="000E47C8"/>
    <w:rsid w:val="000E521D"/>
    <w:rsid w:val="000E6FF8"/>
    <w:rsid w:val="000F069A"/>
    <w:rsid w:val="000F0C54"/>
    <w:rsid w:val="000F1705"/>
    <w:rsid w:val="000F195C"/>
    <w:rsid w:val="000F1B02"/>
    <w:rsid w:val="000F294F"/>
    <w:rsid w:val="000F2FFA"/>
    <w:rsid w:val="000F309A"/>
    <w:rsid w:val="000F3685"/>
    <w:rsid w:val="000F36ED"/>
    <w:rsid w:val="000F3D46"/>
    <w:rsid w:val="000F5817"/>
    <w:rsid w:val="000F6B36"/>
    <w:rsid w:val="000F6D52"/>
    <w:rsid w:val="0010017C"/>
    <w:rsid w:val="00102075"/>
    <w:rsid w:val="00102231"/>
    <w:rsid w:val="00102B71"/>
    <w:rsid w:val="0010493B"/>
    <w:rsid w:val="00104F30"/>
    <w:rsid w:val="0010777D"/>
    <w:rsid w:val="001106F4"/>
    <w:rsid w:val="00113041"/>
    <w:rsid w:val="0011328D"/>
    <w:rsid w:val="0011593A"/>
    <w:rsid w:val="00116B46"/>
    <w:rsid w:val="00117639"/>
    <w:rsid w:val="001204FF"/>
    <w:rsid w:val="001205BC"/>
    <w:rsid w:val="00120BCE"/>
    <w:rsid w:val="00121F96"/>
    <w:rsid w:val="00124902"/>
    <w:rsid w:val="00124A35"/>
    <w:rsid w:val="001262D5"/>
    <w:rsid w:val="00126B13"/>
    <w:rsid w:val="00132AAF"/>
    <w:rsid w:val="0013331F"/>
    <w:rsid w:val="0013358F"/>
    <w:rsid w:val="001335D9"/>
    <w:rsid w:val="00133BE1"/>
    <w:rsid w:val="001347A9"/>
    <w:rsid w:val="00136C6C"/>
    <w:rsid w:val="001377FE"/>
    <w:rsid w:val="00140703"/>
    <w:rsid w:val="0014118D"/>
    <w:rsid w:val="001423BD"/>
    <w:rsid w:val="0014526A"/>
    <w:rsid w:val="00146FE8"/>
    <w:rsid w:val="00147D4A"/>
    <w:rsid w:val="00152C59"/>
    <w:rsid w:val="00153023"/>
    <w:rsid w:val="00153877"/>
    <w:rsid w:val="00153D68"/>
    <w:rsid w:val="00154767"/>
    <w:rsid w:val="00155483"/>
    <w:rsid w:val="0015793D"/>
    <w:rsid w:val="00161FAA"/>
    <w:rsid w:val="00164B9C"/>
    <w:rsid w:val="001653B4"/>
    <w:rsid w:val="001669A2"/>
    <w:rsid w:val="00166E69"/>
    <w:rsid w:val="00167272"/>
    <w:rsid w:val="00167E01"/>
    <w:rsid w:val="00167FF5"/>
    <w:rsid w:val="00170CC2"/>
    <w:rsid w:val="0017116A"/>
    <w:rsid w:val="00171479"/>
    <w:rsid w:val="00171A33"/>
    <w:rsid w:val="00172644"/>
    <w:rsid w:val="00176EEA"/>
    <w:rsid w:val="00177929"/>
    <w:rsid w:val="00177A7A"/>
    <w:rsid w:val="00177B8F"/>
    <w:rsid w:val="00182E57"/>
    <w:rsid w:val="00184289"/>
    <w:rsid w:val="00184ABA"/>
    <w:rsid w:val="001858BE"/>
    <w:rsid w:val="00185A56"/>
    <w:rsid w:val="001864BC"/>
    <w:rsid w:val="00187590"/>
    <w:rsid w:val="00190C31"/>
    <w:rsid w:val="00191140"/>
    <w:rsid w:val="0019139D"/>
    <w:rsid w:val="001918E9"/>
    <w:rsid w:val="00192BDE"/>
    <w:rsid w:val="00193CE6"/>
    <w:rsid w:val="00194B8E"/>
    <w:rsid w:val="00195E66"/>
    <w:rsid w:val="001961BA"/>
    <w:rsid w:val="001975C9"/>
    <w:rsid w:val="001A0716"/>
    <w:rsid w:val="001A343D"/>
    <w:rsid w:val="001A435B"/>
    <w:rsid w:val="001A4465"/>
    <w:rsid w:val="001A5FB8"/>
    <w:rsid w:val="001A6F91"/>
    <w:rsid w:val="001B1526"/>
    <w:rsid w:val="001B1BD2"/>
    <w:rsid w:val="001B3012"/>
    <w:rsid w:val="001B520E"/>
    <w:rsid w:val="001B5BEF"/>
    <w:rsid w:val="001B6816"/>
    <w:rsid w:val="001B7766"/>
    <w:rsid w:val="001C5534"/>
    <w:rsid w:val="001C6CAF"/>
    <w:rsid w:val="001C7C71"/>
    <w:rsid w:val="001D06AD"/>
    <w:rsid w:val="001D2114"/>
    <w:rsid w:val="001D318D"/>
    <w:rsid w:val="001D693B"/>
    <w:rsid w:val="001D70EE"/>
    <w:rsid w:val="001D7320"/>
    <w:rsid w:val="001D73C1"/>
    <w:rsid w:val="001D7424"/>
    <w:rsid w:val="001D750D"/>
    <w:rsid w:val="001E00E0"/>
    <w:rsid w:val="001E0EF7"/>
    <w:rsid w:val="001E191A"/>
    <w:rsid w:val="001E33F3"/>
    <w:rsid w:val="001E3C44"/>
    <w:rsid w:val="001E3DE5"/>
    <w:rsid w:val="001E452F"/>
    <w:rsid w:val="001E4B4F"/>
    <w:rsid w:val="001E535B"/>
    <w:rsid w:val="001E56A2"/>
    <w:rsid w:val="001E6B1C"/>
    <w:rsid w:val="001E6CD4"/>
    <w:rsid w:val="001E6FE6"/>
    <w:rsid w:val="001E6FFF"/>
    <w:rsid w:val="001F0084"/>
    <w:rsid w:val="001F064B"/>
    <w:rsid w:val="001F1335"/>
    <w:rsid w:val="001F16F3"/>
    <w:rsid w:val="001F1743"/>
    <w:rsid w:val="001F1CE0"/>
    <w:rsid w:val="001F2980"/>
    <w:rsid w:val="001F3B7C"/>
    <w:rsid w:val="001F403F"/>
    <w:rsid w:val="001F4495"/>
    <w:rsid w:val="001F471C"/>
    <w:rsid w:val="001F5059"/>
    <w:rsid w:val="001F50BB"/>
    <w:rsid w:val="001F7A46"/>
    <w:rsid w:val="0020030D"/>
    <w:rsid w:val="00202078"/>
    <w:rsid w:val="00202131"/>
    <w:rsid w:val="0020229E"/>
    <w:rsid w:val="002026A6"/>
    <w:rsid w:val="00203622"/>
    <w:rsid w:val="00203E74"/>
    <w:rsid w:val="002069FA"/>
    <w:rsid w:val="00207055"/>
    <w:rsid w:val="002075D4"/>
    <w:rsid w:val="00207958"/>
    <w:rsid w:val="002103CB"/>
    <w:rsid w:val="00210CEC"/>
    <w:rsid w:val="00211704"/>
    <w:rsid w:val="002125CB"/>
    <w:rsid w:val="0021262F"/>
    <w:rsid w:val="00217547"/>
    <w:rsid w:val="00220B91"/>
    <w:rsid w:val="002217F8"/>
    <w:rsid w:val="00225D3C"/>
    <w:rsid w:val="00227089"/>
    <w:rsid w:val="002306F3"/>
    <w:rsid w:val="00230AE3"/>
    <w:rsid w:val="00230C04"/>
    <w:rsid w:val="002314D2"/>
    <w:rsid w:val="0023165F"/>
    <w:rsid w:val="0023272C"/>
    <w:rsid w:val="00233E6F"/>
    <w:rsid w:val="00234A29"/>
    <w:rsid w:val="002361C8"/>
    <w:rsid w:val="002364B7"/>
    <w:rsid w:val="0023659C"/>
    <w:rsid w:val="00237147"/>
    <w:rsid w:val="00237352"/>
    <w:rsid w:val="002374BB"/>
    <w:rsid w:val="00237506"/>
    <w:rsid w:val="00240600"/>
    <w:rsid w:val="002417C1"/>
    <w:rsid w:val="00242BA3"/>
    <w:rsid w:val="00243C2B"/>
    <w:rsid w:val="00244312"/>
    <w:rsid w:val="00247A47"/>
    <w:rsid w:val="00247C5C"/>
    <w:rsid w:val="00250167"/>
    <w:rsid w:val="00251029"/>
    <w:rsid w:val="0025449E"/>
    <w:rsid w:val="0025467B"/>
    <w:rsid w:val="002551F6"/>
    <w:rsid w:val="002554CE"/>
    <w:rsid w:val="00255771"/>
    <w:rsid w:val="00255A95"/>
    <w:rsid w:val="002572D8"/>
    <w:rsid w:val="00260EB0"/>
    <w:rsid w:val="00262F82"/>
    <w:rsid w:val="00264BBB"/>
    <w:rsid w:val="002667A5"/>
    <w:rsid w:val="00266FC3"/>
    <w:rsid w:val="002676DA"/>
    <w:rsid w:val="00270D00"/>
    <w:rsid w:val="00271288"/>
    <w:rsid w:val="00272A64"/>
    <w:rsid w:val="002731BD"/>
    <w:rsid w:val="0027387D"/>
    <w:rsid w:val="0027549B"/>
    <w:rsid w:val="00276C5E"/>
    <w:rsid w:val="00277233"/>
    <w:rsid w:val="002776CD"/>
    <w:rsid w:val="002803FA"/>
    <w:rsid w:val="00281D13"/>
    <w:rsid w:val="002827C7"/>
    <w:rsid w:val="00283A63"/>
    <w:rsid w:val="0028592E"/>
    <w:rsid w:val="002859F8"/>
    <w:rsid w:val="0028605D"/>
    <w:rsid w:val="00286788"/>
    <w:rsid w:val="0028772F"/>
    <w:rsid w:val="002905A9"/>
    <w:rsid w:val="002929A8"/>
    <w:rsid w:val="00293E15"/>
    <w:rsid w:val="00295785"/>
    <w:rsid w:val="00295C9B"/>
    <w:rsid w:val="00297553"/>
    <w:rsid w:val="00297DCF"/>
    <w:rsid w:val="002A0361"/>
    <w:rsid w:val="002A046B"/>
    <w:rsid w:val="002A3922"/>
    <w:rsid w:val="002A4679"/>
    <w:rsid w:val="002A47B5"/>
    <w:rsid w:val="002A47BA"/>
    <w:rsid w:val="002A65E6"/>
    <w:rsid w:val="002A7F0C"/>
    <w:rsid w:val="002B1205"/>
    <w:rsid w:val="002B16F4"/>
    <w:rsid w:val="002B1B17"/>
    <w:rsid w:val="002B3094"/>
    <w:rsid w:val="002B4D0B"/>
    <w:rsid w:val="002B651F"/>
    <w:rsid w:val="002C40AB"/>
    <w:rsid w:val="002C5707"/>
    <w:rsid w:val="002C6355"/>
    <w:rsid w:val="002D0466"/>
    <w:rsid w:val="002D21A0"/>
    <w:rsid w:val="002D3B50"/>
    <w:rsid w:val="002D500A"/>
    <w:rsid w:val="002D619C"/>
    <w:rsid w:val="002D7D16"/>
    <w:rsid w:val="002E0AA9"/>
    <w:rsid w:val="002E2295"/>
    <w:rsid w:val="002E31E3"/>
    <w:rsid w:val="002E349E"/>
    <w:rsid w:val="002E5DF0"/>
    <w:rsid w:val="002E6A21"/>
    <w:rsid w:val="002E6C2C"/>
    <w:rsid w:val="002E6EA9"/>
    <w:rsid w:val="002E74CD"/>
    <w:rsid w:val="002F04F4"/>
    <w:rsid w:val="002F0F7B"/>
    <w:rsid w:val="002F1AD0"/>
    <w:rsid w:val="002F1B12"/>
    <w:rsid w:val="002F2ADD"/>
    <w:rsid w:val="002F3CA0"/>
    <w:rsid w:val="002F4C7B"/>
    <w:rsid w:val="002F5F35"/>
    <w:rsid w:val="0030036D"/>
    <w:rsid w:val="00301E56"/>
    <w:rsid w:val="00302DA4"/>
    <w:rsid w:val="00303C49"/>
    <w:rsid w:val="003043D3"/>
    <w:rsid w:val="00304853"/>
    <w:rsid w:val="00305612"/>
    <w:rsid w:val="00306E36"/>
    <w:rsid w:val="00310228"/>
    <w:rsid w:val="00310232"/>
    <w:rsid w:val="00311D50"/>
    <w:rsid w:val="003138BA"/>
    <w:rsid w:val="003141E9"/>
    <w:rsid w:val="003158DD"/>
    <w:rsid w:val="003169B1"/>
    <w:rsid w:val="0031701A"/>
    <w:rsid w:val="0031777C"/>
    <w:rsid w:val="00320EB5"/>
    <w:rsid w:val="00321760"/>
    <w:rsid w:val="00321CF0"/>
    <w:rsid w:val="003222D9"/>
    <w:rsid w:val="00323DA3"/>
    <w:rsid w:val="00323F93"/>
    <w:rsid w:val="00324A98"/>
    <w:rsid w:val="00324C0D"/>
    <w:rsid w:val="00324D18"/>
    <w:rsid w:val="0032587D"/>
    <w:rsid w:val="00326B4A"/>
    <w:rsid w:val="003302B5"/>
    <w:rsid w:val="003302C4"/>
    <w:rsid w:val="0033132E"/>
    <w:rsid w:val="0033158A"/>
    <w:rsid w:val="00331F03"/>
    <w:rsid w:val="003342B7"/>
    <w:rsid w:val="00335113"/>
    <w:rsid w:val="0033662A"/>
    <w:rsid w:val="00337E67"/>
    <w:rsid w:val="003401B5"/>
    <w:rsid w:val="00342330"/>
    <w:rsid w:val="00344118"/>
    <w:rsid w:val="003443AF"/>
    <w:rsid w:val="0034546A"/>
    <w:rsid w:val="00346627"/>
    <w:rsid w:val="00346C50"/>
    <w:rsid w:val="00346EA4"/>
    <w:rsid w:val="003475EF"/>
    <w:rsid w:val="00347664"/>
    <w:rsid w:val="003511A6"/>
    <w:rsid w:val="00351636"/>
    <w:rsid w:val="003524FA"/>
    <w:rsid w:val="003536AA"/>
    <w:rsid w:val="00355A17"/>
    <w:rsid w:val="0035744E"/>
    <w:rsid w:val="00360343"/>
    <w:rsid w:val="00364C68"/>
    <w:rsid w:val="00364E31"/>
    <w:rsid w:val="00365426"/>
    <w:rsid w:val="003663FF"/>
    <w:rsid w:val="0036743A"/>
    <w:rsid w:val="00371602"/>
    <w:rsid w:val="00371A69"/>
    <w:rsid w:val="00371DCC"/>
    <w:rsid w:val="00372DA3"/>
    <w:rsid w:val="00372FCD"/>
    <w:rsid w:val="0037516A"/>
    <w:rsid w:val="00375399"/>
    <w:rsid w:val="003761A0"/>
    <w:rsid w:val="003761C3"/>
    <w:rsid w:val="0037637D"/>
    <w:rsid w:val="00376403"/>
    <w:rsid w:val="0038095F"/>
    <w:rsid w:val="00382134"/>
    <w:rsid w:val="00383809"/>
    <w:rsid w:val="0038572D"/>
    <w:rsid w:val="00390F55"/>
    <w:rsid w:val="003937D5"/>
    <w:rsid w:val="003943F6"/>
    <w:rsid w:val="00395BBA"/>
    <w:rsid w:val="0039655F"/>
    <w:rsid w:val="00397438"/>
    <w:rsid w:val="003975C9"/>
    <w:rsid w:val="003A0B6C"/>
    <w:rsid w:val="003A0C50"/>
    <w:rsid w:val="003A1E88"/>
    <w:rsid w:val="003A20C8"/>
    <w:rsid w:val="003A262E"/>
    <w:rsid w:val="003A2D98"/>
    <w:rsid w:val="003A3492"/>
    <w:rsid w:val="003A644A"/>
    <w:rsid w:val="003A7366"/>
    <w:rsid w:val="003B0EB7"/>
    <w:rsid w:val="003B2002"/>
    <w:rsid w:val="003B2911"/>
    <w:rsid w:val="003B4EF8"/>
    <w:rsid w:val="003B5149"/>
    <w:rsid w:val="003C03B5"/>
    <w:rsid w:val="003C22A2"/>
    <w:rsid w:val="003C2A63"/>
    <w:rsid w:val="003C5296"/>
    <w:rsid w:val="003C59FB"/>
    <w:rsid w:val="003C5D63"/>
    <w:rsid w:val="003D17A0"/>
    <w:rsid w:val="003D26E9"/>
    <w:rsid w:val="003D4696"/>
    <w:rsid w:val="003D7DB9"/>
    <w:rsid w:val="003E2E02"/>
    <w:rsid w:val="003E2FF1"/>
    <w:rsid w:val="003E373D"/>
    <w:rsid w:val="003E68BB"/>
    <w:rsid w:val="003E6AC9"/>
    <w:rsid w:val="003E6F9D"/>
    <w:rsid w:val="003E74A0"/>
    <w:rsid w:val="003F0472"/>
    <w:rsid w:val="003F09CD"/>
    <w:rsid w:val="003F0FFD"/>
    <w:rsid w:val="003F17A7"/>
    <w:rsid w:val="003F20F4"/>
    <w:rsid w:val="003F41C1"/>
    <w:rsid w:val="003F79A3"/>
    <w:rsid w:val="0040223B"/>
    <w:rsid w:val="004031CE"/>
    <w:rsid w:val="00403273"/>
    <w:rsid w:val="00403850"/>
    <w:rsid w:val="004041B9"/>
    <w:rsid w:val="00405D43"/>
    <w:rsid w:val="00406D2A"/>
    <w:rsid w:val="00407710"/>
    <w:rsid w:val="00410283"/>
    <w:rsid w:val="004105DD"/>
    <w:rsid w:val="00411467"/>
    <w:rsid w:val="0041233E"/>
    <w:rsid w:val="00412398"/>
    <w:rsid w:val="0041327B"/>
    <w:rsid w:val="00414D10"/>
    <w:rsid w:val="004157B9"/>
    <w:rsid w:val="00415B46"/>
    <w:rsid w:val="00416ABA"/>
    <w:rsid w:val="0041712A"/>
    <w:rsid w:val="00420B93"/>
    <w:rsid w:val="00420C62"/>
    <w:rsid w:val="00421651"/>
    <w:rsid w:val="004225D0"/>
    <w:rsid w:val="00424D5D"/>
    <w:rsid w:val="004253E4"/>
    <w:rsid w:val="00426BDD"/>
    <w:rsid w:val="00427693"/>
    <w:rsid w:val="00427A07"/>
    <w:rsid w:val="004302AF"/>
    <w:rsid w:val="00430BDB"/>
    <w:rsid w:val="00432ABD"/>
    <w:rsid w:val="0043366A"/>
    <w:rsid w:val="0043376F"/>
    <w:rsid w:val="00435256"/>
    <w:rsid w:val="004353DC"/>
    <w:rsid w:val="00435B05"/>
    <w:rsid w:val="0043732A"/>
    <w:rsid w:val="004400DA"/>
    <w:rsid w:val="004416C1"/>
    <w:rsid w:val="00444AD0"/>
    <w:rsid w:val="00446296"/>
    <w:rsid w:val="004468C6"/>
    <w:rsid w:val="004468CB"/>
    <w:rsid w:val="00447841"/>
    <w:rsid w:val="00447AAA"/>
    <w:rsid w:val="0045023F"/>
    <w:rsid w:val="0045025A"/>
    <w:rsid w:val="00455DDC"/>
    <w:rsid w:val="004600E6"/>
    <w:rsid w:val="004603B0"/>
    <w:rsid w:val="0046040E"/>
    <w:rsid w:val="0046061F"/>
    <w:rsid w:val="00460DDB"/>
    <w:rsid w:val="00461843"/>
    <w:rsid w:val="00461BA1"/>
    <w:rsid w:val="00464B9D"/>
    <w:rsid w:val="004656AF"/>
    <w:rsid w:val="0046571A"/>
    <w:rsid w:val="00465895"/>
    <w:rsid w:val="0046617E"/>
    <w:rsid w:val="00466BBB"/>
    <w:rsid w:val="0047080E"/>
    <w:rsid w:val="004713DB"/>
    <w:rsid w:val="0047228F"/>
    <w:rsid w:val="00472BAD"/>
    <w:rsid w:val="004736CC"/>
    <w:rsid w:val="00474761"/>
    <w:rsid w:val="00476C92"/>
    <w:rsid w:val="00476DDE"/>
    <w:rsid w:val="00480FD2"/>
    <w:rsid w:val="004855C6"/>
    <w:rsid w:val="0048589A"/>
    <w:rsid w:val="00487CA1"/>
    <w:rsid w:val="004901BC"/>
    <w:rsid w:val="00490C17"/>
    <w:rsid w:val="00496A03"/>
    <w:rsid w:val="00496EA9"/>
    <w:rsid w:val="0049719D"/>
    <w:rsid w:val="004975BD"/>
    <w:rsid w:val="004977AC"/>
    <w:rsid w:val="00497D2A"/>
    <w:rsid w:val="004A0266"/>
    <w:rsid w:val="004A107E"/>
    <w:rsid w:val="004A14BB"/>
    <w:rsid w:val="004A19A5"/>
    <w:rsid w:val="004A2C79"/>
    <w:rsid w:val="004A4A83"/>
    <w:rsid w:val="004A59B8"/>
    <w:rsid w:val="004A6F04"/>
    <w:rsid w:val="004A701E"/>
    <w:rsid w:val="004A7435"/>
    <w:rsid w:val="004B08FF"/>
    <w:rsid w:val="004B0D22"/>
    <w:rsid w:val="004B2353"/>
    <w:rsid w:val="004B275B"/>
    <w:rsid w:val="004B3355"/>
    <w:rsid w:val="004B5590"/>
    <w:rsid w:val="004B5FC4"/>
    <w:rsid w:val="004B7C6E"/>
    <w:rsid w:val="004C09BE"/>
    <w:rsid w:val="004C10CE"/>
    <w:rsid w:val="004C22BD"/>
    <w:rsid w:val="004C244A"/>
    <w:rsid w:val="004C2E4C"/>
    <w:rsid w:val="004C37DC"/>
    <w:rsid w:val="004C4475"/>
    <w:rsid w:val="004C4B61"/>
    <w:rsid w:val="004C507C"/>
    <w:rsid w:val="004C5142"/>
    <w:rsid w:val="004D08FC"/>
    <w:rsid w:val="004D1A10"/>
    <w:rsid w:val="004D2711"/>
    <w:rsid w:val="004D3DC9"/>
    <w:rsid w:val="004D404C"/>
    <w:rsid w:val="004D42D2"/>
    <w:rsid w:val="004D4592"/>
    <w:rsid w:val="004D4B74"/>
    <w:rsid w:val="004D64ED"/>
    <w:rsid w:val="004D77BA"/>
    <w:rsid w:val="004E2450"/>
    <w:rsid w:val="004E28A4"/>
    <w:rsid w:val="004E4F3A"/>
    <w:rsid w:val="004E62B4"/>
    <w:rsid w:val="004E6950"/>
    <w:rsid w:val="004F1398"/>
    <w:rsid w:val="004F18A1"/>
    <w:rsid w:val="004F37DA"/>
    <w:rsid w:val="004F4318"/>
    <w:rsid w:val="004F449E"/>
    <w:rsid w:val="004F5D47"/>
    <w:rsid w:val="004F623E"/>
    <w:rsid w:val="004F642B"/>
    <w:rsid w:val="004F6987"/>
    <w:rsid w:val="004F6A86"/>
    <w:rsid w:val="004F7068"/>
    <w:rsid w:val="004F7369"/>
    <w:rsid w:val="004F7AC3"/>
    <w:rsid w:val="004F7E98"/>
    <w:rsid w:val="00500C1C"/>
    <w:rsid w:val="00502495"/>
    <w:rsid w:val="00502A52"/>
    <w:rsid w:val="005032B2"/>
    <w:rsid w:val="00503834"/>
    <w:rsid w:val="00503E36"/>
    <w:rsid w:val="00504163"/>
    <w:rsid w:val="005072D6"/>
    <w:rsid w:val="00510889"/>
    <w:rsid w:val="00510D92"/>
    <w:rsid w:val="005135C5"/>
    <w:rsid w:val="005150CB"/>
    <w:rsid w:val="005151EE"/>
    <w:rsid w:val="00515BB3"/>
    <w:rsid w:val="00516B05"/>
    <w:rsid w:val="00517F92"/>
    <w:rsid w:val="0052099E"/>
    <w:rsid w:val="00521401"/>
    <w:rsid w:val="005239B8"/>
    <w:rsid w:val="005242A3"/>
    <w:rsid w:val="00525A4E"/>
    <w:rsid w:val="00525F54"/>
    <w:rsid w:val="005262D5"/>
    <w:rsid w:val="005301F8"/>
    <w:rsid w:val="005309C6"/>
    <w:rsid w:val="00530D02"/>
    <w:rsid w:val="00531AF8"/>
    <w:rsid w:val="00531D68"/>
    <w:rsid w:val="00535CD7"/>
    <w:rsid w:val="00535D1E"/>
    <w:rsid w:val="00536151"/>
    <w:rsid w:val="00537E97"/>
    <w:rsid w:val="00541866"/>
    <w:rsid w:val="0054274E"/>
    <w:rsid w:val="005430D1"/>
    <w:rsid w:val="0054452A"/>
    <w:rsid w:val="00545C7C"/>
    <w:rsid w:val="00546D32"/>
    <w:rsid w:val="00547C0D"/>
    <w:rsid w:val="005509E2"/>
    <w:rsid w:val="00551EEF"/>
    <w:rsid w:val="00552084"/>
    <w:rsid w:val="00552AC0"/>
    <w:rsid w:val="0055306C"/>
    <w:rsid w:val="00553DAD"/>
    <w:rsid w:val="00554E3C"/>
    <w:rsid w:val="005552E6"/>
    <w:rsid w:val="0055588D"/>
    <w:rsid w:val="005565B5"/>
    <w:rsid w:val="00557CFD"/>
    <w:rsid w:val="00557E1B"/>
    <w:rsid w:val="00561D45"/>
    <w:rsid w:val="00562961"/>
    <w:rsid w:val="00562AA3"/>
    <w:rsid w:val="00564171"/>
    <w:rsid w:val="00564373"/>
    <w:rsid w:val="0056463A"/>
    <w:rsid w:val="00566D7A"/>
    <w:rsid w:val="0056759A"/>
    <w:rsid w:val="00567DAC"/>
    <w:rsid w:val="005708B7"/>
    <w:rsid w:val="00571B93"/>
    <w:rsid w:val="00571E2A"/>
    <w:rsid w:val="00572BEE"/>
    <w:rsid w:val="00574020"/>
    <w:rsid w:val="005741F7"/>
    <w:rsid w:val="005744A3"/>
    <w:rsid w:val="005749B6"/>
    <w:rsid w:val="0057517D"/>
    <w:rsid w:val="00575403"/>
    <w:rsid w:val="00577AA3"/>
    <w:rsid w:val="00581688"/>
    <w:rsid w:val="0058258E"/>
    <w:rsid w:val="0058263E"/>
    <w:rsid w:val="00583264"/>
    <w:rsid w:val="00583B5A"/>
    <w:rsid w:val="00584D4C"/>
    <w:rsid w:val="00584F8C"/>
    <w:rsid w:val="0058512E"/>
    <w:rsid w:val="00585A64"/>
    <w:rsid w:val="00585CA5"/>
    <w:rsid w:val="00586A21"/>
    <w:rsid w:val="00587C36"/>
    <w:rsid w:val="00591589"/>
    <w:rsid w:val="00593083"/>
    <w:rsid w:val="00597F8B"/>
    <w:rsid w:val="005A00B3"/>
    <w:rsid w:val="005A12A2"/>
    <w:rsid w:val="005A1DAD"/>
    <w:rsid w:val="005A29EF"/>
    <w:rsid w:val="005A2FE4"/>
    <w:rsid w:val="005A3BBC"/>
    <w:rsid w:val="005A46D0"/>
    <w:rsid w:val="005A5510"/>
    <w:rsid w:val="005A6DD8"/>
    <w:rsid w:val="005A756A"/>
    <w:rsid w:val="005A769F"/>
    <w:rsid w:val="005A796D"/>
    <w:rsid w:val="005B0436"/>
    <w:rsid w:val="005B18CB"/>
    <w:rsid w:val="005B29BA"/>
    <w:rsid w:val="005B376A"/>
    <w:rsid w:val="005B38AF"/>
    <w:rsid w:val="005B5E46"/>
    <w:rsid w:val="005B6E96"/>
    <w:rsid w:val="005B7245"/>
    <w:rsid w:val="005C0379"/>
    <w:rsid w:val="005C0BA9"/>
    <w:rsid w:val="005C0CEA"/>
    <w:rsid w:val="005C12B1"/>
    <w:rsid w:val="005C191F"/>
    <w:rsid w:val="005C35BD"/>
    <w:rsid w:val="005C3ECE"/>
    <w:rsid w:val="005C73E4"/>
    <w:rsid w:val="005D2D33"/>
    <w:rsid w:val="005D3A6E"/>
    <w:rsid w:val="005D47B3"/>
    <w:rsid w:val="005D4810"/>
    <w:rsid w:val="005D4EC1"/>
    <w:rsid w:val="005D5680"/>
    <w:rsid w:val="005E15BA"/>
    <w:rsid w:val="005E21F1"/>
    <w:rsid w:val="005E2E7D"/>
    <w:rsid w:val="005E3F07"/>
    <w:rsid w:val="005E548C"/>
    <w:rsid w:val="005E7AEA"/>
    <w:rsid w:val="005E7B30"/>
    <w:rsid w:val="005F0F4B"/>
    <w:rsid w:val="005F5D7E"/>
    <w:rsid w:val="005F66CB"/>
    <w:rsid w:val="00600161"/>
    <w:rsid w:val="00601BDC"/>
    <w:rsid w:val="00601E1B"/>
    <w:rsid w:val="00602ADB"/>
    <w:rsid w:val="00603E5B"/>
    <w:rsid w:val="006042BB"/>
    <w:rsid w:val="00604878"/>
    <w:rsid w:val="006057D0"/>
    <w:rsid w:val="006072F8"/>
    <w:rsid w:val="0060732C"/>
    <w:rsid w:val="00612246"/>
    <w:rsid w:val="006152B5"/>
    <w:rsid w:val="00615703"/>
    <w:rsid w:val="00615BCD"/>
    <w:rsid w:val="00617513"/>
    <w:rsid w:val="00620484"/>
    <w:rsid w:val="00622E88"/>
    <w:rsid w:val="00623183"/>
    <w:rsid w:val="0062395D"/>
    <w:rsid w:val="00624573"/>
    <w:rsid w:val="006268A1"/>
    <w:rsid w:val="00626ADD"/>
    <w:rsid w:val="00626DE0"/>
    <w:rsid w:val="00626F74"/>
    <w:rsid w:val="00630A6B"/>
    <w:rsid w:val="00634896"/>
    <w:rsid w:val="00634D10"/>
    <w:rsid w:val="00637ADC"/>
    <w:rsid w:val="0064323F"/>
    <w:rsid w:val="006436C9"/>
    <w:rsid w:val="006453A0"/>
    <w:rsid w:val="00645845"/>
    <w:rsid w:val="006464E3"/>
    <w:rsid w:val="006468BE"/>
    <w:rsid w:val="006532AF"/>
    <w:rsid w:val="00654C94"/>
    <w:rsid w:val="00656435"/>
    <w:rsid w:val="0065645F"/>
    <w:rsid w:val="00656C0D"/>
    <w:rsid w:val="00656C74"/>
    <w:rsid w:val="00657718"/>
    <w:rsid w:val="00660BBB"/>
    <w:rsid w:val="006615E0"/>
    <w:rsid w:val="00661709"/>
    <w:rsid w:val="006634B6"/>
    <w:rsid w:val="00664644"/>
    <w:rsid w:val="00664836"/>
    <w:rsid w:val="006651EA"/>
    <w:rsid w:val="0067051E"/>
    <w:rsid w:val="00670558"/>
    <w:rsid w:val="00671228"/>
    <w:rsid w:val="00671FDF"/>
    <w:rsid w:val="00673439"/>
    <w:rsid w:val="00673900"/>
    <w:rsid w:val="006749F3"/>
    <w:rsid w:val="00674EFD"/>
    <w:rsid w:val="0067543E"/>
    <w:rsid w:val="006757BA"/>
    <w:rsid w:val="00675E3C"/>
    <w:rsid w:val="00677085"/>
    <w:rsid w:val="00680234"/>
    <w:rsid w:val="006807DE"/>
    <w:rsid w:val="00680AD3"/>
    <w:rsid w:val="00680FFC"/>
    <w:rsid w:val="006812B6"/>
    <w:rsid w:val="00681ED3"/>
    <w:rsid w:val="006846D8"/>
    <w:rsid w:val="0068518B"/>
    <w:rsid w:val="00685705"/>
    <w:rsid w:val="00685A38"/>
    <w:rsid w:val="0068633D"/>
    <w:rsid w:val="00694297"/>
    <w:rsid w:val="006953DF"/>
    <w:rsid w:val="0069570F"/>
    <w:rsid w:val="00697625"/>
    <w:rsid w:val="00697A1E"/>
    <w:rsid w:val="00697A7A"/>
    <w:rsid w:val="006A0EDC"/>
    <w:rsid w:val="006A135B"/>
    <w:rsid w:val="006A19BE"/>
    <w:rsid w:val="006A1D37"/>
    <w:rsid w:val="006A2999"/>
    <w:rsid w:val="006A3699"/>
    <w:rsid w:val="006A520E"/>
    <w:rsid w:val="006A5DC3"/>
    <w:rsid w:val="006A621D"/>
    <w:rsid w:val="006A6696"/>
    <w:rsid w:val="006A7072"/>
    <w:rsid w:val="006A768A"/>
    <w:rsid w:val="006A7898"/>
    <w:rsid w:val="006B1F6A"/>
    <w:rsid w:val="006B2CDB"/>
    <w:rsid w:val="006B2D22"/>
    <w:rsid w:val="006B5C9D"/>
    <w:rsid w:val="006B5F07"/>
    <w:rsid w:val="006B611B"/>
    <w:rsid w:val="006B79ED"/>
    <w:rsid w:val="006C095F"/>
    <w:rsid w:val="006C1D99"/>
    <w:rsid w:val="006C1E14"/>
    <w:rsid w:val="006C1F48"/>
    <w:rsid w:val="006C2335"/>
    <w:rsid w:val="006C2D83"/>
    <w:rsid w:val="006C40BB"/>
    <w:rsid w:val="006C40D2"/>
    <w:rsid w:val="006C41C4"/>
    <w:rsid w:val="006C465B"/>
    <w:rsid w:val="006C5436"/>
    <w:rsid w:val="006C5A59"/>
    <w:rsid w:val="006C7CE3"/>
    <w:rsid w:val="006D0E50"/>
    <w:rsid w:val="006D30AB"/>
    <w:rsid w:val="006D6654"/>
    <w:rsid w:val="006D6DEC"/>
    <w:rsid w:val="006E0E73"/>
    <w:rsid w:val="006E3A98"/>
    <w:rsid w:val="006E465D"/>
    <w:rsid w:val="006E504F"/>
    <w:rsid w:val="006E59DA"/>
    <w:rsid w:val="006E76C8"/>
    <w:rsid w:val="006F2FE8"/>
    <w:rsid w:val="006F3628"/>
    <w:rsid w:val="006F3D66"/>
    <w:rsid w:val="006F45F4"/>
    <w:rsid w:val="006F4F0D"/>
    <w:rsid w:val="006F580F"/>
    <w:rsid w:val="006F74C9"/>
    <w:rsid w:val="007001C2"/>
    <w:rsid w:val="00700D62"/>
    <w:rsid w:val="00701808"/>
    <w:rsid w:val="00701D18"/>
    <w:rsid w:val="007070E8"/>
    <w:rsid w:val="00710D04"/>
    <w:rsid w:val="00711BDE"/>
    <w:rsid w:val="0071205D"/>
    <w:rsid w:val="00714616"/>
    <w:rsid w:val="007153D8"/>
    <w:rsid w:val="00717703"/>
    <w:rsid w:val="00717AC6"/>
    <w:rsid w:val="00717C59"/>
    <w:rsid w:val="00717E25"/>
    <w:rsid w:val="007200A1"/>
    <w:rsid w:val="00720EE1"/>
    <w:rsid w:val="00721824"/>
    <w:rsid w:val="00721D94"/>
    <w:rsid w:val="0072291C"/>
    <w:rsid w:val="00723AC9"/>
    <w:rsid w:val="00724184"/>
    <w:rsid w:val="00724FC3"/>
    <w:rsid w:val="0072542E"/>
    <w:rsid w:val="00725A14"/>
    <w:rsid w:val="00725BA1"/>
    <w:rsid w:val="00725C03"/>
    <w:rsid w:val="007266A4"/>
    <w:rsid w:val="007268AE"/>
    <w:rsid w:val="00727733"/>
    <w:rsid w:val="00731E06"/>
    <w:rsid w:val="00733098"/>
    <w:rsid w:val="00735067"/>
    <w:rsid w:val="00735690"/>
    <w:rsid w:val="007405BD"/>
    <w:rsid w:val="0074065A"/>
    <w:rsid w:val="007418BD"/>
    <w:rsid w:val="007418DD"/>
    <w:rsid w:val="00742073"/>
    <w:rsid w:val="007438BB"/>
    <w:rsid w:val="007439CB"/>
    <w:rsid w:val="0074472C"/>
    <w:rsid w:val="007457FD"/>
    <w:rsid w:val="007461C9"/>
    <w:rsid w:val="0074662A"/>
    <w:rsid w:val="0074673E"/>
    <w:rsid w:val="00746A2E"/>
    <w:rsid w:val="00746B88"/>
    <w:rsid w:val="00751074"/>
    <w:rsid w:val="0075204F"/>
    <w:rsid w:val="00753614"/>
    <w:rsid w:val="007539EB"/>
    <w:rsid w:val="00753CB2"/>
    <w:rsid w:val="00755446"/>
    <w:rsid w:val="0075655D"/>
    <w:rsid w:val="00756723"/>
    <w:rsid w:val="00756EE8"/>
    <w:rsid w:val="00757D67"/>
    <w:rsid w:val="007608CF"/>
    <w:rsid w:val="007617AB"/>
    <w:rsid w:val="00761D59"/>
    <w:rsid w:val="00761E3D"/>
    <w:rsid w:val="00762A00"/>
    <w:rsid w:val="00763F41"/>
    <w:rsid w:val="00764279"/>
    <w:rsid w:val="007645CE"/>
    <w:rsid w:val="007718D9"/>
    <w:rsid w:val="00771C55"/>
    <w:rsid w:val="007727DC"/>
    <w:rsid w:val="00772924"/>
    <w:rsid w:val="007740E7"/>
    <w:rsid w:val="007742F2"/>
    <w:rsid w:val="0077509A"/>
    <w:rsid w:val="00775258"/>
    <w:rsid w:val="007760E4"/>
    <w:rsid w:val="00777707"/>
    <w:rsid w:val="00777E42"/>
    <w:rsid w:val="00780362"/>
    <w:rsid w:val="007804C2"/>
    <w:rsid w:val="007822F8"/>
    <w:rsid w:val="00782692"/>
    <w:rsid w:val="00782E4C"/>
    <w:rsid w:val="00783A74"/>
    <w:rsid w:val="00783ED4"/>
    <w:rsid w:val="00786863"/>
    <w:rsid w:val="007879B7"/>
    <w:rsid w:val="007904D3"/>
    <w:rsid w:val="00790EF3"/>
    <w:rsid w:val="00791C31"/>
    <w:rsid w:val="00793378"/>
    <w:rsid w:val="00793B2F"/>
    <w:rsid w:val="0079540A"/>
    <w:rsid w:val="00796AA5"/>
    <w:rsid w:val="00797AC5"/>
    <w:rsid w:val="007A0590"/>
    <w:rsid w:val="007A1353"/>
    <w:rsid w:val="007A1D36"/>
    <w:rsid w:val="007A2739"/>
    <w:rsid w:val="007A446C"/>
    <w:rsid w:val="007A479A"/>
    <w:rsid w:val="007A699A"/>
    <w:rsid w:val="007A7280"/>
    <w:rsid w:val="007A7600"/>
    <w:rsid w:val="007A7B59"/>
    <w:rsid w:val="007B0591"/>
    <w:rsid w:val="007B070B"/>
    <w:rsid w:val="007B1597"/>
    <w:rsid w:val="007B16B9"/>
    <w:rsid w:val="007B1C08"/>
    <w:rsid w:val="007B21B3"/>
    <w:rsid w:val="007B3869"/>
    <w:rsid w:val="007B5297"/>
    <w:rsid w:val="007B5E1E"/>
    <w:rsid w:val="007B6240"/>
    <w:rsid w:val="007B6AF6"/>
    <w:rsid w:val="007C100C"/>
    <w:rsid w:val="007C3517"/>
    <w:rsid w:val="007C40C9"/>
    <w:rsid w:val="007C5870"/>
    <w:rsid w:val="007C6B82"/>
    <w:rsid w:val="007C6CA1"/>
    <w:rsid w:val="007C7D44"/>
    <w:rsid w:val="007D19D5"/>
    <w:rsid w:val="007D353E"/>
    <w:rsid w:val="007D5307"/>
    <w:rsid w:val="007D642B"/>
    <w:rsid w:val="007D6827"/>
    <w:rsid w:val="007D6A3D"/>
    <w:rsid w:val="007D6E9F"/>
    <w:rsid w:val="007D75A3"/>
    <w:rsid w:val="007D7750"/>
    <w:rsid w:val="007D7CC1"/>
    <w:rsid w:val="007E115D"/>
    <w:rsid w:val="007E195E"/>
    <w:rsid w:val="007E45BC"/>
    <w:rsid w:val="007E7C3A"/>
    <w:rsid w:val="007F0B8F"/>
    <w:rsid w:val="007F0CDB"/>
    <w:rsid w:val="007F0FEE"/>
    <w:rsid w:val="007F16BE"/>
    <w:rsid w:val="007F2CB0"/>
    <w:rsid w:val="007F4D77"/>
    <w:rsid w:val="007F68FA"/>
    <w:rsid w:val="00800AA5"/>
    <w:rsid w:val="008019A2"/>
    <w:rsid w:val="008025AA"/>
    <w:rsid w:val="00802AA3"/>
    <w:rsid w:val="00803D69"/>
    <w:rsid w:val="00803F30"/>
    <w:rsid w:val="00803F4D"/>
    <w:rsid w:val="00804BB8"/>
    <w:rsid w:val="00805D51"/>
    <w:rsid w:val="00806ED0"/>
    <w:rsid w:val="008072C4"/>
    <w:rsid w:val="00807816"/>
    <w:rsid w:val="008102F1"/>
    <w:rsid w:val="00810845"/>
    <w:rsid w:val="00811A4E"/>
    <w:rsid w:val="00811B14"/>
    <w:rsid w:val="00812C6B"/>
    <w:rsid w:val="0081302E"/>
    <w:rsid w:val="00813B68"/>
    <w:rsid w:val="008152F4"/>
    <w:rsid w:val="00815D46"/>
    <w:rsid w:val="0082132C"/>
    <w:rsid w:val="00822ADF"/>
    <w:rsid w:val="00824EBF"/>
    <w:rsid w:val="00830C08"/>
    <w:rsid w:val="00832103"/>
    <w:rsid w:val="008346D4"/>
    <w:rsid w:val="008360AA"/>
    <w:rsid w:val="0083752C"/>
    <w:rsid w:val="00841390"/>
    <w:rsid w:val="008427BE"/>
    <w:rsid w:val="00842E23"/>
    <w:rsid w:val="00843DD3"/>
    <w:rsid w:val="00846315"/>
    <w:rsid w:val="00847A35"/>
    <w:rsid w:val="00847E3C"/>
    <w:rsid w:val="008502E3"/>
    <w:rsid w:val="008513E1"/>
    <w:rsid w:val="00852177"/>
    <w:rsid w:val="00852490"/>
    <w:rsid w:val="00853388"/>
    <w:rsid w:val="008540F4"/>
    <w:rsid w:val="0085435A"/>
    <w:rsid w:val="0085436C"/>
    <w:rsid w:val="0085479A"/>
    <w:rsid w:val="00855726"/>
    <w:rsid w:val="008571DA"/>
    <w:rsid w:val="008608B9"/>
    <w:rsid w:val="00861E2A"/>
    <w:rsid w:val="008649AA"/>
    <w:rsid w:val="008657A8"/>
    <w:rsid w:val="00865BF8"/>
    <w:rsid w:val="008662E0"/>
    <w:rsid w:val="008670EB"/>
    <w:rsid w:val="00867B45"/>
    <w:rsid w:val="008701D6"/>
    <w:rsid w:val="00870C16"/>
    <w:rsid w:val="00872B85"/>
    <w:rsid w:val="00874E64"/>
    <w:rsid w:val="008772D8"/>
    <w:rsid w:val="0087734D"/>
    <w:rsid w:val="00877A42"/>
    <w:rsid w:val="00880278"/>
    <w:rsid w:val="00880451"/>
    <w:rsid w:val="008828FA"/>
    <w:rsid w:val="00883ECC"/>
    <w:rsid w:val="008850BA"/>
    <w:rsid w:val="00885DBC"/>
    <w:rsid w:val="00886656"/>
    <w:rsid w:val="008868B6"/>
    <w:rsid w:val="00886F05"/>
    <w:rsid w:val="0088726B"/>
    <w:rsid w:val="00887B47"/>
    <w:rsid w:val="00890AC6"/>
    <w:rsid w:val="00890FDA"/>
    <w:rsid w:val="00891D2C"/>
    <w:rsid w:val="008935BC"/>
    <w:rsid w:val="00893C10"/>
    <w:rsid w:val="00893CD8"/>
    <w:rsid w:val="00894DED"/>
    <w:rsid w:val="00895BD6"/>
    <w:rsid w:val="00895CDD"/>
    <w:rsid w:val="008A004B"/>
    <w:rsid w:val="008A19E4"/>
    <w:rsid w:val="008A25C5"/>
    <w:rsid w:val="008A3234"/>
    <w:rsid w:val="008A4655"/>
    <w:rsid w:val="008A4B33"/>
    <w:rsid w:val="008A4CCA"/>
    <w:rsid w:val="008A5BE8"/>
    <w:rsid w:val="008A6556"/>
    <w:rsid w:val="008A6672"/>
    <w:rsid w:val="008A6EB3"/>
    <w:rsid w:val="008A7342"/>
    <w:rsid w:val="008A7D31"/>
    <w:rsid w:val="008A7EC1"/>
    <w:rsid w:val="008B05E0"/>
    <w:rsid w:val="008B272F"/>
    <w:rsid w:val="008B3F10"/>
    <w:rsid w:val="008B45F0"/>
    <w:rsid w:val="008B4C41"/>
    <w:rsid w:val="008B5A51"/>
    <w:rsid w:val="008B5DD4"/>
    <w:rsid w:val="008B5DD5"/>
    <w:rsid w:val="008B6DCB"/>
    <w:rsid w:val="008B7144"/>
    <w:rsid w:val="008C04D4"/>
    <w:rsid w:val="008C1894"/>
    <w:rsid w:val="008C6033"/>
    <w:rsid w:val="008D0A4B"/>
    <w:rsid w:val="008D1071"/>
    <w:rsid w:val="008D11A5"/>
    <w:rsid w:val="008D1A13"/>
    <w:rsid w:val="008D31E5"/>
    <w:rsid w:val="008D4A0B"/>
    <w:rsid w:val="008D5DEB"/>
    <w:rsid w:val="008D6B33"/>
    <w:rsid w:val="008D7835"/>
    <w:rsid w:val="008E0064"/>
    <w:rsid w:val="008E0448"/>
    <w:rsid w:val="008E0818"/>
    <w:rsid w:val="008E12A4"/>
    <w:rsid w:val="008E2413"/>
    <w:rsid w:val="008E2D08"/>
    <w:rsid w:val="008E3227"/>
    <w:rsid w:val="008E38E2"/>
    <w:rsid w:val="008E4876"/>
    <w:rsid w:val="008E51D1"/>
    <w:rsid w:val="008F39E4"/>
    <w:rsid w:val="008F4224"/>
    <w:rsid w:val="008F577A"/>
    <w:rsid w:val="008F6A8A"/>
    <w:rsid w:val="008F7C44"/>
    <w:rsid w:val="009012C8"/>
    <w:rsid w:val="009015F6"/>
    <w:rsid w:val="0090539D"/>
    <w:rsid w:val="00910F20"/>
    <w:rsid w:val="00911704"/>
    <w:rsid w:val="0091363E"/>
    <w:rsid w:val="00914016"/>
    <w:rsid w:val="0091660C"/>
    <w:rsid w:val="0092108B"/>
    <w:rsid w:val="009211B2"/>
    <w:rsid w:val="00921A5C"/>
    <w:rsid w:val="00922315"/>
    <w:rsid w:val="00923218"/>
    <w:rsid w:val="00923F57"/>
    <w:rsid w:val="00924180"/>
    <w:rsid w:val="009245FC"/>
    <w:rsid w:val="00925375"/>
    <w:rsid w:val="00925887"/>
    <w:rsid w:val="00927312"/>
    <w:rsid w:val="009330A4"/>
    <w:rsid w:val="009340B8"/>
    <w:rsid w:val="00934534"/>
    <w:rsid w:val="00934732"/>
    <w:rsid w:val="00934E35"/>
    <w:rsid w:val="009373EB"/>
    <w:rsid w:val="0094209E"/>
    <w:rsid w:val="00942C94"/>
    <w:rsid w:val="00944548"/>
    <w:rsid w:val="00945CD8"/>
    <w:rsid w:val="00946731"/>
    <w:rsid w:val="009471E0"/>
    <w:rsid w:val="00950140"/>
    <w:rsid w:val="009513E7"/>
    <w:rsid w:val="00951517"/>
    <w:rsid w:val="00951775"/>
    <w:rsid w:val="00951E68"/>
    <w:rsid w:val="0095200B"/>
    <w:rsid w:val="009544E5"/>
    <w:rsid w:val="009549EF"/>
    <w:rsid w:val="009558C2"/>
    <w:rsid w:val="00955B49"/>
    <w:rsid w:val="00955DBA"/>
    <w:rsid w:val="009560FD"/>
    <w:rsid w:val="009561AF"/>
    <w:rsid w:val="00960639"/>
    <w:rsid w:val="00960DAB"/>
    <w:rsid w:val="00961EDE"/>
    <w:rsid w:val="009626CF"/>
    <w:rsid w:val="00962AC0"/>
    <w:rsid w:val="0097231C"/>
    <w:rsid w:val="00972519"/>
    <w:rsid w:val="00972835"/>
    <w:rsid w:val="00973169"/>
    <w:rsid w:val="0097364E"/>
    <w:rsid w:val="009736C5"/>
    <w:rsid w:val="00974260"/>
    <w:rsid w:val="00974598"/>
    <w:rsid w:val="00975072"/>
    <w:rsid w:val="009764EE"/>
    <w:rsid w:val="009775D6"/>
    <w:rsid w:val="009808AD"/>
    <w:rsid w:val="00980C18"/>
    <w:rsid w:val="00981CEE"/>
    <w:rsid w:val="009824BD"/>
    <w:rsid w:val="00982BA1"/>
    <w:rsid w:val="00983575"/>
    <w:rsid w:val="009849EF"/>
    <w:rsid w:val="00985176"/>
    <w:rsid w:val="00986703"/>
    <w:rsid w:val="00986D91"/>
    <w:rsid w:val="00990A46"/>
    <w:rsid w:val="009913A5"/>
    <w:rsid w:val="00991678"/>
    <w:rsid w:val="00992639"/>
    <w:rsid w:val="00993654"/>
    <w:rsid w:val="00994B6F"/>
    <w:rsid w:val="009958C4"/>
    <w:rsid w:val="00995D95"/>
    <w:rsid w:val="00997965"/>
    <w:rsid w:val="00997EA3"/>
    <w:rsid w:val="009A05F4"/>
    <w:rsid w:val="009A1197"/>
    <w:rsid w:val="009A22FE"/>
    <w:rsid w:val="009A2492"/>
    <w:rsid w:val="009A27D1"/>
    <w:rsid w:val="009A3F43"/>
    <w:rsid w:val="009A4237"/>
    <w:rsid w:val="009A4671"/>
    <w:rsid w:val="009A514D"/>
    <w:rsid w:val="009A55E9"/>
    <w:rsid w:val="009A666A"/>
    <w:rsid w:val="009A6B7D"/>
    <w:rsid w:val="009A6BA0"/>
    <w:rsid w:val="009A6F8A"/>
    <w:rsid w:val="009B06F4"/>
    <w:rsid w:val="009B427C"/>
    <w:rsid w:val="009B5FC2"/>
    <w:rsid w:val="009C0917"/>
    <w:rsid w:val="009C282C"/>
    <w:rsid w:val="009C2FFD"/>
    <w:rsid w:val="009C3B97"/>
    <w:rsid w:val="009C3FEE"/>
    <w:rsid w:val="009C6E20"/>
    <w:rsid w:val="009C79B7"/>
    <w:rsid w:val="009D0C76"/>
    <w:rsid w:val="009D0E0C"/>
    <w:rsid w:val="009D1121"/>
    <w:rsid w:val="009D1440"/>
    <w:rsid w:val="009D1F58"/>
    <w:rsid w:val="009D5584"/>
    <w:rsid w:val="009D623A"/>
    <w:rsid w:val="009D6A23"/>
    <w:rsid w:val="009E26A3"/>
    <w:rsid w:val="009E34E0"/>
    <w:rsid w:val="009E6222"/>
    <w:rsid w:val="009F020D"/>
    <w:rsid w:val="009F3B47"/>
    <w:rsid w:val="009F45E1"/>
    <w:rsid w:val="009F4A7F"/>
    <w:rsid w:val="009F4CC3"/>
    <w:rsid w:val="00A020A3"/>
    <w:rsid w:val="00A02D76"/>
    <w:rsid w:val="00A03E16"/>
    <w:rsid w:val="00A050AF"/>
    <w:rsid w:val="00A05700"/>
    <w:rsid w:val="00A06DE8"/>
    <w:rsid w:val="00A06FF2"/>
    <w:rsid w:val="00A07105"/>
    <w:rsid w:val="00A07B99"/>
    <w:rsid w:val="00A07E93"/>
    <w:rsid w:val="00A1003F"/>
    <w:rsid w:val="00A10FA2"/>
    <w:rsid w:val="00A11377"/>
    <w:rsid w:val="00A114D8"/>
    <w:rsid w:val="00A11932"/>
    <w:rsid w:val="00A11A83"/>
    <w:rsid w:val="00A12983"/>
    <w:rsid w:val="00A12BFA"/>
    <w:rsid w:val="00A12F46"/>
    <w:rsid w:val="00A134B6"/>
    <w:rsid w:val="00A13737"/>
    <w:rsid w:val="00A139A6"/>
    <w:rsid w:val="00A13BF1"/>
    <w:rsid w:val="00A1596A"/>
    <w:rsid w:val="00A20282"/>
    <w:rsid w:val="00A21F13"/>
    <w:rsid w:val="00A22342"/>
    <w:rsid w:val="00A23E8C"/>
    <w:rsid w:val="00A24378"/>
    <w:rsid w:val="00A249BC"/>
    <w:rsid w:val="00A250B0"/>
    <w:rsid w:val="00A269BA"/>
    <w:rsid w:val="00A26AF6"/>
    <w:rsid w:val="00A26E06"/>
    <w:rsid w:val="00A27338"/>
    <w:rsid w:val="00A334D3"/>
    <w:rsid w:val="00A340DC"/>
    <w:rsid w:val="00A34BF7"/>
    <w:rsid w:val="00A34D15"/>
    <w:rsid w:val="00A3583F"/>
    <w:rsid w:val="00A35BE1"/>
    <w:rsid w:val="00A36839"/>
    <w:rsid w:val="00A36B32"/>
    <w:rsid w:val="00A37FC0"/>
    <w:rsid w:val="00A407DB"/>
    <w:rsid w:val="00A40CCD"/>
    <w:rsid w:val="00A41417"/>
    <w:rsid w:val="00A42EB2"/>
    <w:rsid w:val="00A44F0B"/>
    <w:rsid w:val="00A4507F"/>
    <w:rsid w:val="00A45877"/>
    <w:rsid w:val="00A46D49"/>
    <w:rsid w:val="00A478CF"/>
    <w:rsid w:val="00A5059B"/>
    <w:rsid w:val="00A539BF"/>
    <w:rsid w:val="00A54E02"/>
    <w:rsid w:val="00A564AB"/>
    <w:rsid w:val="00A57619"/>
    <w:rsid w:val="00A57735"/>
    <w:rsid w:val="00A57EFA"/>
    <w:rsid w:val="00A60914"/>
    <w:rsid w:val="00A60E71"/>
    <w:rsid w:val="00A63045"/>
    <w:rsid w:val="00A63E8E"/>
    <w:rsid w:val="00A65558"/>
    <w:rsid w:val="00A65EB0"/>
    <w:rsid w:val="00A670D5"/>
    <w:rsid w:val="00A67664"/>
    <w:rsid w:val="00A67ADE"/>
    <w:rsid w:val="00A67EBC"/>
    <w:rsid w:val="00A70F16"/>
    <w:rsid w:val="00A72750"/>
    <w:rsid w:val="00A7795C"/>
    <w:rsid w:val="00A81FF0"/>
    <w:rsid w:val="00A8302D"/>
    <w:rsid w:val="00A8408D"/>
    <w:rsid w:val="00A8471F"/>
    <w:rsid w:val="00A85218"/>
    <w:rsid w:val="00A858C1"/>
    <w:rsid w:val="00A901AC"/>
    <w:rsid w:val="00A921B3"/>
    <w:rsid w:val="00A92FAA"/>
    <w:rsid w:val="00A93FFA"/>
    <w:rsid w:val="00A94C6F"/>
    <w:rsid w:val="00A958A5"/>
    <w:rsid w:val="00A963F3"/>
    <w:rsid w:val="00A96438"/>
    <w:rsid w:val="00A97618"/>
    <w:rsid w:val="00A9794D"/>
    <w:rsid w:val="00AA232C"/>
    <w:rsid w:val="00AA26AA"/>
    <w:rsid w:val="00AA431E"/>
    <w:rsid w:val="00AA511A"/>
    <w:rsid w:val="00AA58FF"/>
    <w:rsid w:val="00AA5FE1"/>
    <w:rsid w:val="00AA61A1"/>
    <w:rsid w:val="00AA7100"/>
    <w:rsid w:val="00AB13AE"/>
    <w:rsid w:val="00AB2E6C"/>
    <w:rsid w:val="00AB3523"/>
    <w:rsid w:val="00AB475F"/>
    <w:rsid w:val="00AB518C"/>
    <w:rsid w:val="00AB69B8"/>
    <w:rsid w:val="00AB7CE0"/>
    <w:rsid w:val="00AB7E8A"/>
    <w:rsid w:val="00AC0FA4"/>
    <w:rsid w:val="00AC1D8B"/>
    <w:rsid w:val="00AC3AC0"/>
    <w:rsid w:val="00AC589C"/>
    <w:rsid w:val="00AC661F"/>
    <w:rsid w:val="00AC6A21"/>
    <w:rsid w:val="00AC7295"/>
    <w:rsid w:val="00AC7F66"/>
    <w:rsid w:val="00AD124B"/>
    <w:rsid w:val="00AD1B2A"/>
    <w:rsid w:val="00AD1B43"/>
    <w:rsid w:val="00AD2630"/>
    <w:rsid w:val="00AD2F5A"/>
    <w:rsid w:val="00AD70A0"/>
    <w:rsid w:val="00AD7E77"/>
    <w:rsid w:val="00AD7FFD"/>
    <w:rsid w:val="00AE072C"/>
    <w:rsid w:val="00AE0734"/>
    <w:rsid w:val="00AE1018"/>
    <w:rsid w:val="00AE2E50"/>
    <w:rsid w:val="00AE31AF"/>
    <w:rsid w:val="00AE58B8"/>
    <w:rsid w:val="00AE5948"/>
    <w:rsid w:val="00AF00C1"/>
    <w:rsid w:val="00AF0B91"/>
    <w:rsid w:val="00AF0B93"/>
    <w:rsid w:val="00AF0E09"/>
    <w:rsid w:val="00AF381F"/>
    <w:rsid w:val="00AF38BF"/>
    <w:rsid w:val="00AF522C"/>
    <w:rsid w:val="00AF5297"/>
    <w:rsid w:val="00AF584E"/>
    <w:rsid w:val="00AF6B87"/>
    <w:rsid w:val="00AF6D59"/>
    <w:rsid w:val="00B00230"/>
    <w:rsid w:val="00B00AF0"/>
    <w:rsid w:val="00B01FDC"/>
    <w:rsid w:val="00B02546"/>
    <w:rsid w:val="00B0400E"/>
    <w:rsid w:val="00B053D1"/>
    <w:rsid w:val="00B11306"/>
    <w:rsid w:val="00B11FE9"/>
    <w:rsid w:val="00B12433"/>
    <w:rsid w:val="00B1287F"/>
    <w:rsid w:val="00B13C03"/>
    <w:rsid w:val="00B14B4F"/>
    <w:rsid w:val="00B14C46"/>
    <w:rsid w:val="00B14D75"/>
    <w:rsid w:val="00B15FA8"/>
    <w:rsid w:val="00B16067"/>
    <w:rsid w:val="00B16AD8"/>
    <w:rsid w:val="00B17516"/>
    <w:rsid w:val="00B20265"/>
    <w:rsid w:val="00B20E9B"/>
    <w:rsid w:val="00B220D1"/>
    <w:rsid w:val="00B22550"/>
    <w:rsid w:val="00B23830"/>
    <w:rsid w:val="00B24BA3"/>
    <w:rsid w:val="00B252DB"/>
    <w:rsid w:val="00B3008F"/>
    <w:rsid w:val="00B304CC"/>
    <w:rsid w:val="00B309E5"/>
    <w:rsid w:val="00B311AF"/>
    <w:rsid w:val="00B31322"/>
    <w:rsid w:val="00B32963"/>
    <w:rsid w:val="00B32B8F"/>
    <w:rsid w:val="00B338D0"/>
    <w:rsid w:val="00B34748"/>
    <w:rsid w:val="00B347CD"/>
    <w:rsid w:val="00B35D1E"/>
    <w:rsid w:val="00B364C5"/>
    <w:rsid w:val="00B37B56"/>
    <w:rsid w:val="00B37C5E"/>
    <w:rsid w:val="00B407FF"/>
    <w:rsid w:val="00B43532"/>
    <w:rsid w:val="00B44B34"/>
    <w:rsid w:val="00B4665F"/>
    <w:rsid w:val="00B46F06"/>
    <w:rsid w:val="00B52115"/>
    <w:rsid w:val="00B52806"/>
    <w:rsid w:val="00B566BD"/>
    <w:rsid w:val="00B57605"/>
    <w:rsid w:val="00B600F4"/>
    <w:rsid w:val="00B60F2F"/>
    <w:rsid w:val="00B61818"/>
    <w:rsid w:val="00B61F22"/>
    <w:rsid w:val="00B632B1"/>
    <w:rsid w:val="00B64656"/>
    <w:rsid w:val="00B64B16"/>
    <w:rsid w:val="00B65881"/>
    <w:rsid w:val="00B65B5E"/>
    <w:rsid w:val="00B67FF5"/>
    <w:rsid w:val="00B704E1"/>
    <w:rsid w:val="00B7098D"/>
    <w:rsid w:val="00B7138B"/>
    <w:rsid w:val="00B720BF"/>
    <w:rsid w:val="00B735A7"/>
    <w:rsid w:val="00B735D1"/>
    <w:rsid w:val="00B744C7"/>
    <w:rsid w:val="00B74B7B"/>
    <w:rsid w:val="00B76106"/>
    <w:rsid w:val="00B765D5"/>
    <w:rsid w:val="00B769C1"/>
    <w:rsid w:val="00B76B5E"/>
    <w:rsid w:val="00B77F5D"/>
    <w:rsid w:val="00B806C9"/>
    <w:rsid w:val="00B81D85"/>
    <w:rsid w:val="00B81F66"/>
    <w:rsid w:val="00B8388E"/>
    <w:rsid w:val="00B85724"/>
    <w:rsid w:val="00B86867"/>
    <w:rsid w:val="00B86FCE"/>
    <w:rsid w:val="00B87F94"/>
    <w:rsid w:val="00B901EB"/>
    <w:rsid w:val="00B907CA"/>
    <w:rsid w:val="00B9208B"/>
    <w:rsid w:val="00B9221A"/>
    <w:rsid w:val="00B936C1"/>
    <w:rsid w:val="00B946B3"/>
    <w:rsid w:val="00B94B45"/>
    <w:rsid w:val="00B9502E"/>
    <w:rsid w:val="00B95527"/>
    <w:rsid w:val="00B9599F"/>
    <w:rsid w:val="00B96673"/>
    <w:rsid w:val="00B97999"/>
    <w:rsid w:val="00BA0936"/>
    <w:rsid w:val="00BA217D"/>
    <w:rsid w:val="00BA26EA"/>
    <w:rsid w:val="00BA3CD4"/>
    <w:rsid w:val="00BA4277"/>
    <w:rsid w:val="00BB61AA"/>
    <w:rsid w:val="00BB692C"/>
    <w:rsid w:val="00BC0A51"/>
    <w:rsid w:val="00BC0A55"/>
    <w:rsid w:val="00BC0B0C"/>
    <w:rsid w:val="00BC1696"/>
    <w:rsid w:val="00BC2D37"/>
    <w:rsid w:val="00BC3B48"/>
    <w:rsid w:val="00BC3E38"/>
    <w:rsid w:val="00BC5473"/>
    <w:rsid w:val="00BC549F"/>
    <w:rsid w:val="00BC5B03"/>
    <w:rsid w:val="00BC7AFC"/>
    <w:rsid w:val="00BD00E8"/>
    <w:rsid w:val="00BD130F"/>
    <w:rsid w:val="00BD182B"/>
    <w:rsid w:val="00BD1A2F"/>
    <w:rsid w:val="00BD2493"/>
    <w:rsid w:val="00BD43DE"/>
    <w:rsid w:val="00BD4FD4"/>
    <w:rsid w:val="00BD5575"/>
    <w:rsid w:val="00BD5969"/>
    <w:rsid w:val="00BE0A69"/>
    <w:rsid w:val="00BE2F1C"/>
    <w:rsid w:val="00BE3470"/>
    <w:rsid w:val="00BE348A"/>
    <w:rsid w:val="00BE487F"/>
    <w:rsid w:val="00BE6850"/>
    <w:rsid w:val="00BF5431"/>
    <w:rsid w:val="00BF5702"/>
    <w:rsid w:val="00BF6DD9"/>
    <w:rsid w:val="00C001DE"/>
    <w:rsid w:val="00C00309"/>
    <w:rsid w:val="00C00BCC"/>
    <w:rsid w:val="00C00F80"/>
    <w:rsid w:val="00C01552"/>
    <w:rsid w:val="00C0308C"/>
    <w:rsid w:val="00C0439B"/>
    <w:rsid w:val="00C04EC9"/>
    <w:rsid w:val="00C052E4"/>
    <w:rsid w:val="00C06E39"/>
    <w:rsid w:val="00C07541"/>
    <w:rsid w:val="00C12619"/>
    <w:rsid w:val="00C1338E"/>
    <w:rsid w:val="00C15742"/>
    <w:rsid w:val="00C16C62"/>
    <w:rsid w:val="00C20032"/>
    <w:rsid w:val="00C20121"/>
    <w:rsid w:val="00C21E98"/>
    <w:rsid w:val="00C22DC2"/>
    <w:rsid w:val="00C23A19"/>
    <w:rsid w:val="00C23B0D"/>
    <w:rsid w:val="00C2496D"/>
    <w:rsid w:val="00C26D09"/>
    <w:rsid w:val="00C30A43"/>
    <w:rsid w:val="00C3247F"/>
    <w:rsid w:val="00C324C4"/>
    <w:rsid w:val="00C3289D"/>
    <w:rsid w:val="00C332C5"/>
    <w:rsid w:val="00C378A4"/>
    <w:rsid w:val="00C406FE"/>
    <w:rsid w:val="00C43A24"/>
    <w:rsid w:val="00C445B3"/>
    <w:rsid w:val="00C46637"/>
    <w:rsid w:val="00C47389"/>
    <w:rsid w:val="00C50A40"/>
    <w:rsid w:val="00C524FD"/>
    <w:rsid w:val="00C533EC"/>
    <w:rsid w:val="00C53DA6"/>
    <w:rsid w:val="00C54861"/>
    <w:rsid w:val="00C5498D"/>
    <w:rsid w:val="00C564A2"/>
    <w:rsid w:val="00C577BF"/>
    <w:rsid w:val="00C57B3C"/>
    <w:rsid w:val="00C6036A"/>
    <w:rsid w:val="00C60A5B"/>
    <w:rsid w:val="00C60F14"/>
    <w:rsid w:val="00C61EEF"/>
    <w:rsid w:val="00C629EB"/>
    <w:rsid w:val="00C63F46"/>
    <w:rsid w:val="00C64375"/>
    <w:rsid w:val="00C64E69"/>
    <w:rsid w:val="00C65102"/>
    <w:rsid w:val="00C65198"/>
    <w:rsid w:val="00C65B17"/>
    <w:rsid w:val="00C66142"/>
    <w:rsid w:val="00C6635A"/>
    <w:rsid w:val="00C66693"/>
    <w:rsid w:val="00C6683B"/>
    <w:rsid w:val="00C67E7C"/>
    <w:rsid w:val="00C70069"/>
    <w:rsid w:val="00C7185C"/>
    <w:rsid w:val="00C74F31"/>
    <w:rsid w:val="00C76EB7"/>
    <w:rsid w:val="00C77353"/>
    <w:rsid w:val="00C77854"/>
    <w:rsid w:val="00C82016"/>
    <w:rsid w:val="00C8212B"/>
    <w:rsid w:val="00C85BA0"/>
    <w:rsid w:val="00C87CEA"/>
    <w:rsid w:val="00C90067"/>
    <w:rsid w:val="00C90F61"/>
    <w:rsid w:val="00C9183F"/>
    <w:rsid w:val="00C92203"/>
    <w:rsid w:val="00C94759"/>
    <w:rsid w:val="00C95E13"/>
    <w:rsid w:val="00C96C6F"/>
    <w:rsid w:val="00CA0D47"/>
    <w:rsid w:val="00CA0FAB"/>
    <w:rsid w:val="00CA1800"/>
    <w:rsid w:val="00CA19E5"/>
    <w:rsid w:val="00CA24C1"/>
    <w:rsid w:val="00CA26C4"/>
    <w:rsid w:val="00CA29E3"/>
    <w:rsid w:val="00CA40E1"/>
    <w:rsid w:val="00CA4566"/>
    <w:rsid w:val="00CA4C96"/>
    <w:rsid w:val="00CA58FC"/>
    <w:rsid w:val="00CA6EB7"/>
    <w:rsid w:val="00CA757A"/>
    <w:rsid w:val="00CB0075"/>
    <w:rsid w:val="00CB4CC7"/>
    <w:rsid w:val="00CB6A55"/>
    <w:rsid w:val="00CB7BB7"/>
    <w:rsid w:val="00CB7BCE"/>
    <w:rsid w:val="00CC2B0B"/>
    <w:rsid w:val="00CC2C50"/>
    <w:rsid w:val="00CC2C94"/>
    <w:rsid w:val="00CC2F60"/>
    <w:rsid w:val="00CC3983"/>
    <w:rsid w:val="00CC67A1"/>
    <w:rsid w:val="00CC78BD"/>
    <w:rsid w:val="00CD0EE9"/>
    <w:rsid w:val="00CD22E8"/>
    <w:rsid w:val="00CD3365"/>
    <w:rsid w:val="00CD44EF"/>
    <w:rsid w:val="00CD5BC4"/>
    <w:rsid w:val="00CD731A"/>
    <w:rsid w:val="00CE2941"/>
    <w:rsid w:val="00CE294E"/>
    <w:rsid w:val="00CE4107"/>
    <w:rsid w:val="00CE61F1"/>
    <w:rsid w:val="00CE6B67"/>
    <w:rsid w:val="00CF0DE0"/>
    <w:rsid w:val="00CF11AD"/>
    <w:rsid w:val="00CF3E31"/>
    <w:rsid w:val="00CF4E88"/>
    <w:rsid w:val="00CF4E8D"/>
    <w:rsid w:val="00CF56A3"/>
    <w:rsid w:val="00CF6E08"/>
    <w:rsid w:val="00CF6F02"/>
    <w:rsid w:val="00D02681"/>
    <w:rsid w:val="00D04FD6"/>
    <w:rsid w:val="00D051C2"/>
    <w:rsid w:val="00D06276"/>
    <w:rsid w:val="00D07243"/>
    <w:rsid w:val="00D123BA"/>
    <w:rsid w:val="00D1278F"/>
    <w:rsid w:val="00D14DAA"/>
    <w:rsid w:val="00D1644D"/>
    <w:rsid w:val="00D165A4"/>
    <w:rsid w:val="00D16D23"/>
    <w:rsid w:val="00D16DDF"/>
    <w:rsid w:val="00D1783B"/>
    <w:rsid w:val="00D206AF"/>
    <w:rsid w:val="00D20CE4"/>
    <w:rsid w:val="00D21F8C"/>
    <w:rsid w:val="00D221AC"/>
    <w:rsid w:val="00D22ACA"/>
    <w:rsid w:val="00D26070"/>
    <w:rsid w:val="00D26489"/>
    <w:rsid w:val="00D27353"/>
    <w:rsid w:val="00D30D0F"/>
    <w:rsid w:val="00D3177B"/>
    <w:rsid w:val="00D31D54"/>
    <w:rsid w:val="00D33F73"/>
    <w:rsid w:val="00D35A5C"/>
    <w:rsid w:val="00D36F8F"/>
    <w:rsid w:val="00D37AF5"/>
    <w:rsid w:val="00D40E0F"/>
    <w:rsid w:val="00D421B3"/>
    <w:rsid w:val="00D42CC9"/>
    <w:rsid w:val="00D42E35"/>
    <w:rsid w:val="00D4319C"/>
    <w:rsid w:val="00D446D6"/>
    <w:rsid w:val="00D47964"/>
    <w:rsid w:val="00D47CD9"/>
    <w:rsid w:val="00D50DDE"/>
    <w:rsid w:val="00D514D0"/>
    <w:rsid w:val="00D515BF"/>
    <w:rsid w:val="00D51B52"/>
    <w:rsid w:val="00D53BF3"/>
    <w:rsid w:val="00D53FD3"/>
    <w:rsid w:val="00D54716"/>
    <w:rsid w:val="00D60174"/>
    <w:rsid w:val="00D624DF"/>
    <w:rsid w:val="00D634E7"/>
    <w:rsid w:val="00D662C0"/>
    <w:rsid w:val="00D70B66"/>
    <w:rsid w:val="00D70F97"/>
    <w:rsid w:val="00D72D4B"/>
    <w:rsid w:val="00D73A0B"/>
    <w:rsid w:val="00D758E9"/>
    <w:rsid w:val="00D762A4"/>
    <w:rsid w:val="00D762ED"/>
    <w:rsid w:val="00D800CA"/>
    <w:rsid w:val="00D80D20"/>
    <w:rsid w:val="00D81620"/>
    <w:rsid w:val="00D830A1"/>
    <w:rsid w:val="00D8340E"/>
    <w:rsid w:val="00D84752"/>
    <w:rsid w:val="00D84A5A"/>
    <w:rsid w:val="00D902CF"/>
    <w:rsid w:val="00D9040C"/>
    <w:rsid w:val="00D90D51"/>
    <w:rsid w:val="00D91806"/>
    <w:rsid w:val="00D91980"/>
    <w:rsid w:val="00D92E99"/>
    <w:rsid w:val="00D948E5"/>
    <w:rsid w:val="00D959CF"/>
    <w:rsid w:val="00D95D51"/>
    <w:rsid w:val="00D97CB7"/>
    <w:rsid w:val="00DA0812"/>
    <w:rsid w:val="00DA328F"/>
    <w:rsid w:val="00DA449E"/>
    <w:rsid w:val="00DA4A4F"/>
    <w:rsid w:val="00DA5983"/>
    <w:rsid w:val="00DA6556"/>
    <w:rsid w:val="00DA680B"/>
    <w:rsid w:val="00DB37DC"/>
    <w:rsid w:val="00DB59D0"/>
    <w:rsid w:val="00DB7A14"/>
    <w:rsid w:val="00DB7ADD"/>
    <w:rsid w:val="00DC072B"/>
    <w:rsid w:val="00DC1D6A"/>
    <w:rsid w:val="00DC253B"/>
    <w:rsid w:val="00DC4F8B"/>
    <w:rsid w:val="00DC686D"/>
    <w:rsid w:val="00DC7659"/>
    <w:rsid w:val="00DC7C5F"/>
    <w:rsid w:val="00DD031B"/>
    <w:rsid w:val="00DD178F"/>
    <w:rsid w:val="00DD1ED5"/>
    <w:rsid w:val="00DD34A2"/>
    <w:rsid w:val="00DD3637"/>
    <w:rsid w:val="00DD3CDA"/>
    <w:rsid w:val="00DD535A"/>
    <w:rsid w:val="00DD67A7"/>
    <w:rsid w:val="00DD6D38"/>
    <w:rsid w:val="00DD6E3C"/>
    <w:rsid w:val="00DE19B8"/>
    <w:rsid w:val="00DE481C"/>
    <w:rsid w:val="00DE4C3C"/>
    <w:rsid w:val="00DE4CF6"/>
    <w:rsid w:val="00DE5AA5"/>
    <w:rsid w:val="00DE688E"/>
    <w:rsid w:val="00DE6A86"/>
    <w:rsid w:val="00DE78D2"/>
    <w:rsid w:val="00DF0F61"/>
    <w:rsid w:val="00DF1A76"/>
    <w:rsid w:val="00DF3479"/>
    <w:rsid w:val="00DF4358"/>
    <w:rsid w:val="00DF4E1A"/>
    <w:rsid w:val="00DF53C7"/>
    <w:rsid w:val="00DF53EA"/>
    <w:rsid w:val="00E000D7"/>
    <w:rsid w:val="00E04C64"/>
    <w:rsid w:val="00E04D56"/>
    <w:rsid w:val="00E060BD"/>
    <w:rsid w:val="00E06C02"/>
    <w:rsid w:val="00E07352"/>
    <w:rsid w:val="00E10365"/>
    <w:rsid w:val="00E14B85"/>
    <w:rsid w:val="00E1586A"/>
    <w:rsid w:val="00E159F0"/>
    <w:rsid w:val="00E15E84"/>
    <w:rsid w:val="00E16351"/>
    <w:rsid w:val="00E21ABC"/>
    <w:rsid w:val="00E21F40"/>
    <w:rsid w:val="00E22186"/>
    <w:rsid w:val="00E246A0"/>
    <w:rsid w:val="00E24CB6"/>
    <w:rsid w:val="00E2735F"/>
    <w:rsid w:val="00E30181"/>
    <w:rsid w:val="00E306C5"/>
    <w:rsid w:val="00E32D1C"/>
    <w:rsid w:val="00E3345C"/>
    <w:rsid w:val="00E335F6"/>
    <w:rsid w:val="00E33F8A"/>
    <w:rsid w:val="00E37512"/>
    <w:rsid w:val="00E37693"/>
    <w:rsid w:val="00E377EA"/>
    <w:rsid w:val="00E408CC"/>
    <w:rsid w:val="00E41463"/>
    <w:rsid w:val="00E42826"/>
    <w:rsid w:val="00E4564A"/>
    <w:rsid w:val="00E46487"/>
    <w:rsid w:val="00E47285"/>
    <w:rsid w:val="00E47771"/>
    <w:rsid w:val="00E51A68"/>
    <w:rsid w:val="00E52DE6"/>
    <w:rsid w:val="00E52FC4"/>
    <w:rsid w:val="00E55A8D"/>
    <w:rsid w:val="00E6097D"/>
    <w:rsid w:val="00E6239F"/>
    <w:rsid w:val="00E6393B"/>
    <w:rsid w:val="00E64131"/>
    <w:rsid w:val="00E645F8"/>
    <w:rsid w:val="00E648EF"/>
    <w:rsid w:val="00E6572E"/>
    <w:rsid w:val="00E65AA3"/>
    <w:rsid w:val="00E6755C"/>
    <w:rsid w:val="00E7257B"/>
    <w:rsid w:val="00E72FAF"/>
    <w:rsid w:val="00E74001"/>
    <w:rsid w:val="00E74676"/>
    <w:rsid w:val="00E75C4C"/>
    <w:rsid w:val="00E801F3"/>
    <w:rsid w:val="00E80666"/>
    <w:rsid w:val="00E8070D"/>
    <w:rsid w:val="00E830EC"/>
    <w:rsid w:val="00E832D8"/>
    <w:rsid w:val="00E8348D"/>
    <w:rsid w:val="00E83955"/>
    <w:rsid w:val="00E83A56"/>
    <w:rsid w:val="00E84E4C"/>
    <w:rsid w:val="00E8500D"/>
    <w:rsid w:val="00E86F2F"/>
    <w:rsid w:val="00E8705D"/>
    <w:rsid w:val="00E90FEF"/>
    <w:rsid w:val="00E9105E"/>
    <w:rsid w:val="00E91DC7"/>
    <w:rsid w:val="00E9314B"/>
    <w:rsid w:val="00E95131"/>
    <w:rsid w:val="00E960B9"/>
    <w:rsid w:val="00E969F7"/>
    <w:rsid w:val="00E97A33"/>
    <w:rsid w:val="00EA0544"/>
    <w:rsid w:val="00EA140D"/>
    <w:rsid w:val="00EA6C98"/>
    <w:rsid w:val="00EA6D69"/>
    <w:rsid w:val="00EA7143"/>
    <w:rsid w:val="00EA7F03"/>
    <w:rsid w:val="00EB0EE0"/>
    <w:rsid w:val="00EB1062"/>
    <w:rsid w:val="00EB1AC9"/>
    <w:rsid w:val="00EB2342"/>
    <w:rsid w:val="00EB26F0"/>
    <w:rsid w:val="00EB2BD0"/>
    <w:rsid w:val="00EB2FAF"/>
    <w:rsid w:val="00EB6F83"/>
    <w:rsid w:val="00EB7127"/>
    <w:rsid w:val="00EC068F"/>
    <w:rsid w:val="00EC0972"/>
    <w:rsid w:val="00EC140B"/>
    <w:rsid w:val="00EC44FB"/>
    <w:rsid w:val="00EC53F2"/>
    <w:rsid w:val="00EC6CA0"/>
    <w:rsid w:val="00EC6E8B"/>
    <w:rsid w:val="00ED0AF3"/>
    <w:rsid w:val="00ED0F36"/>
    <w:rsid w:val="00ED182A"/>
    <w:rsid w:val="00ED2323"/>
    <w:rsid w:val="00ED4080"/>
    <w:rsid w:val="00ED40D6"/>
    <w:rsid w:val="00ED4275"/>
    <w:rsid w:val="00ED4306"/>
    <w:rsid w:val="00ED43B5"/>
    <w:rsid w:val="00ED448F"/>
    <w:rsid w:val="00ED4745"/>
    <w:rsid w:val="00ED5533"/>
    <w:rsid w:val="00ED6597"/>
    <w:rsid w:val="00ED7D7E"/>
    <w:rsid w:val="00EE067B"/>
    <w:rsid w:val="00EE0C2F"/>
    <w:rsid w:val="00EE200B"/>
    <w:rsid w:val="00EE24DA"/>
    <w:rsid w:val="00EE3A5C"/>
    <w:rsid w:val="00EE4B94"/>
    <w:rsid w:val="00EE5689"/>
    <w:rsid w:val="00EE7BF6"/>
    <w:rsid w:val="00EF0311"/>
    <w:rsid w:val="00EF1968"/>
    <w:rsid w:val="00EF227E"/>
    <w:rsid w:val="00EF240C"/>
    <w:rsid w:val="00EF2532"/>
    <w:rsid w:val="00EF2E18"/>
    <w:rsid w:val="00EF2FEB"/>
    <w:rsid w:val="00EF38B9"/>
    <w:rsid w:val="00EF4B29"/>
    <w:rsid w:val="00EF530A"/>
    <w:rsid w:val="00EF6843"/>
    <w:rsid w:val="00EF71C6"/>
    <w:rsid w:val="00EF79FC"/>
    <w:rsid w:val="00F00840"/>
    <w:rsid w:val="00F025EB"/>
    <w:rsid w:val="00F02E2D"/>
    <w:rsid w:val="00F034D5"/>
    <w:rsid w:val="00F03F26"/>
    <w:rsid w:val="00F0423B"/>
    <w:rsid w:val="00F07D3C"/>
    <w:rsid w:val="00F07DD0"/>
    <w:rsid w:val="00F07DD5"/>
    <w:rsid w:val="00F10368"/>
    <w:rsid w:val="00F10C9E"/>
    <w:rsid w:val="00F10D63"/>
    <w:rsid w:val="00F118EF"/>
    <w:rsid w:val="00F13025"/>
    <w:rsid w:val="00F1356E"/>
    <w:rsid w:val="00F15515"/>
    <w:rsid w:val="00F15693"/>
    <w:rsid w:val="00F16B58"/>
    <w:rsid w:val="00F2103B"/>
    <w:rsid w:val="00F22708"/>
    <w:rsid w:val="00F230D9"/>
    <w:rsid w:val="00F24639"/>
    <w:rsid w:val="00F26A74"/>
    <w:rsid w:val="00F26DB7"/>
    <w:rsid w:val="00F31863"/>
    <w:rsid w:val="00F31E13"/>
    <w:rsid w:val="00F33145"/>
    <w:rsid w:val="00F33CAF"/>
    <w:rsid w:val="00F35EF7"/>
    <w:rsid w:val="00F35F57"/>
    <w:rsid w:val="00F40A80"/>
    <w:rsid w:val="00F42100"/>
    <w:rsid w:val="00F42449"/>
    <w:rsid w:val="00F45003"/>
    <w:rsid w:val="00F5160C"/>
    <w:rsid w:val="00F51A5C"/>
    <w:rsid w:val="00F528B5"/>
    <w:rsid w:val="00F5481A"/>
    <w:rsid w:val="00F54823"/>
    <w:rsid w:val="00F554F4"/>
    <w:rsid w:val="00F568A1"/>
    <w:rsid w:val="00F56DA1"/>
    <w:rsid w:val="00F57516"/>
    <w:rsid w:val="00F61C85"/>
    <w:rsid w:val="00F62699"/>
    <w:rsid w:val="00F63FD6"/>
    <w:rsid w:val="00F64494"/>
    <w:rsid w:val="00F659B7"/>
    <w:rsid w:val="00F67E41"/>
    <w:rsid w:val="00F67EBD"/>
    <w:rsid w:val="00F70D23"/>
    <w:rsid w:val="00F70EA7"/>
    <w:rsid w:val="00F70F53"/>
    <w:rsid w:val="00F71F04"/>
    <w:rsid w:val="00F72110"/>
    <w:rsid w:val="00F72244"/>
    <w:rsid w:val="00F723CD"/>
    <w:rsid w:val="00F72986"/>
    <w:rsid w:val="00F74DF7"/>
    <w:rsid w:val="00F75BD3"/>
    <w:rsid w:val="00F76371"/>
    <w:rsid w:val="00F80060"/>
    <w:rsid w:val="00F800E1"/>
    <w:rsid w:val="00F80F3E"/>
    <w:rsid w:val="00F83332"/>
    <w:rsid w:val="00F83DAA"/>
    <w:rsid w:val="00F856C4"/>
    <w:rsid w:val="00F8716F"/>
    <w:rsid w:val="00F873EF"/>
    <w:rsid w:val="00F906E1"/>
    <w:rsid w:val="00F91D0A"/>
    <w:rsid w:val="00F92021"/>
    <w:rsid w:val="00F92616"/>
    <w:rsid w:val="00F92814"/>
    <w:rsid w:val="00F93A96"/>
    <w:rsid w:val="00F94AA3"/>
    <w:rsid w:val="00F952F8"/>
    <w:rsid w:val="00F957C3"/>
    <w:rsid w:val="00F95BC5"/>
    <w:rsid w:val="00F97BD0"/>
    <w:rsid w:val="00FA06F3"/>
    <w:rsid w:val="00FA0A4E"/>
    <w:rsid w:val="00FA1312"/>
    <w:rsid w:val="00FA2A46"/>
    <w:rsid w:val="00FA4F28"/>
    <w:rsid w:val="00FA60D2"/>
    <w:rsid w:val="00FA6428"/>
    <w:rsid w:val="00FA6974"/>
    <w:rsid w:val="00FA78D8"/>
    <w:rsid w:val="00FA79E5"/>
    <w:rsid w:val="00FB1190"/>
    <w:rsid w:val="00FB12C8"/>
    <w:rsid w:val="00FB1E4F"/>
    <w:rsid w:val="00FB27DD"/>
    <w:rsid w:val="00FB335D"/>
    <w:rsid w:val="00FB33E1"/>
    <w:rsid w:val="00FB3456"/>
    <w:rsid w:val="00FB4354"/>
    <w:rsid w:val="00FB4565"/>
    <w:rsid w:val="00FB52C5"/>
    <w:rsid w:val="00FB6CBE"/>
    <w:rsid w:val="00FB7CE0"/>
    <w:rsid w:val="00FC029D"/>
    <w:rsid w:val="00FC3EBC"/>
    <w:rsid w:val="00FC3FB6"/>
    <w:rsid w:val="00FC49AE"/>
    <w:rsid w:val="00FC4D19"/>
    <w:rsid w:val="00FC4F62"/>
    <w:rsid w:val="00FD0357"/>
    <w:rsid w:val="00FD32AD"/>
    <w:rsid w:val="00FD343E"/>
    <w:rsid w:val="00FD4A50"/>
    <w:rsid w:val="00FD524C"/>
    <w:rsid w:val="00FD69E8"/>
    <w:rsid w:val="00FE19D7"/>
    <w:rsid w:val="00FE26EC"/>
    <w:rsid w:val="00FE39B5"/>
    <w:rsid w:val="00FE68A4"/>
    <w:rsid w:val="00FF0820"/>
    <w:rsid w:val="00FF0908"/>
    <w:rsid w:val="00FF1185"/>
    <w:rsid w:val="00FF376D"/>
    <w:rsid w:val="00FF59A0"/>
    <w:rsid w:val="00FF6211"/>
    <w:rsid w:val="01F1268E"/>
    <w:rsid w:val="022E0DAB"/>
    <w:rsid w:val="03196F07"/>
    <w:rsid w:val="035B1CE5"/>
    <w:rsid w:val="03802AE2"/>
    <w:rsid w:val="040D00EE"/>
    <w:rsid w:val="04101BB7"/>
    <w:rsid w:val="04473845"/>
    <w:rsid w:val="045E5F40"/>
    <w:rsid w:val="050B1CD4"/>
    <w:rsid w:val="053C5586"/>
    <w:rsid w:val="062D71EF"/>
    <w:rsid w:val="06983EAA"/>
    <w:rsid w:val="070E6F20"/>
    <w:rsid w:val="0721282E"/>
    <w:rsid w:val="07541337"/>
    <w:rsid w:val="07D33494"/>
    <w:rsid w:val="080C6B6A"/>
    <w:rsid w:val="081859DF"/>
    <w:rsid w:val="08710382"/>
    <w:rsid w:val="08756B82"/>
    <w:rsid w:val="08852948"/>
    <w:rsid w:val="08F97D45"/>
    <w:rsid w:val="09176551"/>
    <w:rsid w:val="09516E1B"/>
    <w:rsid w:val="0961574F"/>
    <w:rsid w:val="096477B1"/>
    <w:rsid w:val="0A7D7D7B"/>
    <w:rsid w:val="0AD34DE7"/>
    <w:rsid w:val="0AEF0818"/>
    <w:rsid w:val="0B0614D4"/>
    <w:rsid w:val="0B26707E"/>
    <w:rsid w:val="0BAB4DCA"/>
    <w:rsid w:val="0C4E7E44"/>
    <w:rsid w:val="0CA16AA5"/>
    <w:rsid w:val="0CA86EA2"/>
    <w:rsid w:val="0CB3217A"/>
    <w:rsid w:val="0CBB595F"/>
    <w:rsid w:val="0CDC0FD4"/>
    <w:rsid w:val="0D046461"/>
    <w:rsid w:val="0D9F6EC3"/>
    <w:rsid w:val="0DF540CC"/>
    <w:rsid w:val="0E6553AD"/>
    <w:rsid w:val="0E833A2A"/>
    <w:rsid w:val="0EA121B2"/>
    <w:rsid w:val="0F857FF2"/>
    <w:rsid w:val="0FDB7415"/>
    <w:rsid w:val="10221EE0"/>
    <w:rsid w:val="10831B57"/>
    <w:rsid w:val="10D61D5D"/>
    <w:rsid w:val="11023B11"/>
    <w:rsid w:val="11750FCE"/>
    <w:rsid w:val="1188307C"/>
    <w:rsid w:val="118C15CB"/>
    <w:rsid w:val="11927F33"/>
    <w:rsid w:val="11B7101A"/>
    <w:rsid w:val="11CA333C"/>
    <w:rsid w:val="11FE48A3"/>
    <w:rsid w:val="124B075F"/>
    <w:rsid w:val="12791770"/>
    <w:rsid w:val="133E2072"/>
    <w:rsid w:val="134648AC"/>
    <w:rsid w:val="13C265C6"/>
    <w:rsid w:val="14BE3DB2"/>
    <w:rsid w:val="14C70E41"/>
    <w:rsid w:val="15507A0D"/>
    <w:rsid w:val="159468C1"/>
    <w:rsid w:val="16130806"/>
    <w:rsid w:val="16A02C0C"/>
    <w:rsid w:val="179523B6"/>
    <w:rsid w:val="17CC2342"/>
    <w:rsid w:val="18427A2F"/>
    <w:rsid w:val="185C36C6"/>
    <w:rsid w:val="18B67417"/>
    <w:rsid w:val="19372BDB"/>
    <w:rsid w:val="199A06F6"/>
    <w:rsid w:val="19A50E19"/>
    <w:rsid w:val="19D63004"/>
    <w:rsid w:val="1A2C70C8"/>
    <w:rsid w:val="1A3B246E"/>
    <w:rsid w:val="1A5E03B7"/>
    <w:rsid w:val="1A82367B"/>
    <w:rsid w:val="1AE11AA8"/>
    <w:rsid w:val="1AF71B85"/>
    <w:rsid w:val="1B812E7F"/>
    <w:rsid w:val="1BCE21DA"/>
    <w:rsid w:val="1C4F415F"/>
    <w:rsid w:val="1C762014"/>
    <w:rsid w:val="1C7C095D"/>
    <w:rsid w:val="1D20523A"/>
    <w:rsid w:val="1DB64506"/>
    <w:rsid w:val="1DFA7398"/>
    <w:rsid w:val="1EC208A6"/>
    <w:rsid w:val="1F2C467B"/>
    <w:rsid w:val="1F2C66A0"/>
    <w:rsid w:val="1F3955A2"/>
    <w:rsid w:val="1F3F5AEF"/>
    <w:rsid w:val="1F933A28"/>
    <w:rsid w:val="1FBF453A"/>
    <w:rsid w:val="1FD01D46"/>
    <w:rsid w:val="20224B7E"/>
    <w:rsid w:val="20230F6D"/>
    <w:rsid w:val="202D6FD9"/>
    <w:rsid w:val="20E562DB"/>
    <w:rsid w:val="212918FE"/>
    <w:rsid w:val="217615D6"/>
    <w:rsid w:val="21AB155E"/>
    <w:rsid w:val="21BD3BC6"/>
    <w:rsid w:val="21E36440"/>
    <w:rsid w:val="228F6446"/>
    <w:rsid w:val="229E55CA"/>
    <w:rsid w:val="22B568E0"/>
    <w:rsid w:val="22D87DED"/>
    <w:rsid w:val="23024E6A"/>
    <w:rsid w:val="23635AB3"/>
    <w:rsid w:val="239E04F4"/>
    <w:rsid w:val="23EC05FD"/>
    <w:rsid w:val="24145500"/>
    <w:rsid w:val="2453425F"/>
    <w:rsid w:val="24AE27A9"/>
    <w:rsid w:val="24F86524"/>
    <w:rsid w:val="25070E5D"/>
    <w:rsid w:val="26525C14"/>
    <w:rsid w:val="268A665F"/>
    <w:rsid w:val="26E94BFE"/>
    <w:rsid w:val="26EA5893"/>
    <w:rsid w:val="27147ED7"/>
    <w:rsid w:val="272F3148"/>
    <w:rsid w:val="274C2B57"/>
    <w:rsid w:val="278B601D"/>
    <w:rsid w:val="27D01665"/>
    <w:rsid w:val="27E71FE2"/>
    <w:rsid w:val="28965108"/>
    <w:rsid w:val="28E03E9F"/>
    <w:rsid w:val="28E1519D"/>
    <w:rsid w:val="297F777F"/>
    <w:rsid w:val="2A3359D7"/>
    <w:rsid w:val="2A675BA0"/>
    <w:rsid w:val="2A7A2160"/>
    <w:rsid w:val="2AA00227"/>
    <w:rsid w:val="2B1A4DE9"/>
    <w:rsid w:val="2B730675"/>
    <w:rsid w:val="2C8F4731"/>
    <w:rsid w:val="2D8432FA"/>
    <w:rsid w:val="2D8C5315"/>
    <w:rsid w:val="2D95643B"/>
    <w:rsid w:val="2DC773DC"/>
    <w:rsid w:val="2DE106C9"/>
    <w:rsid w:val="2E5F0C01"/>
    <w:rsid w:val="2EA05D7E"/>
    <w:rsid w:val="2EAC6191"/>
    <w:rsid w:val="2EB72624"/>
    <w:rsid w:val="2EFC28ED"/>
    <w:rsid w:val="2F841A5E"/>
    <w:rsid w:val="30231A6C"/>
    <w:rsid w:val="30E965CE"/>
    <w:rsid w:val="30F911F5"/>
    <w:rsid w:val="310C0769"/>
    <w:rsid w:val="314C23D2"/>
    <w:rsid w:val="32002A73"/>
    <w:rsid w:val="32646F37"/>
    <w:rsid w:val="327731DE"/>
    <w:rsid w:val="32AF09F4"/>
    <w:rsid w:val="32BF53D9"/>
    <w:rsid w:val="332538EF"/>
    <w:rsid w:val="336D1887"/>
    <w:rsid w:val="339D46F8"/>
    <w:rsid w:val="33D421A3"/>
    <w:rsid w:val="343E610B"/>
    <w:rsid w:val="34545E25"/>
    <w:rsid w:val="346B4336"/>
    <w:rsid w:val="3490195A"/>
    <w:rsid w:val="34E11C63"/>
    <w:rsid w:val="35037002"/>
    <w:rsid w:val="354F1987"/>
    <w:rsid w:val="35DA1FD3"/>
    <w:rsid w:val="360F71D3"/>
    <w:rsid w:val="36400CEB"/>
    <w:rsid w:val="3640650F"/>
    <w:rsid w:val="36495884"/>
    <w:rsid w:val="36913B8F"/>
    <w:rsid w:val="36FD28A3"/>
    <w:rsid w:val="36FE3EA5"/>
    <w:rsid w:val="371B42F4"/>
    <w:rsid w:val="37AD5028"/>
    <w:rsid w:val="37F81A2D"/>
    <w:rsid w:val="38274CF5"/>
    <w:rsid w:val="38EF77E6"/>
    <w:rsid w:val="390211C1"/>
    <w:rsid w:val="391F7478"/>
    <w:rsid w:val="393F251C"/>
    <w:rsid w:val="39E9692C"/>
    <w:rsid w:val="3A29484B"/>
    <w:rsid w:val="3AD936F8"/>
    <w:rsid w:val="3AEC01CF"/>
    <w:rsid w:val="3B297A4D"/>
    <w:rsid w:val="3B4761EF"/>
    <w:rsid w:val="3BE06DCD"/>
    <w:rsid w:val="3C4537E2"/>
    <w:rsid w:val="3C5C570A"/>
    <w:rsid w:val="3C5E7084"/>
    <w:rsid w:val="3D3659E4"/>
    <w:rsid w:val="3D424900"/>
    <w:rsid w:val="3D776B9D"/>
    <w:rsid w:val="3D7F7370"/>
    <w:rsid w:val="3E595E0B"/>
    <w:rsid w:val="3EC62C18"/>
    <w:rsid w:val="3F1614FB"/>
    <w:rsid w:val="3F195722"/>
    <w:rsid w:val="3F8D0EF7"/>
    <w:rsid w:val="3FA47EAA"/>
    <w:rsid w:val="3FC6067B"/>
    <w:rsid w:val="3FCC4E39"/>
    <w:rsid w:val="401E545D"/>
    <w:rsid w:val="40577F27"/>
    <w:rsid w:val="408625E5"/>
    <w:rsid w:val="40DD0AA9"/>
    <w:rsid w:val="419D2BA4"/>
    <w:rsid w:val="419E1DAA"/>
    <w:rsid w:val="41C73F5A"/>
    <w:rsid w:val="41F26E27"/>
    <w:rsid w:val="42106EA0"/>
    <w:rsid w:val="42416F43"/>
    <w:rsid w:val="424E557E"/>
    <w:rsid w:val="42D77C69"/>
    <w:rsid w:val="433B01F8"/>
    <w:rsid w:val="433C27C0"/>
    <w:rsid w:val="433E4180"/>
    <w:rsid w:val="434910F5"/>
    <w:rsid w:val="437A1147"/>
    <w:rsid w:val="437D62C0"/>
    <w:rsid w:val="43844A8D"/>
    <w:rsid w:val="43EC041C"/>
    <w:rsid w:val="44121145"/>
    <w:rsid w:val="443B611F"/>
    <w:rsid w:val="4454377A"/>
    <w:rsid w:val="44623562"/>
    <w:rsid w:val="44761B1B"/>
    <w:rsid w:val="44B87626"/>
    <w:rsid w:val="45161C2E"/>
    <w:rsid w:val="452B1BA6"/>
    <w:rsid w:val="453273D9"/>
    <w:rsid w:val="457A2E49"/>
    <w:rsid w:val="45EA7371"/>
    <w:rsid w:val="45FA0D0B"/>
    <w:rsid w:val="466435C2"/>
    <w:rsid w:val="46842982"/>
    <w:rsid w:val="46922B79"/>
    <w:rsid w:val="46B310A6"/>
    <w:rsid w:val="46F954C9"/>
    <w:rsid w:val="474451A1"/>
    <w:rsid w:val="475102B3"/>
    <w:rsid w:val="47563FD7"/>
    <w:rsid w:val="476E4BBE"/>
    <w:rsid w:val="47703CF4"/>
    <w:rsid w:val="485A2984"/>
    <w:rsid w:val="489650B8"/>
    <w:rsid w:val="48AB1789"/>
    <w:rsid w:val="49357D85"/>
    <w:rsid w:val="497F1F6E"/>
    <w:rsid w:val="49AA023D"/>
    <w:rsid w:val="49C61CC3"/>
    <w:rsid w:val="4A1368BF"/>
    <w:rsid w:val="4A5E3812"/>
    <w:rsid w:val="4A722025"/>
    <w:rsid w:val="4A7F3599"/>
    <w:rsid w:val="4B2969B8"/>
    <w:rsid w:val="4B3C5D17"/>
    <w:rsid w:val="4C534154"/>
    <w:rsid w:val="4CDA552C"/>
    <w:rsid w:val="4D2128EA"/>
    <w:rsid w:val="4D2D32BF"/>
    <w:rsid w:val="4D7B566F"/>
    <w:rsid w:val="4DE70B18"/>
    <w:rsid w:val="4E22162D"/>
    <w:rsid w:val="4E9234C3"/>
    <w:rsid w:val="4EA815CC"/>
    <w:rsid w:val="4ECC43FA"/>
    <w:rsid w:val="4F464A89"/>
    <w:rsid w:val="504479E3"/>
    <w:rsid w:val="508B452F"/>
    <w:rsid w:val="50E6508B"/>
    <w:rsid w:val="513960E8"/>
    <w:rsid w:val="513B4BE2"/>
    <w:rsid w:val="51AA4E4C"/>
    <w:rsid w:val="51B003BE"/>
    <w:rsid w:val="523E6BBC"/>
    <w:rsid w:val="524D194C"/>
    <w:rsid w:val="52E11E52"/>
    <w:rsid w:val="534A3B3F"/>
    <w:rsid w:val="53E32C05"/>
    <w:rsid w:val="543C7C24"/>
    <w:rsid w:val="545118E0"/>
    <w:rsid w:val="54AA4903"/>
    <w:rsid w:val="54C067AF"/>
    <w:rsid w:val="54D87473"/>
    <w:rsid w:val="558C56E0"/>
    <w:rsid w:val="55D84B09"/>
    <w:rsid w:val="56067310"/>
    <w:rsid w:val="56824254"/>
    <w:rsid w:val="56955A19"/>
    <w:rsid w:val="569E238C"/>
    <w:rsid w:val="56A56F96"/>
    <w:rsid w:val="56B30171"/>
    <w:rsid w:val="571D5BC5"/>
    <w:rsid w:val="573B6B77"/>
    <w:rsid w:val="5750429E"/>
    <w:rsid w:val="57626E74"/>
    <w:rsid w:val="57E75F4D"/>
    <w:rsid w:val="58561408"/>
    <w:rsid w:val="585D3E03"/>
    <w:rsid w:val="58E9421A"/>
    <w:rsid w:val="59124368"/>
    <w:rsid w:val="5922028D"/>
    <w:rsid w:val="59340387"/>
    <w:rsid w:val="593530F2"/>
    <w:rsid w:val="595C5586"/>
    <w:rsid w:val="596D0FA9"/>
    <w:rsid w:val="5A1C38A5"/>
    <w:rsid w:val="5A255C83"/>
    <w:rsid w:val="5A8F1E4F"/>
    <w:rsid w:val="5AAF3F4B"/>
    <w:rsid w:val="5ABC1339"/>
    <w:rsid w:val="5B352BDD"/>
    <w:rsid w:val="5C0623D8"/>
    <w:rsid w:val="5D111E8F"/>
    <w:rsid w:val="5D610403"/>
    <w:rsid w:val="5D894017"/>
    <w:rsid w:val="5D921BFF"/>
    <w:rsid w:val="5DC5134D"/>
    <w:rsid w:val="5DC855E3"/>
    <w:rsid w:val="5DEB4609"/>
    <w:rsid w:val="5E0A4019"/>
    <w:rsid w:val="5E1016DA"/>
    <w:rsid w:val="5E77523A"/>
    <w:rsid w:val="5E9D1993"/>
    <w:rsid w:val="5F180F96"/>
    <w:rsid w:val="5FEC1F0A"/>
    <w:rsid w:val="600B3E47"/>
    <w:rsid w:val="606A1F45"/>
    <w:rsid w:val="61A378B6"/>
    <w:rsid w:val="62137FEA"/>
    <w:rsid w:val="6246705A"/>
    <w:rsid w:val="62F1209D"/>
    <w:rsid w:val="631321A0"/>
    <w:rsid w:val="6333639E"/>
    <w:rsid w:val="63420902"/>
    <w:rsid w:val="639F6592"/>
    <w:rsid w:val="63B612F2"/>
    <w:rsid w:val="63CF1338"/>
    <w:rsid w:val="63DD3DD9"/>
    <w:rsid w:val="64155DB5"/>
    <w:rsid w:val="64726F43"/>
    <w:rsid w:val="64D3579B"/>
    <w:rsid w:val="64DD35B1"/>
    <w:rsid w:val="656A5114"/>
    <w:rsid w:val="65C442FB"/>
    <w:rsid w:val="660725E3"/>
    <w:rsid w:val="661A4B91"/>
    <w:rsid w:val="66A0471B"/>
    <w:rsid w:val="66C67529"/>
    <w:rsid w:val="670C65D6"/>
    <w:rsid w:val="6762457B"/>
    <w:rsid w:val="67627252"/>
    <w:rsid w:val="677F1909"/>
    <w:rsid w:val="67A04E3D"/>
    <w:rsid w:val="68196038"/>
    <w:rsid w:val="682C3AD4"/>
    <w:rsid w:val="68613679"/>
    <w:rsid w:val="68760E89"/>
    <w:rsid w:val="68BA153C"/>
    <w:rsid w:val="68C256D8"/>
    <w:rsid w:val="68D274FB"/>
    <w:rsid w:val="68D54C3E"/>
    <w:rsid w:val="69C45FA2"/>
    <w:rsid w:val="6A915DF3"/>
    <w:rsid w:val="6B1E0BC5"/>
    <w:rsid w:val="6B26462C"/>
    <w:rsid w:val="6B264A3A"/>
    <w:rsid w:val="6BC17579"/>
    <w:rsid w:val="6C0B643D"/>
    <w:rsid w:val="6CA67BE1"/>
    <w:rsid w:val="6CD24E7A"/>
    <w:rsid w:val="6D0843F7"/>
    <w:rsid w:val="6D256825"/>
    <w:rsid w:val="6D2C0311"/>
    <w:rsid w:val="6D4D22D2"/>
    <w:rsid w:val="6DFF2788"/>
    <w:rsid w:val="6E2B0B07"/>
    <w:rsid w:val="6E4542A4"/>
    <w:rsid w:val="6E6733A0"/>
    <w:rsid w:val="6E8E69EC"/>
    <w:rsid w:val="6EDC3D8E"/>
    <w:rsid w:val="6F160C64"/>
    <w:rsid w:val="6F7570E6"/>
    <w:rsid w:val="6F855AF8"/>
    <w:rsid w:val="711B41E8"/>
    <w:rsid w:val="71286BDC"/>
    <w:rsid w:val="71FA5E12"/>
    <w:rsid w:val="72513B7B"/>
    <w:rsid w:val="727103AB"/>
    <w:rsid w:val="72D07765"/>
    <w:rsid w:val="72D22688"/>
    <w:rsid w:val="733A434A"/>
    <w:rsid w:val="73860E12"/>
    <w:rsid w:val="73F27EF4"/>
    <w:rsid w:val="744B4275"/>
    <w:rsid w:val="746740F9"/>
    <w:rsid w:val="749271F3"/>
    <w:rsid w:val="74C8055A"/>
    <w:rsid w:val="74E27C24"/>
    <w:rsid w:val="76227727"/>
    <w:rsid w:val="762B2267"/>
    <w:rsid w:val="76B01217"/>
    <w:rsid w:val="77002473"/>
    <w:rsid w:val="773B3BA8"/>
    <w:rsid w:val="77A21895"/>
    <w:rsid w:val="77C41863"/>
    <w:rsid w:val="77ED0DBA"/>
    <w:rsid w:val="7806618F"/>
    <w:rsid w:val="782D565A"/>
    <w:rsid w:val="78482FD0"/>
    <w:rsid w:val="785C701E"/>
    <w:rsid w:val="7887496A"/>
    <w:rsid w:val="788A485A"/>
    <w:rsid w:val="7945303A"/>
    <w:rsid w:val="795E31C8"/>
    <w:rsid w:val="79B42D63"/>
    <w:rsid w:val="79F011AD"/>
    <w:rsid w:val="7A541820"/>
    <w:rsid w:val="7AB44136"/>
    <w:rsid w:val="7AE84B59"/>
    <w:rsid w:val="7AEC0043"/>
    <w:rsid w:val="7B0507CC"/>
    <w:rsid w:val="7B220B5C"/>
    <w:rsid w:val="7B5C5D8A"/>
    <w:rsid w:val="7B7725A8"/>
    <w:rsid w:val="7B881AD9"/>
    <w:rsid w:val="7BD858DD"/>
    <w:rsid w:val="7C072086"/>
    <w:rsid w:val="7C580C2D"/>
    <w:rsid w:val="7C8A4A8E"/>
    <w:rsid w:val="7C9D34C4"/>
    <w:rsid w:val="7CD335AB"/>
    <w:rsid w:val="7CED7E23"/>
    <w:rsid w:val="7D2D2B18"/>
    <w:rsid w:val="7D7B648E"/>
    <w:rsid w:val="7DF9570E"/>
    <w:rsid w:val="7E9D2879"/>
    <w:rsid w:val="7EA65570"/>
    <w:rsid w:val="7FB46BB3"/>
    <w:rsid w:val="7FC515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1"/>
    <w:qFormat/>
    <w:uiPriority w:val="0"/>
    <w:pPr>
      <w:keepNext/>
      <w:keepLines/>
      <w:spacing w:before="340" w:beforeLines="0" w:after="330" w:afterLines="0" w:line="360" w:lineRule="auto"/>
      <w:jc w:val="center"/>
      <w:outlineLvl w:val="0"/>
    </w:pPr>
    <w:rPr>
      <w:rFonts w:ascii="Times New Roman" w:hAnsi="Times New Roman" w:eastAsia="宋体"/>
      <w:b/>
      <w:bCs/>
      <w:kern w:val="44"/>
      <w:sz w:val="24"/>
      <w:szCs w:val="44"/>
    </w:rPr>
  </w:style>
  <w:style w:type="paragraph" w:styleId="6">
    <w:name w:val="heading 2"/>
    <w:basedOn w:val="1"/>
    <w:next w:val="1"/>
    <w:qFormat/>
    <w:uiPriority w:val="0"/>
    <w:pPr>
      <w:keepNext/>
      <w:keepLines/>
      <w:spacing w:before="260" w:beforeLines="0" w:after="260" w:afterLines="0" w:line="240" w:lineRule="auto"/>
      <w:jc w:val="left"/>
      <w:outlineLvl w:val="1"/>
    </w:pPr>
    <w:rPr>
      <w:rFonts w:ascii="Arial" w:hAnsi="Arial" w:eastAsia="宋体"/>
      <w:b/>
      <w:bCs/>
      <w:sz w:val="24"/>
      <w:szCs w:val="32"/>
    </w:rPr>
  </w:style>
  <w:style w:type="paragraph" w:styleId="7">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8">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73"/>
    <w:qFormat/>
    <w:uiPriority w:val="0"/>
    <w:pPr>
      <w:keepNext/>
      <w:keepLines/>
      <w:spacing w:before="280" w:after="290" w:line="376" w:lineRule="auto"/>
      <w:outlineLvl w:val="4"/>
    </w:pPr>
    <w:rPr>
      <w:rFonts w:ascii="Calibri" w:hAnsi="Calibri"/>
      <w:b/>
      <w:bCs/>
      <w:sz w:val="28"/>
      <w:szCs w:val="28"/>
    </w:rPr>
  </w:style>
  <w:style w:type="paragraph" w:styleId="10">
    <w:name w:val="heading 6"/>
    <w:basedOn w:val="1"/>
    <w:next w:val="1"/>
    <w:link w:val="74"/>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1">
    <w:name w:val="heading 7"/>
    <w:basedOn w:val="1"/>
    <w:next w:val="1"/>
    <w:link w:val="75"/>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2">
    <w:name w:val="heading 8"/>
    <w:basedOn w:val="1"/>
    <w:next w:val="1"/>
    <w:link w:val="76"/>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3">
    <w:name w:val="heading 9"/>
    <w:basedOn w:val="1"/>
    <w:next w:val="1"/>
    <w:link w:val="77"/>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link w:val="70"/>
    <w:qFormat/>
    <w:uiPriority w:val="0"/>
    <w:pPr>
      <w:spacing w:after="120" w:line="240" w:lineRule="auto"/>
      <w:ind w:left="420" w:leftChars="200" w:firstLine="420" w:firstLineChars="200"/>
    </w:pPr>
    <w:rPr>
      <w:sz w:val="21"/>
    </w:rPr>
  </w:style>
  <w:style w:type="paragraph" w:styleId="3">
    <w:name w:val="Body Text Indent"/>
    <w:basedOn w:val="1"/>
    <w:next w:val="4"/>
    <w:link w:val="69"/>
    <w:qFormat/>
    <w:uiPriority w:val="0"/>
    <w:pPr>
      <w:spacing w:line="500" w:lineRule="exact"/>
      <w:ind w:firstLine="538"/>
    </w:pPr>
    <w:rPr>
      <w:sz w:val="28"/>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0"/>
    <w:pPr>
      <w:ind w:left="1260"/>
      <w:jc w:val="left"/>
    </w:pPr>
    <w:rPr>
      <w:sz w:val="18"/>
      <w:szCs w:val="18"/>
    </w:rPr>
  </w:style>
  <w:style w:type="paragraph" w:styleId="15">
    <w:name w:val="Normal Indent"/>
    <w:basedOn w:val="1"/>
    <w:qFormat/>
    <w:uiPriority w:val="0"/>
    <w:pPr>
      <w:ind w:firstLine="420" w:firstLineChars="200"/>
    </w:pPr>
  </w:style>
  <w:style w:type="paragraph" w:styleId="16">
    <w:name w:val="Document Map"/>
    <w:basedOn w:val="1"/>
    <w:link w:val="78"/>
    <w:qFormat/>
    <w:uiPriority w:val="0"/>
    <w:pPr>
      <w:shd w:val="clear" w:color="auto" w:fill="000080"/>
    </w:pPr>
  </w:style>
  <w:style w:type="paragraph" w:styleId="17">
    <w:name w:val="annotation text"/>
    <w:basedOn w:val="1"/>
    <w:link w:val="79"/>
    <w:qFormat/>
    <w:uiPriority w:val="0"/>
    <w:pPr>
      <w:jc w:val="left"/>
    </w:pPr>
  </w:style>
  <w:style w:type="paragraph" w:styleId="18">
    <w:name w:val="Body Text 3"/>
    <w:basedOn w:val="1"/>
    <w:link w:val="80"/>
    <w:qFormat/>
    <w:uiPriority w:val="0"/>
    <w:rPr>
      <w:rFonts w:ascii="宋体"/>
      <w:sz w:val="24"/>
      <w:szCs w:val="20"/>
    </w:rPr>
  </w:style>
  <w:style w:type="paragraph" w:styleId="19">
    <w:name w:val="Body Text"/>
    <w:basedOn w:val="1"/>
    <w:next w:val="20"/>
    <w:link w:val="81"/>
    <w:qFormat/>
    <w:uiPriority w:val="0"/>
    <w:pPr>
      <w:jc w:val="center"/>
    </w:pPr>
    <w:rPr>
      <w:b/>
      <w:bCs/>
      <w:sz w:val="44"/>
      <w:szCs w:val="20"/>
    </w:rPr>
  </w:style>
  <w:style w:type="paragraph" w:customStyle="1" w:styleId="2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1">
    <w:name w:val="List Continue"/>
    <w:basedOn w:val="1"/>
    <w:qFormat/>
    <w:uiPriority w:val="0"/>
    <w:pPr>
      <w:spacing w:after="120"/>
      <w:ind w:left="420"/>
    </w:p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next w:val="1"/>
    <w:link w:val="82"/>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link w:val="83"/>
    <w:qFormat/>
    <w:uiPriority w:val="0"/>
    <w:rPr>
      <w:rFonts w:ascii="仿宋_GB2312" w:eastAsia="仿宋_GB2312"/>
      <w:kern w:val="2"/>
      <w:sz w:val="30"/>
      <w:lang w:val="en-US" w:eastAsia="zh-CN" w:bidi="ar-SA"/>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link w:val="84"/>
    <w:qFormat/>
    <w:uiPriority w:val="0"/>
    <w:rPr>
      <w:sz w:val="18"/>
      <w:szCs w:val="18"/>
    </w:rPr>
  </w:style>
  <w:style w:type="paragraph" w:styleId="30">
    <w:name w:val="footer"/>
    <w:basedOn w:val="1"/>
    <w:link w:val="85"/>
    <w:qFormat/>
    <w:uiPriority w:val="0"/>
    <w:pPr>
      <w:tabs>
        <w:tab w:val="center" w:pos="4153"/>
        <w:tab w:val="right" w:pos="8306"/>
      </w:tabs>
      <w:snapToGrid w:val="0"/>
      <w:jc w:val="left"/>
    </w:pPr>
    <w:rPr>
      <w:sz w:val="18"/>
      <w:szCs w:val="18"/>
    </w:rPr>
  </w:style>
  <w:style w:type="paragraph" w:styleId="31">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List"/>
    <w:basedOn w:val="1"/>
    <w:qFormat/>
    <w:uiPriority w:val="0"/>
    <w:pPr>
      <w:ind w:left="420" w:hanging="420"/>
    </w:pPr>
    <w:rPr>
      <w:rFonts w:ascii="Arial" w:hAnsi="Arial" w:eastAsia="楷体_GB2312"/>
      <w:sz w:val="28"/>
      <w:szCs w:val="20"/>
    </w:rPr>
  </w:style>
  <w:style w:type="paragraph" w:styleId="35">
    <w:name w:val="footnote text"/>
    <w:basedOn w:val="1"/>
    <w:link w:val="87"/>
    <w:qFormat/>
    <w:uiPriority w:val="0"/>
    <w:rPr>
      <w:sz w:val="20"/>
      <w:szCs w:val="20"/>
    </w:rPr>
  </w:style>
  <w:style w:type="paragraph" w:styleId="36">
    <w:name w:val="toc 6"/>
    <w:basedOn w:val="1"/>
    <w:next w:val="37"/>
    <w:qFormat/>
    <w:uiPriority w:val="0"/>
    <w:pPr>
      <w:ind w:left="1050"/>
      <w:jc w:val="left"/>
    </w:pPr>
    <w:rPr>
      <w:sz w:val="18"/>
      <w:szCs w:val="18"/>
    </w:rPr>
  </w:style>
  <w:style w:type="paragraph" w:customStyle="1" w:styleId="37">
    <w:name w:val="xl76"/>
    <w:basedOn w:val="1"/>
    <w:next w:val="38"/>
    <w:qFormat/>
    <w:uiPriority w:val="0"/>
    <w:pPr>
      <w:widowControl/>
      <w:autoSpaceDE/>
      <w:autoSpaceDN/>
      <w:spacing w:before="0" w:after="0" w:line="240" w:lineRule="auto"/>
      <w:ind w:left="0" w:firstLine="0"/>
      <w:jc w:val="both"/>
    </w:pPr>
    <w:rPr>
      <w:rFonts w:ascii="Arial Unicode MS" w:eastAsia="Arial Unicode MS"/>
      <w:b/>
      <w:sz w:val="18"/>
    </w:rPr>
  </w:style>
  <w:style w:type="paragraph" w:customStyle="1" w:styleId="38">
    <w:name w:val="xl56"/>
    <w:basedOn w:val="1"/>
    <w:next w:val="39"/>
    <w:qFormat/>
    <w:uiPriority w:val="0"/>
    <w:pPr>
      <w:widowControl/>
      <w:autoSpaceDE/>
      <w:autoSpaceDN/>
      <w:spacing w:before="0" w:after="0" w:line="240" w:lineRule="auto"/>
      <w:ind w:left="0" w:firstLine="0"/>
      <w:jc w:val="center"/>
    </w:pPr>
    <w:rPr>
      <w:rFonts w:ascii="Arial Unicode MS" w:eastAsia="Arial Unicode MS"/>
      <w:sz w:val="18"/>
    </w:rPr>
  </w:style>
  <w:style w:type="paragraph" w:customStyle="1" w:styleId="39">
    <w:name w:val="xl32"/>
    <w:basedOn w:val="1"/>
    <w:next w:val="1"/>
    <w:qFormat/>
    <w:uiPriority w:val="0"/>
    <w:pPr>
      <w:widowControl/>
      <w:autoSpaceDE/>
      <w:autoSpaceDN/>
      <w:spacing w:before="0" w:after="0" w:line="240" w:lineRule="auto"/>
      <w:ind w:left="0" w:firstLine="0"/>
      <w:jc w:val="right"/>
    </w:pPr>
    <w:rPr>
      <w:rFonts w:ascii="Arial Unicode MS" w:eastAsia="Arial Unicode MS"/>
      <w:sz w:val="18"/>
    </w:rPr>
  </w:style>
  <w:style w:type="paragraph" w:styleId="40">
    <w:name w:val="Body Text Indent 3"/>
    <w:basedOn w:val="1"/>
    <w:link w:val="88"/>
    <w:qFormat/>
    <w:uiPriority w:val="0"/>
    <w:pPr>
      <w:spacing w:after="120"/>
      <w:ind w:left="420" w:leftChars="200"/>
    </w:pPr>
    <w:rPr>
      <w:sz w:val="16"/>
      <w:szCs w:val="16"/>
    </w:rPr>
  </w:style>
  <w:style w:type="paragraph" w:styleId="41">
    <w:name w:val="table of figures"/>
    <w:basedOn w:val="1"/>
    <w:next w:val="1"/>
    <w:qFormat/>
    <w:uiPriority w:val="0"/>
    <w:pPr>
      <w:ind w:leftChars="200" w:hanging="200" w:hangingChars="200"/>
    </w:pPr>
  </w:style>
  <w:style w:type="paragraph" w:styleId="42">
    <w:name w:val="toc 2"/>
    <w:basedOn w:val="1"/>
    <w:next w:val="1"/>
    <w:qFormat/>
    <w:uiPriority w:val="0"/>
    <w:pPr>
      <w:ind w:left="210"/>
      <w:jc w:val="left"/>
    </w:pPr>
    <w:rPr>
      <w:smallCaps/>
      <w:sz w:val="20"/>
      <w:szCs w:val="20"/>
    </w:rPr>
  </w:style>
  <w:style w:type="paragraph" w:styleId="43">
    <w:name w:val="toc 9"/>
    <w:basedOn w:val="1"/>
    <w:next w:val="1"/>
    <w:qFormat/>
    <w:uiPriority w:val="0"/>
    <w:pPr>
      <w:ind w:left="1680"/>
      <w:jc w:val="left"/>
    </w:pPr>
    <w:rPr>
      <w:sz w:val="18"/>
      <w:szCs w:val="18"/>
    </w:rPr>
  </w:style>
  <w:style w:type="paragraph" w:styleId="44">
    <w:name w:val="Body Text 2"/>
    <w:basedOn w:val="1"/>
    <w:qFormat/>
    <w:uiPriority w:val="0"/>
    <w:pPr>
      <w:spacing w:line="440" w:lineRule="exact"/>
    </w:pPr>
    <w:rPr>
      <w:sz w:val="28"/>
    </w:rPr>
  </w:style>
  <w:style w:type="paragraph" w:styleId="45">
    <w:name w:val="HTML Preformatted"/>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alibri"/>
      <w:kern w:val="0"/>
      <w:sz w:val="24"/>
    </w:rPr>
  </w:style>
  <w:style w:type="paragraph" w:styleId="46">
    <w:name w:val="Normal (Web)"/>
    <w:basedOn w:val="1"/>
    <w:next w:val="47"/>
    <w:qFormat/>
    <w:uiPriority w:val="0"/>
    <w:pPr>
      <w:widowControl/>
      <w:jc w:val="left"/>
    </w:pPr>
    <w:rPr>
      <w:rFonts w:ascii="宋体" w:hAnsi="宋体" w:cs="宋体"/>
      <w:kern w:val="0"/>
      <w:sz w:val="18"/>
      <w:szCs w:val="18"/>
    </w:rPr>
  </w:style>
  <w:style w:type="paragraph" w:customStyle="1" w:styleId="47">
    <w:name w:val="正文文字 8"/>
    <w:basedOn w:val="1"/>
    <w:next w:val="1"/>
    <w:qFormat/>
    <w:uiPriority w:val="0"/>
    <w:pPr>
      <w:ind w:left="240"/>
    </w:pPr>
    <w:rPr>
      <w:sz w:val="16"/>
    </w:rPr>
  </w:style>
  <w:style w:type="paragraph" w:styleId="48">
    <w:name w:val="Title"/>
    <w:basedOn w:val="1"/>
    <w:next w:val="1"/>
    <w:link w:val="9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91"/>
    <w:qFormat/>
    <w:uiPriority w:val="0"/>
    <w:rPr>
      <w:b/>
      <w:bCs/>
    </w:rPr>
  </w:style>
  <w:style w:type="paragraph" w:styleId="50">
    <w:name w:val="Body Text First Indent"/>
    <w:basedOn w:val="19"/>
    <w:qFormat/>
    <w:uiPriority w:val="0"/>
    <w:pPr>
      <w:adjustRightInd/>
      <w:spacing w:after="120" w:line="240" w:lineRule="auto"/>
      <w:ind w:firstLine="420" w:firstLineChars="100"/>
      <w:jc w:val="both"/>
    </w:p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basedOn w:val="53"/>
    <w:qFormat/>
    <w:uiPriority w:val="0"/>
    <w:rPr>
      <w:b/>
    </w:rPr>
  </w:style>
  <w:style w:type="character" w:styleId="55">
    <w:name w:val="page number"/>
    <w:basedOn w:val="53"/>
    <w:qFormat/>
    <w:uiPriority w:val="0"/>
  </w:style>
  <w:style w:type="character" w:styleId="56">
    <w:name w:val="FollowedHyperlink"/>
    <w:basedOn w:val="53"/>
    <w:unhideWhenUsed/>
    <w:qFormat/>
    <w:uiPriority w:val="0"/>
    <w:rPr>
      <w:color w:val="800080"/>
      <w:u w:val="none"/>
    </w:rPr>
  </w:style>
  <w:style w:type="character" w:styleId="57">
    <w:name w:val="Emphasis"/>
    <w:qFormat/>
    <w:uiPriority w:val="0"/>
    <w:rPr>
      <w:color w:val="CC0033"/>
    </w:rPr>
  </w:style>
  <w:style w:type="character" w:styleId="58">
    <w:name w:val="HTML Definition"/>
    <w:qFormat/>
    <w:uiPriority w:val="0"/>
  </w:style>
  <w:style w:type="character" w:styleId="59">
    <w:name w:val="HTML Typewriter"/>
    <w:qFormat/>
    <w:uiPriority w:val="0"/>
    <w:rPr>
      <w:rFonts w:ascii="Monospace" w:hAnsi="Monospace" w:eastAsia="Monospace" w:cs="Monospace"/>
      <w:sz w:val="20"/>
      <w:lang w:bidi="ar-SA"/>
    </w:rPr>
  </w:style>
  <w:style w:type="character" w:styleId="60">
    <w:name w:val="HTML Acronym"/>
    <w:basedOn w:val="53"/>
    <w:qFormat/>
    <w:uiPriority w:val="0"/>
  </w:style>
  <w:style w:type="character" w:styleId="61">
    <w:name w:val="HTML Variable"/>
    <w:qFormat/>
    <w:uiPriority w:val="0"/>
  </w:style>
  <w:style w:type="character" w:styleId="62">
    <w:name w:val="Hyperlink"/>
    <w:basedOn w:val="53"/>
    <w:qFormat/>
    <w:uiPriority w:val="0"/>
    <w:rPr>
      <w:color w:val="333333"/>
      <w:u w:val="none"/>
    </w:rPr>
  </w:style>
  <w:style w:type="character" w:styleId="63">
    <w:name w:val="HTML Code"/>
    <w:qFormat/>
    <w:uiPriority w:val="0"/>
    <w:rPr>
      <w:rFonts w:ascii="Monospace" w:hAnsi="Monospace" w:eastAsia="Monospace" w:cs="Monospace"/>
      <w:sz w:val="20"/>
      <w:lang w:bidi="ar-SA"/>
    </w:rPr>
  </w:style>
  <w:style w:type="character" w:styleId="64">
    <w:name w:val="annotation reference"/>
    <w:qFormat/>
    <w:uiPriority w:val="0"/>
    <w:rPr>
      <w:sz w:val="21"/>
      <w:szCs w:val="21"/>
    </w:rPr>
  </w:style>
  <w:style w:type="character" w:styleId="65">
    <w:name w:val="HTML Cite"/>
    <w:qFormat/>
    <w:uiPriority w:val="0"/>
  </w:style>
  <w:style w:type="character" w:styleId="66">
    <w:name w:val="footnote reference"/>
    <w:qFormat/>
    <w:uiPriority w:val="0"/>
    <w:rPr>
      <w:vertAlign w:val="superscript"/>
    </w:rPr>
  </w:style>
  <w:style w:type="character" w:styleId="67">
    <w:name w:val="HTML Keyboard"/>
    <w:qFormat/>
    <w:uiPriority w:val="0"/>
    <w:rPr>
      <w:rFonts w:ascii="Monospace" w:hAnsi="Monospace" w:eastAsia="Monospace" w:cs="Monospace"/>
      <w:sz w:val="20"/>
      <w:lang w:bidi="ar-SA"/>
    </w:rPr>
  </w:style>
  <w:style w:type="character" w:styleId="68">
    <w:name w:val="HTML Sample"/>
    <w:qFormat/>
    <w:uiPriority w:val="0"/>
    <w:rPr>
      <w:rFonts w:ascii="Monospace" w:hAnsi="Monospace" w:eastAsia="Monospace" w:cs="Monospace"/>
      <w:lang w:bidi="ar-SA"/>
    </w:rPr>
  </w:style>
  <w:style w:type="character" w:customStyle="1" w:styleId="69">
    <w:name w:val="正文文本缩进 Char"/>
    <w:basedOn w:val="53"/>
    <w:link w:val="3"/>
    <w:qFormat/>
    <w:uiPriority w:val="0"/>
    <w:rPr>
      <w:kern w:val="2"/>
      <w:sz w:val="28"/>
      <w:szCs w:val="24"/>
    </w:rPr>
  </w:style>
  <w:style w:type="character" w:customStyle="1" w:styleId="70">
    <w:name w:val="正文首行缩进 2 Char"/>
    <w:basedOn w:val="69"/>
    <w:link w:val="2"/>
    <w:qFormat/>
    <w:uiPriority w:val="0"/>
  </w:style>
  <w:style w:type="character" w:customStyle="1" w:styleId="71">
    <w:name w:val="标题 1 Char"/>
    <w:link w:val="5"/>
    <w:qFormat/>
    <w:uiPriority w:val="0"/>
    <w:rPr>
      <w:rFonts w:ascii="Times New Roman" w:hAnsi="Times New Roman" w:eastAsia="宋体"/>
      <w:b/>
      <w:bCs/>
      <w:kern w:val="44"/>
      <w:sz w:val="24"/>
      <w:szCs w:val="44"/>
    </w:rPr>
  </w:style>
  <w:style w:type="character" w:customStyle="1" w:styleId="72">
    <w:name w:val="标题 4 Char"/>
    <w:basedOn w:val="53"/>
    <w:link w:val="8"/>
    <w:qFormat/>
    <w:uiPriority w:val="0"/>
    <w:rPr>
      <w:rFonts w:ascii="Arial" w:hAnsi="Arial" w:eastAsia="黑体"/>
      <w:b/>
      <w:bCs/>
      <w:kern w:val="2"/>
      <w:sz w:val="28"/>
      <w:szCs w:val="28"/>
    </w:rPr>
  </w:style>
  <w:style w:type="character" w:customStyle="1" w:styleId="73">
    <w:name w:val="标题 5 Char"/>
    <w:basedOn w:val="53"/>
    <w:link w:val="9"/>
    <w:qFormat/>
    <w:uiPriority w:val="0"/>
    <w:rPr>
      <w:rFonts w:ascii="Calibri" w:hAnsi="Calibri"/>
      <w:b/>
      <w:bCs/>
      <w:kern w:val="2"/>
      <w:sz w:val="28"/>
      <w:szCs w:val="28"/>
    </w:rPr>
  </w:style>
  <w:style w:type="character" w:customStyle="1" w:styleId="74">
    <w:name w:val="标题 6 Char"/>
    <w:basedOn w:val="53"/>
    <w:link w:val="10"/>
    <w:qFormat/>
    <w:uiPriority w:val="0"/>
    <w:rPr>
      <w:rFonts w:ascii="Arial" w:hAnsi="Arial" w:eastAsia="黑体"/>
      <w:b/>
      <w:bCs/>
      <w:sz w:val="24"/>
      <w:szCs w:val="24"/>
    </w:rPr>
  </w:style>
  <w:style w:type="character" w:customStyle="1" w:styleId="75">
    <w:name w:val="标题 7 Char"/>
    <w:basedOn w:val="53"/>
    <w:link w:val="11"/>
    <w:qFormat/>
    <w:uiPriority w:val="0"/>
    <w:rPr>
      <w:b/>
      <w:bCs/>
      <w:sz w:val="24"/>
      <w:szCs w:val="24"/>
    </w:rPr>
  </w:style>
  <w:style w:type="character" w:customStyle="1" w:styleId="76">
    <w:name w:val="标题 8 Char"/>
    <w:basedOn w:val="53"/>
    <w:link w:val="12"/>
    <w:qFormat/>
    <w:uiPriority w:val="0"/>
    <w:rPr>
      <w:rFonts w:ascii="Arial" w:hAnsi="Arial" w:eastAsia="黑体"/>
      <w:sz w:val="24"/>
      <w:szCs w:val="24"/>
    </w:rPr>
  </w:style>
  <w:style w:type="character" w:customStyle="1" w:styleId="77">
    <w:name w:val="标题 9 Char"/>
    <w:basedOn w:val="53"/>
    <w:link w:val="13"/>
    <w:qFormat/>
    <w:uiPriority w:val="0"/>
    <w:rPr>
      <w:rFonts w:ascii="Arial" w:hAnsi="Arial" w:eastAsia="黑体"/>
      <w:sz w:val="21"/>
      <w:szCs w:val="21"/>
    </w:rPr>
  </w:style>
  <w:style w:type="character" w:customStyle="1" w:styleId="78">
    <w:name w:val="文档结构图 Char"/>
    <w:basedOn w:val="53"/>
    <w:link w:val="16"/>
    <w:qFormat/>
    <w:uiPriority w:val="0"/>
    <w:rPr>
      <w:kern w:val="2"/>
      <w:sz w:val="21"/>
      <w:szCs w:val="24"/>
      <w:shd w:val="clear" w:color="auto" w:fill="000080"/>
    </w:rPr>
  </w:style>
  <w:style w:type="character" w:customStyle="1" w:styleId="79">
    <w:name w:val="批注文字 Char"/>
    <w:basedOn w:val="53"/>
    <w:link w:val="17"/>
    <w:qFormat/>
    <w:uiPriority w:val="0"/>
    <w:rPr>
      <w:kern w:val="2"/>
      <w:sz w:val="21"/>
      <w:szCs w:val="24"/>
    </w:rPr>
  </w:style>
  <w:style w:type="character" w:customStyle="1" w:styleId="80">
    <w:name w:val="正文文本 3 Char"/>
    <w:basedOn w:val="53"/>
    <w:link w:val="18"/>
    <w:qFormat/>
    <w:uiPriority w:val="0"/>
    <w:rPr>
      <w:rFonts w:ascii="宋体"/>
      <w:kern w:val="2"/>
      <w:sz w:val="24"/>
    </w:rPr>
  </w:style>
  <w:style w:type="character" w:customStyle="1" w:styleId="81">
    <w:name w:val="正文文本 Char"/>
    <w:basedOn w:val="53"/>
    <w:link w:val="19"/>
    <w:qFormat/>
    <w:uiPriority w:val="0"/>
    <w:rPr>
      <w:b/>
      <w:bCs/>
      <w:kern w:val="2"/>
      <w:sz w:val="44"/>
    </w:rPr>
  </w:style>
  <w:style w:type="character" w:customStyle="1" w:styleId="82">
    <w:name w:val="纯文本 Char"/>
    <w:basedOn w:val="53"/>
    <w:link w:val="25"/>
    <w:qFormat/>
    <w:uiPriority w:val="0"/>
    <w:rPr>
      <w:rFonts w:ascii="Courier New" w:hAnsi="Courier New"/>
      <w:kern w:val="2"/>
      <w:sz w:val="21"/>
    </w:rPr>
  </w:style>
  <w:style w:type="character" w:customStyle="1" w:styleId="83">
    <w:name w:val="日期 Char"/>
    <w:basedOn w:val="53"/>
    <w:link w:val="27"/>
    <w:qFormat/>
    <w:uiPriority w:val="0"/>
    <w:rPr>
      <w:rFonts w:ascii="仿宋_GB2312" w:eastAsia="仿宋_GB2312"/>
      <w:kern w:val="2"/>
      <w:sz w:val="30"/>
      <w:lang w:val="en-US" w:eastAsia="zh-CN" w:bidi="ar-SA"/>
    </w:rPr>
  </w:style>
  <w:style w:type="character" w:customStyle="1" w:styleId="84">
    <w:name w:val="批注框文本 Char"/>
    <w:basedOn w:val="53"/>
    <w:link w:val="29"/>
    <w:qFormat/>
    <w:uiPriority w:val="0"/>
    <w:rPr>
      <w:kern w:val="2"/>
      <w:sz w:val="18"/>
      <w:szCs w:val="18"/>
    </w:rPr>
  </w:style>
  <w:style w:type="character" w:customStyle="1" w:styleId="85">
    <w:name w:val="页脚 Char"/>
    <w:basedOn w:val="53"/>
    <w:link w:val="30"/>
    <w:qFormat/>
    <w:uiPriority w:val="0"/>
    <w:rPr>
      <w:kern w:val="2"/>
      <w:sz w:val="18"/>
      <w:szCs w:val="18"/>
    </w:rPr>
  </w:style>
  <w:style w:type="character" w:customStyle="1" w:styleId="86">
    <w:name w:val="页眉 Char"/>
    <w:basedOn w:val="53"/>
    <w:link w:val="31"/>
    <w:qFormat/>
    <w:uiPriority w:val="0"/>
    <w:rPr>
      <w:kern w:val="2"/>
      <w:sz w:val="18"/>
      <w:szCs w:val="18"/>
    </w:rPr>
  </w:style>
  <w:style w:type="character" w:customStyle="1" w:styleId="87">
    <w:name w:val="脚注文本 Char"/>
    <w:basedOn w:val="53"/>
    <w:link w:val="35"/>
    <w:qFormat/>
    <w:uiPriority w:val="0"/>
    <w:rPr>
      <w:kern w:val="2"/>
    </w:rPr>
  </w:style>
  <w:style w:type="character" w:customStyle="1" w:styleId="88">
    <w:name w:val="正文文本缩进 3 Char"/>
    <w:basedOn w:val="53"/>
    <w:link w:val="40"/>
    <w:qFormat/>
    <w:uiPriority w:val="0"/>
    <w:rPr>
      <w:kern w:val="2"/>
      <w:sz w:val="16"/>
      <w:szCs w:val="16"/>
    </w:rPr>
  </w:style>
  <w:style w:type="character" w:customStyle="1" w:styleId="89">
    <w:name w:val="HTML 预设格式 Char"/>
    <w:basedOn w:val="53"/>
    <w:link w:val="45"/>
    <w:qFormat/>
    <w:uiPriority w:val="0"/>
    <w:rPr>
      <w:rFonts w:ascii="宋体" w:hAnsi="Calibri"/>
      <w:sz w:val="24"/>
      <w:szCs w:val="24"/>
    </w:rPr>
  </w:style>
  <w:style w:type="character" w:customStyle="1" w:styleId="90">
    <w:name w:val="标题 Char"/>
    <w:basedOn w:val="53"/>
    <w:link w:val="48"/>
    <w:qFormat/>
    <w:uiPriority w:val="0"/>
    <w:rPr>
      <w:rFonts w:ascii="Arial" w:hAnsi="Arial"/>
      <w:b/>
      <w:sz w:val="32"/>
    </w:rPr>
  </w:style>
  <w:style w:type="character" w:customStyle="1" w:styleId="91">
    <w:name w:val="批注主题 Char"/>
    <w:basedOn w:val="79"/>
    <w:link w:val="49"/>
    <w:qFormat/>
    <w:uiPriority w:val="0"/>
  </w:style>
  <w:style w:type="paragraph" w:customStyle="1" w:styleId="92">
    <w:name w:val="首行缩进"/>
    <w:basedOn w:val="1"/>
    <w:next w:val="21"/>
    <w:qFormat/>
    <w:uiPriority w:val="0"/>
    <w:pPr>
      <w:spacing w:line="360" w:lineRule="auto"/>
      <w:ind w:firstLine="480" w:firstLineChars="200"/>
    </w:pPr>
    <w:rPr>
      <w:sz w:val="24"/>
      <w:lang w:val="zh-CN"/>
    </w:rPr>
  </w:style>
  <w:style w:type="character" w:customStyle="1" w:styleId="93">
    <w:name w:val="tit10"/>
    <w:qFormat/>
    <w:uiPriority w:val="0"/>
    <w:rPr>
      <w:color w:val="B60000"/>
    </w:rPr>
  </w:style>
  <w:style w:type="character" w:customStyle="1" w:styleId="94">
    <w:name w:val="tit14"/>
    <w:qFormat/>
    <w:uiPriority w:val="0"/>
    <w:rPr>
      <w:color w:val="B60000"/>
    </w:rPr>
  </w:style>
  <w:style w:type="character" w:customStyle="1" w:styleId="95">
    <w:name w:val="nostart3"/>
    <w:basedOn w:val="53"/>
    <w:qFormat/>
    <w:uiPriority w:val="0"/>
  </w:style>
  <w:style w:type="character" w:customStyle="1" w:styleId="96">
    <w:name w:val="标题 2 Char"/>
    <w:qFormat/>
    <w:uiPriority w:val="0"/>
    <w:rPr>
      <w:rFonts w:eastAsia="宋体"/>
      <w:sz w:val="24"/>
      <w:lang w:val="en-US" w:eastAsia="zh-CN" w:bidi="ar-SA"/>
    </w:rPr>
  </w:style>
  <w:style w:type="character" w:customStyle="1" w:styleId="97">
    <w:name w:val="z-窗体底端 Char"/>
    <w:basedOn w:val="53"/>
    <w:link w:val="98"/>
    <w:qFormat/>
    <w:uiPriority w:val="0"/>
    <w:rPr>
      <w:rFonts w:ascii="Arial" w:hAnsi="Calibri"/>
      <w:vanish/>
      <w:kern w:val="2"/>
      <w:sz w:val="16"/>
      <w:szCs w:val="24"/>
    </w:rPr>
  </w:style>
  <w:style w:type="paragraph" w:customStyle="1" w:styleId="98">
    <w:name w:val="_Style 97"/>
    <w:basedOn w:val="1"/>
    <w:next w:val="1"/>
    <w:link w:val="97"/>
    <w:qFormat/>
    <w:uiPriority w:val="0"/>
    <w:pPr>
      <w:pBdr>
        <w:top w:val="single" w:color="auto" w:sz="6" w:space="1"/>
      </w:pBdr>
      <w:jc w:val="center"/>
    </w:pPr>
    <w:rPr>
      <w:rFonts w:ascii="Arial" w:hAnsi="Calibri"/>
      <w:vanish/>
      <w:sz w:val="16"/>
    </w:rPr>
  </w:style>
  <w:style w:type="character" w:customStyle="1" w:styleId="99">
    <w:name w:val="msg-box31"/>
    <w:basedOn w:val="53"/>
    <w:qFormat/>
    <w:uiPriority w:val="0"/>
  </w:style>
  <w:style w:type="character" w:customStyle="1" w:styleId="100">
    <w:name w:val="tit15"/>
    <w:qFormat/>
    <w:uiPriority w:val="0"/>
    <w:rPr>
      <w:b/>
      <w:color w:val="B60000"/>
    </w:rPr>
  </w:style>
  <w:style w:type="character" w:customStyle="1" w:styleId="101">
    <w:name w:val="l41"/>
    <w:qFormat/>
    <w:uiPriority w:val="0"/>
    <w:rPr>
      <w:color w:val="999999"/>
    </w:rPr>
  </w:style>
  <w:style w:type="character" w:customStyle="1" w:styleId="102">
    <w:name w:val="over3"/>
    <w:basedOn w:val="53"/>
    <w:qFormat/>
    <w:uiPriority w:val="0"/>
  </w:style>
  <w:style w:type="character" w:customStyle="1" w:styleId="103">
    <w:name w:val="num81"/>
    <w:basedOn w:val="53"/>
    <w:qFormat/>
    <w:uiPriority w:val="0"/>
  </w:style>
  <w:style w:type="character" w:customStyle="1" w:styleId="104">
    <w:name w:val="num31"/>
    <w:basedOn w:val="53"/>
    <w:qFormat/>
    <w:uiPriority w:val="0"/>
  </w:style>
  <w:style w:type="character" w:customStyle="1" w:styleId="105">
    <w:name w:val="l7"/>
    <w:qFormat/>
    <w:uiPriority w:val="0"/>
    <w:rPr>
      <w:color w:val="999999"/>
    </w:rPr>
  </w:style>
  <w:style w:type="character" w:customStyle="1" w:styleId="106">
    <w:name w:val="tit12"/>
    <w:qFormat/>
    <w:uiPriority w:val="0"/>
    <w:rPr>
      <w:color w:val="04A06C"/>
    </w:rPr>
  </w:style>
  <w:style w:type="character" w:customStyle="1" w:styleId="107">
    <w:name w:val="datetime"/>
    <w:qFormat/>
    <w:uiPriority w:val="0"/>
    <w:rPr>
      <w:rFonts w:ascii="Arial" w:hAnsi="Arial" w:cs="Arial"/>
      <w:color w:val="999999"/>
      <w:sz w:val="21"/>
      <w:szCs w:val="21"/>
      <w:lang w:bidi="ar-SA"/>
    </w:rPr>
  </w:style>
  <w:style w:type="character" w:customStyle="1" w:styleId="108">
    <w:name w:val="jg"/>
    <w:basedOn w:val="53"/>
    <w:qFormat/>
    <w:uiPriority w:val="0"/>
  </w:style>
  <w:style w:type="character" w:customStyle="1" w:styleId="109">
    <w:name w:val="red"/>
    <w:qFormat/>
    <w:uiPriority w:val="0"/>
    <w:rPr>
      <w:rFonts w:ascii="Arial" w:hAnsi="Arial" w:cs="Arial"/>
      <w:color w:val="E50000"/>
      <w:lang w:bidi="ar-SA"/>
    </w:rPr>
  </w:style>
  <w:style w:type="character" w:customStyle="1" w:styleId="110">
    <w:name w:val="标题 2 Char11"/>
    <w:qFormat/>
    <w:uiPriority w:val="0"/>
    <w:rPr>
      <w:rFonts w:eastAsia="宋体"/>
      <w:sz w:val="24"/>
      <w:lang w:val="en-US" w:eastAsia="zh-CN" w:bidi="ar-SA"/>
    </w:rPr>
  </w:style>
  <w:style w:type="character" w:customStyle="1" w:styleId="111">
    <w:name w:val="font161"/>
    <w:qFormat/>
    <w:uiPriority w:val="0"/>
    <w:rPr>
      <w:b/>
      <w:bCs/>
      <w:sz w:val="32"/>
      <w:szCs w:val="32"/>
    </w:rPr>
  </w:style>
  <w:style w:type="character" w:customStyle="1" w:styleId="112">
    <w:name w:val="Char Char7"/>
    <w:qFormat/>
    <w:uiPriority w:val="0"/>
    <w:rPr>
      <w:rFonts w:ascii="Arial" w:hAnsi="Arial" w:eastAsia="黑体"/>
      <w:b/>
      <w:bCs/>
      <w:kern w:val="2"/>
      <w:sz w:val="32"/>
      <w:szCs w:val="32"/>
      <w:lang w:val="en-US" w:eastAsia="zh-CN" w:bidi="ar-SA"/>
    </w:rPr>
  </w:style>
  <w:style w:type="character" w:customStyle="1" w:styleId="113">
    <w:name w:val="Char Char2"/>
    <w:qFormat/>
    <w:uiPriority w:val="0"/>
    <w:rPr>
      <w:rFonts w:eastAsia="宋体"/>
      <w:kern w:val="2"/>
      <w:sz w:val="21"/>
      <w:szCs w:val="24"/>
      <w:lang w:val="en-US" w:eastAsia="zh-CN" w:bidi="ar-SA"/>
    </w:rPr>
  </w:style>
  <w:style w:type="character" w:customStyle="1" w:styleId="114">
    <w:name w:val="unit"/>
    <w:qFormat/>
    <w:uiPriority w:val="0"/>
    <w:rPr>
      <w:color w:val="999999"/>
    </w:rPr>
  </w:style>
  <w:style w:type="character" w:customStyle="1" w:styleId="115">
    <w:name w:val="num51"/>
    <w:basedOn w:val="53"/>
    <w:qFormat/>
    <w:uiPriority w:val="0"/>
  </w:style>
  <w:style w:type="character" w:customStyle="1" w:styleId="116">
    <w:name w:val=" Char Char5"/>
    <w:qFormat/>
    <w:uiPriority w:val="0"/>
    <w:rPr>
      <w:rFonts w:ascii="Arial" w:hAnsi="Arial" w:eastAsia="黑体"/>
      <w:b/>
      <w:bCs/>
      <w:kern w:val="2"/>
      <w:sz w:val="32"/>
      <w:szCs w:val="32"/>
    </w:rPr>
  </w:style>
  <w:style w:type="character" w:customStyle="1" w:styleId="117">
    <w:name w:val="l6"/>
    <w:qFormat/>
    <w:uiPriority w:val="0"/>
    <w:rPr>
      <w:color w:val="999999"/>
    </w:rPr>
  </w:style>
  <w:style w:type="character" w:customStyle="1" w:styleId="118">
    <w:name w:val="l3"/>
    <w:qFormat/>
    <w:uiPriority w:val="0"/>
    <w:rPr>
      <w:color w:val="999999"/>
    </w:rPr>
  </w:style>
  <w:style w:type="character" w:customStyle="1" w:styleId="119">
    <w:name w:val="mesg-myd"/>
    <w:qFormat/>
    <w:uiPriority w:val="0"/>
    <w:rPr>
      <w:color w:val="EE0000"/>
    </w:rPr>
  </w:style>
  <w:style w:type="character" w:customStyle="1" w:styleId="120">
    <w:name w:val="Char Char8"/>
    <w:qFormat/>
    <w:uiPriority w:val="0"/>
    <w:rPr>
      <w:rFonts w:ascii="Arial" w:hAnsi="Arial" w:eastAsia="黑体"/>
      <w:b/>
      <w:bCs/>
      <w:kern w:val="2"/>
      <w:sz w:val="32"/>
      <w:szCs w:val="32"/>
      <w:lang w:val="en-US" w:eastAsia="zh-CN" w:bidi="ar-SA"/>
    </w:rPr>
  </w:style>
  <w:style w:type="character" w:customStyle="1" w:styleId="121">
    <w:name w:val="标题 2 Char Char"/>
    <w:qFormat/>
    <w:locked/>
    <w:uiPriority w:val="0"/>
    <w:rPr>
      <w:rFonts w:ascii="Arial" w:hAnsi="Arial" w:eastAsia="黑体"/>
      <w:b/>
      <w:bCs/>
      <w:kern w:val="2"/>
      <w:sz w:val="32"/>
      <w:szCs w:val="32"/>
      <w:lang w:val="en-US" w:eastAsia="zh-CN" w:bidi="ar-SA"/>
    </w:rPr>
  </w:style>
  <w:style w:type="character" w:customStyle="1" w:styleId="122">
    <w:name w:val="c3"/>
    <w:basedOn w:val="53"/>
    <w:qFormat/>
    <w:uiPriority w:val="0"/>
  </w:style>
  <w:style w:type="character" w:customStyle="1" w:styleId="123">
    <w:name w:val="img_title8"/>
    <w:qFormat/>
    <w:uiPriority w:val="0"/>
    <w:rPr>
      <w:vanish/>
    </w:rPr>
  </w:style>
  <w:style w:type="character" w:customStyle="1" w:styleId="124">
    <w:name w:val="c2"/>
    <w:basedOn w:val="53"/>
    <w:qFormat/>
    <w:uiPriority w:val="0"/>
  </w:style>
  <w:style w:type="character" w:customStyle="1" w:styleId="125">
    <w:name w:val="tit13"/>
    <w:qFormat/>
    <w:uiPriority w:val="0"/>
    <w:rPr>
      <w:color w:val="FFFFFF"/>
    </w:rPr>
  </w:style>
  <w:style w:type="character" w:customStyle="1" w:styleId="126">
    <w:name w:val="txt1"/>
    <w:basedOn w:val="53"/>
    <w:qFormat/>
    <w:uiPriority w:val="0"/>
  </w:style>
  <w:style w:type="character" w:customStyle="1" w:styleId="127">
    <w:name w:val="c1"/>
    <w:basedOn w:val="53"/>
    <w:qFormat/>
    <w:uiPriority w:val="0"/>
  </w:style>
  <w:style w:type="character" w:customStyle="1" w:styleId="128">
    <w:name w:val="nostart2"/>
    <w:qFormat/>
    <w:uiPriority w:val="0"/>
    <w:rPr>
      <w:color w:val="B60000"/>
    </w:rPr>
  </w:style>
  <w:style w:type="character" w:customStyle="1" w:styleId="129">
    <w:name w:val="17"/>
    <w:qFormat/>
    <w:uiPriority w:val="0"/>
    <w:rPr>
      <w:rFonts w:ascii="仿宋_GB2312" w:eastAsia="仿宋_GB2312"/>
      <w:color w:val="auto"/>
      <w:sz w:val="28"/>
      <w:szCs w:val="28"/>
      <w:u w:val="single"/>
    </w:rPr>
  </w:style>
  <w:style w:type="character" w:customStyle="1" w:styleId="130">
    <w:name w:val="num61"/>
    <w:basedOn w:val="53"/>
    <w:qFormat/>
    <w:uiPriority w:val="0"/>
  </w:style>
  <w:style w:type="character" w:customStyle="1" w:styleId="131">
    <w:name w:val="over2"/>
    <w:qFormat/>
    <w:uiPriority w:val="0"/>
    <w:rPr>
      <w:color w:val="999999"/>
    </w:rPr>
  </w:style>
  <w:style w:type="character" w:customStyle="1" w:styleId="132">
    <w:name w:val=" Char Char"/>
    <w:qFormat/>
    <w:uiPriority w:val="0"/>
    <w:rPr>
      <w:rFonts w:ascii="Arial" w:hAnsi="Arial" w:eastAsia="黑体"/>
      <w:b/>
      <w:bCs/>
      <w:kern w:val="2"/>
      <w:sz w:val="32"/>
      <w:szCs w:val="32"/>
      <w:lang w:val="en-US" w:eastAsia="zh-CN" w:bidi="ar-SA"/>
    </w:rPr>
  </w:style>
  <w:style w:type="character" w:customStyle="1" w:styleId="133">
    <w:name w:val="p05"/>
    <w:basedOn w:val="53"/>
    <w:qFormat/>
    <w:uiPriority w:val="0"/>
  </w:style>
  <w:style w:type="character" w:customStyle="1" w:styleId="134">
    <w:name w:val="font31"/>
    <w:basedOn w:val="53"/>
    <w:qFormat/>
    <w:uiPriority w:val="0"/>
    <w:rPr>
      <w:rFonts w:hint="eastAsia" w:ascii="仿宋_GB2312" w:eastAsia="仿宋_GB2312" w:cs="仿宋_GB2312"/>
      <w:color w:val="000000"/>
      <w:sz w:val="28"/>
      <w:szCs w:val="28"/>
      <w:u w:val="single"/>
    </w:rPr>
  </w:style>
  <w:style w:type="character" w:customStyle="1" w:styleId="135">
    <w:name w:val="l11"/>
    <w:qFormat/>
    <w:uiPriority w:val="0"/>
    <w:rPr>
      <w:color w:val="999999"/>
    </w:rPr>
  </w:style>
  <w:style w:type="character" w:customStyle="1" w:styleId="136">
    <w:name w:val="buvis"/>
    <w:qFormat/>
    <w:uiPriority w:val="0"/>
    <w:rPr>
      <w:color w:val="999999"/>
    </w:rPr>
  </w:style>
  <w:style w:type="character" w:customStyle="1" w:styleId="137">
    <w:name w:val="starting1"/>
    <w:qFormat/>
    <w:uiPriority w:val="0"/>
    <w:rPr>
      <w:color w:val="339900"/>
    </w:rPr>
  </w:style>
  <w:style w:type="character" w:customStyle="1" w:styleId="138">
    <w:name w:val="tit9"/>
    <w:qFormat/>
    <w:uiPriority w:val="0"/>
    <w:rPr>
      <w:color w:val="B60000"/>
      <w:sz w:val="27"/>
      <w:szCs w:val="27"/>
      <w:bdr w:val="single" w:color="DFCEB8" w:sz="6" w:space="0"/>
      <w:shd w:val="clear" w:color="auto" w:fill="FFFFFF"/>
    </w:rPr>
  </w:style>
  <w:style w:type="character" w:customStyle="1" w:styleId="139">
    <w:name w:val="纯文本 Char1"/>
    <w:qFormat/>
    <w:uiPriority w:val="0"/>
    <w:rPr>
      <w:rFonts w:ascii="Courier New" w:hAnsi="Courier New" w:eastAsia="宋体"/>
      <w:kern w:val="2"/>
      <w:sz w:val="21"/>
      <w:lang w:val="en-US" w:eastAsia="zh-CN" w:bidi="ar-SA"/>
    </w:rPr>
  </w:style>
  <w:style w:type="character" w:customStyle="1" w:styleId="140">
    <w:name w:val="starting3"/>
    <w:basedOn w:val="53"/>
    <w:qFormat/>
    <w:uiPriority w:val="0"/>
  </w:style>
  <w:style w:type="character" w:customStyle="1" w:styleId="141">
    <w:name w:val="msg-box29"/>
    <w:basedOn w:val="53"/>
    <w:qFormat/>
    <w:uiPriority w:val="0"/>
  </w:style>
  <w:style w:type="character" w:customStyle="1" w:styleId="142">
    <w:name w:val="bigfont"/>
    <w:basedOn w:val="53"/>
    <w:qFormat/>
    <w:uiPriority w:val="0"/>
  </w:style>
  <w:style w:type="character" w:customStyle="1" w:styleId="143">
    <w:name w:val="l51"/>
    <w:qFormat/>
    <w:uiPriority w:val="0"/>
    <w:rPr>
      <w:color w:val="999999"/>
    </w:rPr>
  </w:style>
  <w:style w:type="character" w:customStyle="1" w:styleId="144">
    <w:name w:val="nostart"/>
    <w:qFormat/>
    <w:uiPriority w:val="0"/>
    <w:rPr>
      <w:color w:val="FF0000"/>
    </w:rPr>
  </w:style>
  <w:style w:type="character" w:customStyle="1" w:styleId="145">
    <w:name w:val="job"/>
    <w:basedOn w:val="53"/>
    <w:qFormat/>
    <w:uiPriority w:val="0"/>
  </w:style>
  <w:style w:type="character" w:customStyle="1" w:styleId="146">
    <w:name w:val="标题 2 Char1"/>
    <w:qFormat/>
    <w:uiPriority w:val="0"/>
    <w:rPr>
      <w:rFonts w:ascii="Arial" w:hAnsi="Arial" w:eastAsia="黑体"/>
      <w:b/>
      <w:bCs/>
      <w:kern w:val="2"/>
      <w:sz w:val="32"/>
      <w:szCs w:val="32"/>
      <w:lang w:val="en-US" w:eastAsia="zh-CN" w:bidi="ar-SA"/>
    </w:rPr>
  </w:style>
  <w:style w:type="character" w:customStyle="1" w:styleId="147">
    <w:name w:val="img_title6"/>
    <w:qFormat/>
    <w:uiPriority w:val="0"/>
    <w:rPr>
      <w:vanish/>
    </w:rPr>
  </w:style>
  <w:style w:type="character" w:customStyle="1" w:styleId="148">
    <w:name w:val=" Char Char1"/>
    <w:qFormat/>
    <w:uiPriority w:val="0"/>
    <w:rPr>
      <w:rFonts w:eastAsia="宋体"/>
      <w:kern w:val="2"/>
      <w:sz w:val="21"/>
      <w:szCs w:val="24"/>
      <w:lang w:val="en-US" w:eastAsia="zh-CN" w:bidi="ar-SA"/>
    </w:rPr>
  </w:style>
  <w:style w:type="character" w:customStyle="1" w:styleId="149">
    <w:name w:val="tit11"/>
    <w:qFormat/>
    <w:uiPriority w:val="0"/>
    <w:rPr>
      <w:color w:val="B60000"/>
    </w:rPr>
  </w:style>
  <w:style w:type="character" w:customStyle="1" w:styleId="150">
    <w:name w:val="over"/>
    <w:qFormat/>
    <w:uiPriority w:val="0"/>
    <w:rPr>
      <w:color w:val="B60000"/>
    </w:rPr>
  </w:style>
  <w:style w:type="character" w:customStyle="1" w:styleId="151">
    <w:name w:val="over1"/>
    <w:qFormat/>
    <w:uiPriority w:val="0"/>
    <w:rPr>
      <w:color w:val="B60000"/>
    </w:rPr>
  </w:style>
  <w:style w:type="character" w:customStyle="1" w:styleId="152">
    <w:name w:val=" Char Char Char"/>
    <w:qFormat/>
    <w:uiPriority w:val="0"/>
    <w:rPr>
      <w:rFonts w:eastAsia="宋体"/>
      <w:b/>
      <w:bCs/>
      <w:kern w:val="44"/>
      <w:sz w:val="44"/>
      <w:szCs w:val="44"/>
      <w:lang w:val="en-US" w:eastAsia="zh-CN" w:bidi="ar-SA"/>
    </w:rPr>
  </w:style>
  <w:style w:type="character" w:customStyle="1" w:styleId="153">
    <w:name w:val="num71"/>
    <w:basedOn w:val="53"/>
    <w:qFormat/>
    <w:uiPriority w:val="0"/>
  </w:style>
  <w:style w:type="character" w:customStyle="1" w:styleId="154">
    <w:name w:val="msg-box30"/>
    <w:basedOn w:val="53"/>
    <w:qFormat/>
    <w:uiPriority w:val="0"/>
  </w:style>
  <w:style w:type="character" w:customStyle="1" w:styleId="155">
    <w:name w:val="name"/>
    <w:qFormat/>
    <w:uiPriority w:val="0"/>
    <w:rPr>
      <w:color w:val="444444"/>
      <w:sz w:val="21"/>
      <w:szCs w:val="21"/>
    </w:rPr>
  </w:style>
  <w:style w:type="character" w:customStyle="1" w:styleId="156">
    <w:name w:val=" Char Char7"/>
    <w:qFormat/>
    <w:uiPriority w:val="0"/>
    <w:rPr>
      <w:rFonts w:ascii="Arial" w:hAnsi="Arial" w:eastAsia="黑体"/>
      <w:b/>
      <w:bCs/>
      <w:kern w:val="2"/>
      <w:sz w:val="32"/>
      <w:szCs w:val="32"/>
      <w:lang w:val="en-US" w:eastAsia="zh-CN" w:bidi="ar-SA"/>
    </w:rPr>
  </w:style>
  <w:style w:type="character" w:customStyle="1" w:styleId="157">
    <w:name w:val="img_title9"/>
    <w:qFormat/>
    <w:uiPriority w:val="0"/>
    <w:rPr>
      <w:vanish/>
    </w:rPr>
  </w:style>
  <w:style w:type="character" w:customStyle="1" w:styleId="158">
    <w:name w:val="16"/>
    <w:qFormat/>
    <w:uiPriority w:val="0"/>
    <w:rPr>
      <w:rFonts w:ascii="仿宋_GB2312" w:eastAsia="仿宋_GB2312"/>
      <w:color w:val="auto"/>
      <w:sz w:val="28"/>
      <w:szCs w:val="28"/>
    </w:rPr>
  </w:style>
  <w:style w:type="character" w:customStyle="1" w:styleId="159">
    <w:name w:val="nostart1"/>
    <w:qFormat/>
    <w:uiPriority w:val="0"/>
    <w:rPr>
      <w:color w:val="FF0000"/>
    </w:rPr>
  </w:style>
  <w:style w:type="character" w:customStyle="1" w:styleId="160">
    <w:name w:val="zw"/>
    <w:qFormat/>
    <w:uiPriority w:val="0"/>
    <w:rPr>
      <w:color w:val="BD1E22"/>
      <w:sz w:val="22"/>
      <w:szCs w:val="22"/>
    </w:rPr>
  </w:style>
  <w:style w:type="character" w:customStyle="1" w:styleId="161">
    <w:name w:val="name2"/>
    <w:qFormat/>
    <w:uiPriority w:val="0"/>
    <w:rPr>
      <w:color w:val="000000"/>
      <w:sz w:val="39"/>
      <w:szCs w:val="39"/>
    </w:rPr>
  </w:style>
  <w:style w:type="character" w:customStyle="1" w:styleId="162">
    <w:name w:val="buvis1"/>
    <w:qFormat/>
    <w:uiPriority w:val="0"/>
    <w:rPr>
      <w:color w:val="CC0000"/>
    </w:rPr>
  </w:style>
  <w:style w:type="character" w:customStyle="1" w:styleId="163">
    <w:name w:val=" Char Char8"/>
    <w:qFormat/>
    <w:uiPriority w:val="0"/>
    <w:rPr>
      <w:rFonts w:ascii="Arial" w:hAnsi="Arial" w:eastAsia="黑体"/>
      <w:b/>
      <w:bCs/>
      <w:kern w:val="2"/>
      <w:sz w:val="32"/>
      <w:szCs w:val="32"/>
      <w:lang w:val="en-US" w:eastAsia="zh-CN" w:bidi="ar-SA"/>
    </w:rPr>
  </w:style>
  <w:style w:type="character" w:customStyle="1" w:styleId="164">
    <w:name w:val="bsharetext"/>
    <w:basedOn w:val="53"/>
    <w:qFormat/>
    <w:uiPriority w:val="0"/>
  </w:style>
  <w:style w:type="character" w:customStyle="1" w:styleId="165">
    <w:name w:val="job1"/>
    <w:basedOn w:val="53"/>
    <w:qFormat/>
    <w:uiPriority w:val="0"/>
  </w:style>
  <w:style w:type="character" w:customStyle="1" w:styleId="166">
    <w:name w:val="textcontents"/>
    <w:basedOn w:val="53"/>
    <w:qFormat/>
    <w:uiPriority w:val="0"/>
  </w:style>
  <w:style w:type="character" w:customStyle="1" w:styleId="167">
    <w:name w:val="msg-box28"/>
    <w:basedOn w:val="53"/>
    <w:qFormat/>
    <w:uiPriority w:val="0"/>
  </w:style>
  <w:style w:type="character" w:customStyle="1" w:styleId="168">
    <w:name w:val="z-窗体顶端 Char"/>
    <w:basedOn w:val="53"/>
    <w:link w:val="169"/>
    <w:qFormat/>
    <w:uiPriority w:val="0"/>
    <w:rPr>
      <w:rFonts w:ascii="Arial" w:hAnsi="Calibri"/>
      <w:vanish/>
      <w:kern w:val="2"/>
      <w:sz w:val="16"/>
      <w:szCs w:val="24"/>
    </w:rPr>
  </w:style>
  <w:style w:type="paragraph" w:customStyle="1" w:styleId="169">
    <w:name w:val="_Style 168"/>
    <w:basedOn w:val="1"/>
    <w:next w:val="1"/>
    <w:link w:val="168"/>
    <w:qFormat/>
    <w:uiPriority w:val="0"/>
    <w:pPr>
      <w:pBdr>
        <w:bottom w:val="single" w:color="auto" w:sz="6" w:space="1"/>
      </w:pBdr>
      <w:jc w:val="center"/>
    </w:pPr>
    <w:rPr>
      <w:rFonts w:ascii="Arial" w:hAnsi="Calibri"/>
      <w:vanish/>
      <w:sz w:val="16"/>
    </w:rPr>
  </w:style>
  <w:style w:type="character" w:customStyle="1" w:styleId="170">
    <w:name w:val=" Char Char3"/>
    <w:qFormat/>
    <w:uiPriority w:val="0"/>
    <w:rPr>
      <w:rFonts w:ascii="Arial" w:hAnsi="Arial" w:eastAsia="黑体"/>
      <w:b/>
      <w:bCs/>
      <w:kern w:val="2"/>
      <w:sz w:val="32"/>
      <w:szCs w:val="32"/>
      <w:lang w:val="en-US" w:eastAsia="zh-CN" w:bidi="ar-SA"/>
    </w:rPr>
  </w:style>
  <w:style w:type="character" w:customStyle="1" w:styleId="171">
    <w:name w:val="txt"/>
    <w:qFormat/>
    <w:uiPriority w:val="0"/>
    <w:rPr>
      <w:color w:val="C0C0C0"/>
    </w:rPr>
  </w:style>
  <w:style w:type="character" w:customStyle="1" w:styleId="172">
    <w:name w:val="zs"/>
    <w:qFormat/>
    <w:uiPriority w:val="0"/>
    <w:rPr>
      <w:color w:val="8D744B"/>
      <w:sz w:val="18"/>
      <w:szCs w:val="18"/>
    </w:rPr>
  </w:style>
  <w:style w:type="character" w:customStyle="1" w:styleId="173">
    <w:name w:val="l21"/>
    <w:qFormat/>
    <w:uiPriority w:val="0"/>
    <w:rPr>
      <w:color w:val="999999"/>
    </w:rPr>
  </w:style>
  <w:style w:type="character" w:customStyle="1" w:styleId="174">
    <w:name w:val="starting4"/>
    <w:basedOn w:val="53"/>
    <w:qFormat/>
    <w:uiPriority w:val="0"/>
  </w:style>
  <w:style w:type="character" w:customStyle="1" w:styleId="175">
    <w:name w:val="img4"/>
    <w:basedOn w:val="53"/>
    <w:qFormat/>
    <w:uiPriority w:val="0"/>
  </w:style>
  <w:style w:type="character" w:customStyle="1" w:styleId="176">
    <w:name w:val="starting2"/>
    <w:qFormat/>
    <w:uiPriority w:val="0"/>
    <w:rPr>
      <w:color w:val="B60000"/>
    </w:rPr>
  </w:style>
  <w:style w:type="character" w:customStyle="1" w:styleId="177">
    <w:name w:val="num41"/>
    <w:basedOn w:val="53"/>
    <w:qFormat/>
    <w:uiPriority w:val="0"/>
  </w:style>
  <w:style w:type="character" w:customStyle="1" w:styleId="178">
    <w:name w:val="标题 1 Char Char"/>
    <w:qFormat/>
    <w:locked/>
    <w:uiPriority w:val="0"/>
    <w:rPr>
      <w:rFonts w:eastAsia="宋体"/>
      <w:b/>
      <w:bCs/>
      <w:kern w:val="44"/>
      <w:sz w:val="44"/>
      <w:szCs w:val="44"/>
      <w:lang w:val="en-US" w:eastAsia="zh-CN" w:bidi="ar-SA"/>
    </w:rPr>
  </w:style>
  <w:style w:type="character" w:customStyle="1" w:styleId="179">
    <w:name w:val="starting"/>
    <w:qFormat/>
    <w:uiPriority w:val="0"/>
    <w:rPr>
      <w:color w:val="339900"/>
    </w:rPr>
  </w:style>
  <w:style w:type="character" w:customStyle="1" w:styleId="180">
    <w:name w:val="font01"/>
    <w:basedOn w:val="53"/>
    <w:qFormat/>
    <w:uiPriority w:val="0"/>
    <w:rPr>
      <w:rFonts w:hint="eastAsia" w:ascii="仿宋_GB2312" w:eastAsia="仿宋_GB2312" w:cs="仿宋_GB2312"/>
      <w:color w:val="000000"/>
      <w:sz w:val="28"/>
      <w:szCs w:val="28"/>
      <w:u w:val="none"/>
    </w:rPr>
  </w:style>
  <w:style w:type="character" w:customStyle="1" w:styleId="181">
    <w:name w:val=" Char Char2"/>
    <w:qFormat/>
    <w:uiPriority w:val="0"/>
    <w:rPr>
      <w:rFonts w:eastAsia="宋体"/>
      <w:kern w:val="2"/>
      <w:sz w:val="21"/>
      <w:szCs w:val="24"/>
      <w:lang w:val="en-US" w:eastAsia="zh-CN" w:bidi="ar-SA"/>
    </w:rPr>
  </w:style>
  <w:style w:type="character" w:customStyle="1" w:styleId="182">
    <w:name w:val="num210"/>
    <w:basedOn w:val="53"/>
    <w:qFormat/>
    <w:uiPriority w:val="0"/>
  </w:style>
  <w:style w:type="character" w:customStyle="1" w:styleId="183">
    <w:name w:val="img_title7"/>
    <w:qFormat/>
    <w:uiPriority w:val="0"/>
    <w:rPr>
      <w:vanish/>
    </w:rPr>
  </w:style>
  <w:style w:type="character" w:customStyle="1" w:styleId="184">
    <w:name w:val="name1"/>
    <w:qFormat/>
    <w:uiPriority w:val="0"/>
    <w:rPr>
      <w:color w:val="695435"/>
      <w:sz w:val="24"/>
      <w:szCs w:val="24"/>
    </w:rPr>
  </w:style>
  <w:style w:type="character" w:customStyle="1" w:styleId="185">
    <w:name w:val=" Char Char4"/>
    <w:qFormat/>
    <w:uiPriority w:val="0"/>
    <w:rPr>
      <w:rFonts w:eastAsia="宋体"/>
      <w:b/>
      <w:bCs/>
      <w:kern w:val="44"/>
      <w:sz w:val="44"/>
      <w:szCs w:val="44"/>
      <w:lang w:val="en-US" w:eastAsia="zh-CN" w:bidi="ar-SA"/>
    </w:rPr>
  </w:style>
  <w:style w:type="paragraph" w:customStyle="1" w:styleId="186">
    <w:name w:val="Char"/>
    <w:basedOn w:val="1"/>
    <w:next w:val="1"/>
    <w:qFormat/>
    <w:uiPriority w:val="0"/>
    <w:pPr>
      <w:widowControl/>
      <w:spacing w:line="360" w:lineRule="auto"/>
      <w:jc w:val="left"/>
    </w:pPr>
    <w:rPr>
      <w:kern w:val="0"/>
      <w:szCs w:val="20"/>
      <w:lang w:eastAsia="en-US"/>
    </w:rPr>
  </w:style>
  <w:style w:type="paragraph" w:customStyle="1" w:styleId="18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88">
    <w:name w:val="正文1"/>
    <w:qFormat/>
    <w:uiPriority w:val="0"/>
    <w:pPr>
      <w:widowControl w:val="0"/>
      <w:adjustRightInd w:val="0"/>
      <w:spacing w:line="312" w:lineRule="atLeast"/>
      <w:jc w:val="both"/>
      <w:textAlignment w:val="baseline"/>
    </w:pPr>
    <w:rPr>
      <w:rFonts w:ascii="宋体" w:hAnsi="Calibri" w:eastAsia="宋体" w:cs="宋体"/>
      <w:sz w:val="24"/>
      <w:szCs w:val="24"/>
      <w:lang w:val="en-US" w:eastAsia="zh-CN" w:bidi="ar-SA"/>
    </w:rPr>
  </w:style>
  <w:style w:type="paragraph" w:customStyle="1" w:styleId="18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0">
    <w:name w:val="Pictur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91">
    <w:name w:val="样式3"/>
    <w:basedOn w:val="7"/>
    <w:qFormat/>
    <w:uiPriority w:val="0"/>
    <w:pPr>
      <w:spacing w:line="415" w:lineRule="auto"/>
    </w:pPr>
    <w:rPr>
      <w:rFonts w:eastAsia="Arial"/>
    </w:rPr>
  </w:style>
  <w:style w:type="paragraph" w:customStyle="1" w:styleId="192">
    <w:name w:val=" Char Char Char Char"/>
    <w:basedOn w:val="1"/>
    <w:qFormat/>
    <w:uiPriority w:val="0"/>
    <w:rPr>
      <w:rFonts w:ascii="Tahoma" w:hAnsi="Tahoma"/>
      <w:sz w:val="24"/>
      <w:szCs w:val="20"/>
    </w:rPr>
  </w:style>
  <w:style w:type="paragraph" w:customStyle="1" w:styleId="193">
    <w:name w:val="WPSOffice手动目录 1"/>
    <w:qFormat/>
    <w:uiPriority w:val="0"/>
    <w:rPr>
      <w:rFonts w:ascii="Times New Roman" w:hAnsi="Times New Roman" w:eastAsia="宋体" w:cs="Times New Roman"/>
      <w:lang w:val="en-US" w:eastAsia="zh-CN" w:bidi="ar-SA"/>
    </w:rPr>
  </w:style>
  <w:style w:type="paragraph" w:customStyle="1" w:styleId="194">
    <w:name w:val=" Char1 Char Char Char Char Char Char Char Char Char Char Char Char1 Char Char Char Char Char1 Char Char Char Char Char Char Char Char Char1 Char"/>
    <w:basedOn w:val="1"/>
    <w:qFormat/>
    <w:uiPriority w:val="0"/>
    <w:pPr>
      <w:widowControl/>
      <w:spacing w:after="160" w:line="240" w:lineRule="exact"/>
      <w:ind w:firstLine="560" w:firstLineChars="200"/>
      <w:jc w:val="left"/>
    </w:pPr>
    <w:rPr>
      <w:rFonts w:ascii="宋体" w:hAnsi="宋体"/>
      <w:kern w:val="0"/>
      <w:sz w:val="28"/>
      <w:szCs w:val="28"/>
      <w:lang w:eastAsia="en-US"/>
    </w:rPr>
  </w:style>
  <w:style w:type="paragraph" w:customStyle="1" w:styleId="195">
    <w:name w:val="Body text|1"/>
    <w:basedOn w:val="1"/>
    <w:qFormat/>
    <w:uiPriority w:val="0"/>
    <w:pPr>
      <w:widowControl w:val="0"/>
      <w:shd w:val="clear" w:color="auto" w:fill="auto"/>
      <w:spacing w:line="468" w:lineRule="auto"/>
      <w:ind w:firstLine="400"/>
    </w:pPr>
    <w:rPr>
      <w:rFonts w:ascii="宋体" w:hAnsi="宋体" w:eastAsia="宋体" w:cs="宋体"/>
      <w:sz w:val="20"/>
      <w:szCs w:val="20"/>
      <w:u w:val="none"/>
      <w:shd w:val="clear" w:color="auto" w:fill="auto"/>
      <w:lang w:val="zh-TW" w:eastAsia="zh-TW" w:bidi="zh-TW"/>
    </w:rPr>
  </w:style>
  <w:style w:type="paragraph" w:customStyle="1" w:styleId="196">
    <w:name w:val="样式1"/>
    <w:basedOn w:val="7"/>
    <w:qFormat/>
    <w:uiPriority w:val="0"/>
    <w:pPr>
      <w:spacing w:line="415" w:lineRule="auto"/>
    </w:pPr>
    <w:rPr>
      <w:rFonts w:eastAsia="Arial"/>
    </w:rPr>
  </w:style>
  <w:style w:type="paragraph" w:customStyle="1" w:styleId="197">
    <w:name w:val="Normal"/>
    <w:qFormat/>
    <w:uiPriority w:val="0"/>
    <w:pPr>
      <w:widowControl w:val="0"/>
      <w:jc w:val="both"/>
    </w:pPr>
    <w:rPr>
      <w:rFonts w:ascii="Calibri" w:hAnsi="Calibri" w:eastAsia="宋体" w:cs="Times New Roman"/>
      <w:lang w:val="en-US" w:eastAsia="zh-CN" w:bidi="ar-SA"/>
    </w:rPr>
  </w:style>
  <w:style w:type="paragraph" w:customStyle="1" w:styleId="198">
    <w:name w:val=" Char"/>
    <w:basedOn w:val="1"/>
    <w:next w:val="1"/>
    <w:qFormat/>
    <w:uiPriority w:val="0"/>
    <w:pPr>
      <w:widowControl/>
      <w:spacing w:line="360" w:lineRule="auto"/>
      <w:jc w:val="left"/>
    </w:pPr>
    <w:rPr>
      <w:kern w:val="0"/>
      <w:szCs w:val="20"/>
      <w:lang w:eastAsia="en-US"/>
    </w:rPr>
  </w:style>
  <w:style w:type="paragraph" w:customStyle="1" w:styleId="199">
    <w:name w:val="样式2"/>
    <w:basedOn w:val="7"/>
    <w:qFormat/>
    <w:uiPriority w:val="0"/>
    <w:pPr>
      <w:spacing w:line="415" w:lineRule="auto"/>
    </w:pPr>
  </w:style>
  <w:style w:type="paragraph" w:customStyle="1" w:styleId="200">
    <w:name w:val="p0 New"/>
    <w:basedOn w:val="1"/>
    <w:qFormat/>
    <w:uiPriority w:val="0"/>
    <w:pPr>
      <w:widowControl/>
      <w:jc w:val="left"/>
    </w:pPr>
    <w:rPr>
      <w:rFonts w:ascii="宋体" w:hAnsi="Calibri" w:cs="宋体"/>
      <w:kern w:val="0"/>
      <w:sz w:val="18"/>
      <w:szCs w:val="18"/>
    </w:rPr>
  </w:style>
  <w:style w:type="paragraph" w:customStyle="1" w:styleId="201">
    <w:name w:val="WPSOffice手动目录 3"/>
    <w:qFormat/>
    <w:uiPriority w:val="0"/>
    <w:pPr>
      <w:ind w:leftChars="400"/>
    </w:pPr>
    <w:rPr>
      <w:rFonts w:ascii="Times New Roman" w:hAnsi="Times New Roman" w:eastAsia="宋体" w:cs="Times New Roman"/>
      <w:sz w:val="20"/>
      <w:szCs w:val="20"/>
    </w:rPr>
  </w:style>
  <w:style w:type="paragraph" w:customStyle="1" w:styleId="202">
    <w:name w:val="1"/>
    <w:basedOn w:val="1"/>
    <w:next w:val="1"/>
    <w:qFormat/>
    <w:uiPriority w:val="0"/>
  </w:style>
  <w:style w:type="paragraph" w:customStyle="1" w:styleId="203">
    <w:name w:val="Char4"/>
    <w:basedOn w:val="1"/>
    <w:qFormat/>
    <w:uiPriority w:val="0"/>
    <w:pPr>
      <w:widowControl/>
      <w:spacing w:line="360" w:lineRule="auto"/>
      <w:ind w:firstLine="200" w:firstLineChars="200"/>
      <w:textAlignment w:val="baseline"/>
    </w:pPr>
    <w:rPr>
      <w:rFonts w:ascii="Calibri" w:hAnsi="Calibri"/>
      <w:color w:val="000000"/>
      <w:kern w:val="0"/>
      <w:szCs w:val="20"/>
      <w:u w:val="none" w:color="000000"/>
    </w:rPr>
  </w:style>
  <w:style w:type="paragraph" w:customStyle="1" w:styleId="20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样式4"/>
    <w:basedOn w:val="7"/>
    <w:qFormat/>
    <w:uiPriority w:val="0"/>
    <w:pPr>
      <w:spacing w:line="415" w:lineRule="auto"/>
    </w:pPr>
    <w:rPr>
      <w:rFonts w:eastAsia="Arial"/>
    </w:rPr>
  </w:style>
  <w:style w:type="paragraph" w:customStyle="1" w:styleId="206">
    <w:name w:val="Char Char"/>
    <w:basedOn w:val="1"/>
    <w:qFormat/>
    <w:uiPriority w:val="0"/>
    <w:pPr>
      <w:widowControl/>
      <w:spacing w:after="160" w:afterLines="0" w:line="240" w:lineRule="exact"/>
      <w:jc w:val="left"/>
    </w:pPr>
  </w:style>
  <w:style w:type="paragraph" w:customStyle="1" w:styleId="207">
    <w:name w:val="p"/>
    <w:basedOn w:val="1"/>
    <w:qFormat/>
    <w:uiPriority w:val="0"/>
    <w:rPr>
      <w:rFonts w:ascii="宋体"/>
      <w:sz w:val="24"/>
    </w:rPr>
  </w:style>
  <w:style w:type="paragraph" w:customStyle="1" w:styleId="208">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209">
    <w:name w:val="默认段落字体 Para Char Char Char Char"/>
    <w:basedOn w:val="1"/>
    <w:qFormat/>
    <w:uiPriority w:val="0"/>
  </w:style>
  <w:style w:type="paragraph" w:customStyle="1" w:styleId="210">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211">
    <w:name w:val=" Char Char Char Char Char Char Char Char Char Char Char Char Char"/>
    <w:basedOn w:val="1"/>
    <w:qFormat/>
    <w:uiPriority w:val="0"/>
    <w:rPr>
      <w:rFonts w:ascii="Calibri" w:hAnsi="Calibri"/>
    </w:rPr>
  </w:style>
  <w:style w:type="paragraph" w:customStyle="1" w:styleId="212">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213">
    <w:name w:val="表格"/>
    <w:basedOn w:val="1"/>
    <w:qFormat/>
    <w:uiPriority w:val="0"/>
    <w:pPr>
      <w:jc w:val="center"/>
      <w:textAlignment w:val="center"/>
    </w:pPr>
    <w:rPr>
      <w:rFonts w:ascii="华文细黑" w:hAnsi="华文细黑"/>
      <w:kern w:val="0"/>
      <w:szCs w:val="20"/>
    </w:rPr>
  </w:style>
  <w:style w:type="paragraph" w:customStyle="1" w:styleId="214">
    <w:name w:val="列出段落1"/>
    <w:basedOn w:val="1"/>
    <w:qFormat/>
    <w:uiPriority w:val="0"/>
    <w:pPr>
      <w:ind w:firstLine="200" w:firstLineChars="200"/>
    </w:pPr>
    <w:rPr>
      <w:rFonts w:ascii="Calibri" w:hAnsi="Calibri"/>
    </w:rPr>
  </w:style>
  <w:style w:type="paragraph" w:customStyle="1" w:styleId="215">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216">
    <w:name w:val="p0"/>
    <w:basedOn w:val="1"/>
    <w:qFormat/>
    <w:uiPriority w:val="0"/>
    <w:pPr>
      <w:widowControl/>
      <w:jc w:val="left"/>
    </w:pPr>
    <w:rPr>
      <w:rFonts w:ascii="宋体" w:hAnsi="宋体" w:cs="宋体"/>
      <w:kern w:val="0"/>
      <w:sz w:val="18"/>
      <w:szCs w:val="18"/>
    </w:rPr>
  </w:style>
  <w:style w:type="paragraph" w:customStyle="1" w:styleId="217">
    <w:name w:val="表格文字"/>
    <w:basedOn w:val="1"/>
    <w:qFormat/>
    <w:uiPriority w:val="0"/>
    <w:pPr>
      <w:adjustRightInd w:val="0"/>
      <w:spacing w:line="420" w:lineRule="atLeast"/>
      <w:jc w:val="left"/>
      <w:textAlignment w:val="baseline"/>
    </w:pPr>
    <w:rPr>
      <w:kern w:val="0"/>
      <w:szCs w:val="20"/>
    </w:rPr>
  </w:style>
  <w:style w:type="paragraph" w:customStyle="1" w:styleId="218">
    <w:name w:val="Char Char Char Char Char Char Char Char Char Char Char Char Char"/>
    <w:basedOn w:val="1"/>
    <w:qFormat/>
    <w:uiPriority w:val="0"/>
  </w:style>
  <w:style w:type="paragraph" w:customStyle="1" w:styleId="219">
    <w:name w:val="WPSOffice手动目录 2"/>
    <w:qFormat/>
    <w:uiPriority w:val="0"/>
    <w:pPr>
      <w:ind w:leftChars="200"/>
    </w:pPr>
    <w:rPr>
      <w:rFonts w:ascii="Times New Roman" w:hAnsi="Times New Roman" w:eastAsia="宋体" w:cs="Times New Roman"/>
      <w:lang w:val="en-US" w:eastAsia="zh-CN" w:bidi="ar-SA"/>
    </w:rPr>
  </w:style>
  <w:style w:type="paragraph" w:customStyle="1" w:styleId="220">
    <w:name w:val="Default Paragraph Char Char Char Char"/>
    <w:basedOn w:val="1"/>
    <w:next w:val="1"/>
    <w:qFormat/>
    <w:uiPriority w:val="0"/>
    <w:pPr>
      <w:spacing w:line="360" w:lineRule="auto"/>
    </w:pPr>
    <w:rPr>
      <w:rFonts w:ascii="Calibri" w:hAnsi="Calibri"/>
      <w:szCs w:val="20"/>
    </w:rPr>
  </w:style>
  <w:style w:type="paragraph" w:customStyle="1" w:styleId="221">
    <w:name w:val="Table Paragraph"/>
    <w:basedOn w:val="1"/>
    <w:qFormat/>
    <w:uiPriority w:val="1"/>
    <w:rPr>
      <w:rFonts w:ascii="宋体" w:hAnsi="宋体" w:cs="宋体"/>
      <w:lang w:val="zh-CN" w:bidi="zh-CN"/>
    </w:rPr>
  </w:style>
  <w:style w:type="paragraph" w:customStyle="1" w:styleId="222">
    <w:name w:val="p15"/>
    <w:qFormat/>
    <w:uiPriority w:val="0"/>
    <w:pPr>
      <w:jc w:val="both"/>
    </w:pPr>
    <w:rPr>
      <w:rFonts w:ascii="宋体" w:hAnsi="Calibri" w:eastAsia="宋体" w:cs="宋体"/>
      <w:sz w:val="21"/>
      <w:szCs w:val="21"/>
      <w:lang w:val="en-US" w:eastAsia="zh-CN" w:bidi="ar-SA"/>
    </w:rPr>
  </w:style>
  <w:style w:type="paragraph" w:styleId="223">
    <w:name w:val="List Paragraph"/>
    <w:basedOn w:val="1"/>
    <w:qFormat/>
    <w:uiPriority w:val="0"/>
    <w:pPr>
      <w:ind w:firstLine="200" w:firstLineChars="200"/>
    </w:pPr>
    <w:rPr>
      <w:rFonts w:ascii="Calibri" w:hAnsi="Calibri"/>
      <w:szCs w:val="22"/>
    </w:rPr>
  </w:style>
  <w:style w:type="paragraph" w:customStyle="1" w:styleId="224">
    <w:name w:val="Body text|2"/>
    <w:basedOn w:val="1"/>
    <w:qFormat/>
    <w:uiPriority w:val="0"/>
    <w:pPr>
      <w:widowControl w:val="0"/>
      <w:shd w:val="clear" w:color="auto" w:fill="auto"/>
      <w:spacing w:before="3540" w:line="634" w:lineRule="exact"/>
      <w:ind w:left="2920" w:hanging="790"/>
    </w:pPr>
    <w:rPr>
      <w:rFonts w:ascii="宋体" w:hAnsi="宋体" w:eastAsia="宋体" w:cs="宋体"/>
      <w:sz w:val="30"/>
      <w:szCs w:val="30"/>
      <w:u w:val="single"/>
      <w:shd w:val="clear" w:color="auto" w:fill="auto"/>
      <w:lang w:val="zh-TW" w:eastAsia="zh-TW" w:bidi="zh-TW"/>
    </w:rPr>
  </w:style>
  <w:style w:type="paragraph" w:customStyle="1" w:styleId="225">
    <w:name w:val="Tabl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226">
    <w:name w:val="Other|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character" w:customStyle="1" w:styleId="227">
    <w:name w:val="font21"/>
    <w:basedOn w:val="53"/>
    <w:qFormat/>
    <w:uiPriority w:val="0"/>
    <w:rPr>
      <w:rFonts w:hint="eastAsia" w:ascii="宋体" w:hAnsi="宋体" w:eastAsia="宋体" w:cs="宋体"/>
      <w:color w:val="000000"/>
      <w:sz w:val="24"/>
      <w:szCs w:val="24"/>
      <w:u w:val="none"/>
    </w:rPr>
  </w:style>
  <w:style w:type="character" w:customStyle="1" w:styleId="228">
    <w:name w:val="font112"/>
    <w:basedOn w:val="53"/>
    <w:qFormat/>
    <w:uiPriority w:val="0"/>
    <w:rPr>
      <w:rFonts w:ascii="MS Sans Serif" w:hAnsi="MS Sans Serif" w:eastAsia="MS Sans Serif" w:cs="MS Sans Serif"/>
      <w:color w:val="000000"/>
      <w:sz w:val="20"/>
      <w:szCs w:val="20"/>
      <w:u w:val="none"/>
    </w:rPr>
  </w:style>
  <w:style w:type="character" w:customStyle="1" w:styleId="229">
    <w:name w:val="font121"/>
    <w:basedOn w:val="53"/>
    <w:qFormat/>
    <w:uiPriority w:val="0"/>
    <w:rPr>
      <w:rFonts w:ascii="MS Sans Serif" w:hAnsi="MS Sans Serif" w:eastAsia="MS Sans Serif" w:cs="MS Sans Serif"/>
      <w:color w:val="000000"/>
      <w:sz w:val="20"/>
      <w:szCs w:val="20"/>
      <w:u w:val="none"/>
    </w:rPr>
  </w:style>
  <w:style w:type="character" w:customStyle="1" w:styleId="230">
    <w:name w:val="font71"/>
    <w:basedOn w:val="53"/>
    <w:qFormat/>
    <w:uiPriority w:val="0"/>
    <w:rPr>
      <w:rFonts w:hint="eastAsia" w:ascii="宋体" w:hAnsi="宋体" w:eastAsia="宋体" w:cs="宋体"/>
      <w:color w:val="000000"/>
      <w:sz w:val="20"/>
      <w:szCs w:val="20"/>
      <w:u w:val="none"/>
    </w:rPr>
  </w:style>
  <w:style w:type="character" w:customStyle="1" w:styleId="231">
    <w:name w:val="font91"/>
    <w:basedOn w:val="53"/>
    <w:qFormat/>
    <w:uiPriority w:val="0"/>
    <w:rPr>
      <w:rFonts w:hint="eastAsia" w:ascii="宋体" w:hAnsi="宋体" w:eastAsia="宋体" w:cs="宋体"/>
      <w:color w:val="000000"/>
      <w:sz w:val="20"/>
      <w:szCs w:val="20"/>
      <w:u w:val="none"/>
    </w:rPr>
  </w:style>
  <w:style w:type="character" w:customStyle="1" w:styleId="232">
    <w:name w:val="NormalCharacter"/>
    <w:semiHidden/>
    <w:qFormat/>
    <w:uiPriority w:val="0"/>
    <w:rPr>
      <w:rFonts w:ascii="Times New Roman" w:hAnsi="Times New Roman" w:eastAsia="宋体" w:cs="Times New Roman"/>
      <w:kern w:val="2"/>
      <w:sz w:val="21"/>
      <w:szCs w:val="24"/>
      <w:lang w:val="en-US" w:eastAsia="zh-CN" w:bidi="ar-SA"/>
    </w:rPr>
  </w:style>
  <w:style w:type="character" w:customStyle="1" w:styleId="233">
    <w:name w:val="font101"/>
    <w:basedOn w:val="53"/>
    <w:qFormat/>
    <w:uiPriority w:val="0"/>
    <w:rPr>
      <w:rFonts w:hint="eastAsia" w:ascii="宋体" w:hAnsi="宋体" w:eastAsia="宋体" w:cs="宋体"/>
      <w:color w:val="000000"/>
      <w:sz w:val="20"/>
      <w:szCs w:val="20"/>
      <w:u w:val="none"/>
    </w:rPr>
  </w:style>
  <w:style w:type="paragraph" w:customStyle="1" w:styleId="234">
    <w:name w:val="Table Text"/>
    <w:basedOn w:val="1"/>
    <w:semiHidden/>
    <w:qFormat/>
    <w:uiPriority w:val="0"/>
    <w:rPr>
      <w:rFonts w:ascii="宋体" w:hAnsi="宋体" w:eastAsia="宋体" w:cs="宋体"/>
      <w:sz w:val="24"/>
      <w:szCs w:val="24"/>
      <w:lang w:val="en-US" w:eastAsia="en-US" w:bidi="ar-SA"/>
    </w:rPr>
  </w:style>
  <w:style w:type="table" w:customStyle="1" w:styleId="235">
    <w:name w:val="Table Normal"/>
    <w:unhideWhenUsed/>
    <w:qFormat/>
    <w:uiPriority w:val="0"/>
    <w:tblPr>
      <w:tblCellMar>
        <w:top w:w="0" w:type="dxa"/>
        <w:left w:w="0" w:type="dxa"/>
        <w:bottom w:w="0" w:type="dxa"/>
        <w:right w:w="0" w:type="dxa"/>
      </w:tblCellMar>
    </w:tblPr>
  </w:style>
  <w:style w:type="paragraph" w:customStyle="1" w:styleId="236">
    <w:name w:val="List Paragraph1"/>
    <w:basedOn w:val="1"/>
    <w:qFormat/>
    <w:uiPriority w:val="1"/>
    <w:pPr>
      <w:ind w:left="354" w:firstLine="420"/>
    </w:pPr>
    <w:rPr>
      <w:rFonts w:ascii="宋体" w:hAnsi="宋体" w:eastAsia="宋体" w:cs="宋体"/>
      <w:lang w:val="zh-CN" w:eastAsia="zh-CN" w:bidi="zh-CN"/>
    </w:rPr>
  </w:style>
  <w:style w:type="character" w:customStyle="1" w:styleId="237">
    <w:name w:val="font61"/>
    <w:basedOn w:val="53"/>
    <w:qFormat/>
    <w:uiPriority w:val="0"/>
    <w:rPr>
      <w:rFonts w:hint="eastAsia" w:ascii="宋体" w:hAnsi="宋体" w:eastAsia="宋体" w:cs="宋体"/>
      <w:color w:val="000000"/>
      <w:sz w:val="20"/>
      <w:szCs w:val="20"/>
      <w:u w:val="none"/>
    </w:rPr>
  </w:style>
  <w:style w:type="character" w:customStyle="1" w:styleId="238">
    <w:name w:val="font111"/>
    <w:basedOn w:val="53"/>
    <w:qFormat/>
    <w:uiPriority w:val="0"/>
    <w:rPr>
      <w:rFonts w:hint="default" w:ascii="Times New Roman" w:hAnsi="Times New Roman" w:cs="Times New Roman"/>
      <w:color w:val="000000"/>
      <w:sz w:val="18"/>
      <w:szCs w:val="18"/>
      <w:u w:val="none"/>
    </w:rPr>
  </w:style>
  <w:style w:type="character" w:customStyle="1" w:styleId="239">
    <w:name w:val="font81"/>
    <w:basedOn w:val="5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2581</Words>
  <Characters>2952</Characters>
  <Lines>716</Lines>
  <Paragraphs>201</Paragraphs>
  <TotalTime>5</TotalTime>
  <ScaleCrop>false</ScaleCrop>
  <LinksUpToDate>false</LinksUpToDate>
  <CharactersWithSpaces>3124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2020-06-17T01:37:00Z</dcterms:created>
  <dc:creator>微软用户</dc:creator>
  <cp:lastModifiedBy>零℃</cp:lastModifiedBy>
  <cp:lastPrinted>2025-03-05T06:34:00Z</cp:lastPrinted>
  <dcterms:modified xsi:type="dcterms:W3CDTF">2025-04-15T06:40:56Z</dcterms:modified>
  <dc:title>花亭路等道路绿化工程苗木比价采购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D82854C5C87848E9922D1CE3ACD53DD8_13</vt:lpwstr>
  </property>
  <property fmtid="{D5CDD505-2E9C-101B-9397-08002B2CF9AE}" pid="4" name="KSOTemplateDocerSaveRecord">
    <vt:lpwstr>eyJoZGlkIjoiMWM5MzYwNTM3NTFmM2Q1OGZmYWY2YjUyOGYxYzk3ZTYiLCJ1c2VySWQiOiIyMjk1NDczMTQifQ==</vt:lpwstr>
  </property>
</Properties>
</file>