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6A565">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331827F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96"/>
          <w:szCs w:val="96"/>
          <w:highlight w:val="none"/>
          <w:u w:color="000000"/>
          <w:lang w:val="en-US" w:eastAsia="zh-CN" w:bidi="ar"/>
        </w:rPr>
      </w:pPr>
      <w:r>
        <w:rPr>
          <w:rFonts w:hint="eastAsia" w:asciiTheme="majorEastAsia" w:hAnsiTheme="majorEastAsia" w:eastAsiaTheme="majorEastAsia" w:cstheme="majorEastAsia"/>
          <w:b/>
          <w:bCs w:val="0"/>
          <w:color w:val="auto"/>
          <w:kern w:val="0"/>
          <w:sz w:val="48"/>
          <w:szCs w:val="28"/>
          <w:highlight w:val="none"/>
          <w:u w:color="000000"/>
          <w:lang w:val="en-US" w:eastAsia="zh-CN" w:bidi="ar"/>
        </w:rPr>
        <w:t>安徽省琅琊山旅游发展有限公司及子公司(安徽省琅琊山商贸发展有限公司、安徽省琅耶山健身休闲有限公司）2024年-2026年财务报表及财务收支审计项目</w:t>
      </w:r>
    </w:p>
    <w:p w14:paraId="0CF97475">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p>
    <w:p w14:paraId="416E3F70">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Cs/>
          <w:color w:val="auto"/>
          <w:sz w:val="28"/>
          <w:szCs w:val="28"/>
          <w:highlight w:val="none"/>
          <w:lang w:val="en-US"/>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14:paraId="75AABD5F">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14:paraId="75625734">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9BC7D90">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609732C3">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370057E9">
      <w:pPr>
        <w:pStyle w:val="19"/>
        <w:widowControl/>
        <w:rPr>
          <w:rFonts w:hint="eastAsia" w:asciiTheme="majorEastAsia" w:hAnsiTheme="majorEastAsia" w:eastAsiaTheme="majorEastAsia" w:cstheme="majorEastAsia"/>
          <w:color w:val="auto"/>
          <w:highlight w:val="none"/>
          <w:lang w:val="en-US"/>
        </w:rPr>
      </w:pPr>
    </w:p>
    <w:p w14:paraId="42ED454B">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7A47D443">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lang w:eastAsia="zh-CN"/>
        </w:rPr>
        <w:t>安徽省琅琊山旅游发展有限公司</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rPr>
        <w:t xml:space="preserve"> </w:t>
      </w:r>
    </w:p>
    <w:p w14:paraId="66114614">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p>
    <w:p w14:paraId="50F63CE6">
      <w:pPr>
        <w:adjustRightInd w:val="0"/>
        <w:snapToGrid w:val="0"/>
        <w:ind w:firstLine="340" w:firstLineChars="94"/>
        <w:rPr>
          <w:rFonts w:hint="eastAsia"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14:paraId="18B38451">
      <w:pPr>
        <w:adjustRightInd w:val="0"/>
        <w:snapToGrid w:val="0"/>
        <w:rPr>
          <w:rFonts w:hint="eastAsia" w:asciiTheme="majorEastAsia" w:hAnsiTheme="majorEastAsia" w:eastAsiaTheme="majorEastAsia" w:cstheme="majorEastAsia"/>
          <w:color w:val="auto"/>
          <w:spacing w:val="20"/>
          <w:sz w:val="32"/>
          <w:highlight w:val="none"/>
          <w:u w:val="single"/>
        </w:rPr>
      </w:pPr>
    </w:p>
    <w:p w14:paraId="4672A9BC">
      <w:pPr>
        <w:adjustRightInd w:val="0"/>
        <w:snapToGrid w:val="0"/>
        <w:spacing w:line="460" w:lineRule="exact"/>
        <w:ind w:firstLine="354" w:firstLineChars="98"/>
        <w:rPr>
          <w:rFonts w:hint="eastAsia"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eastAsia="zh-CN"/>
        </w:rPr>
        <w:t>2025年5月</w:t>
      </w:r>
      <w:r>
        <w:rPr>
          <w:rFonts w:hint="eastAsia" w:asciiTheme="majorEastAsia" w:hAnsiTheme="majorEastAsia" w:eastAsiaTheme="majorEastAsia" w:cstheme="majorEastAsia"/>
          <w:b/>
          <w:color w:val="auto"/>
          <w:sz w:val="32"/>
          <w:highlight w:val="none"/>
          <w:u w:val="thick"/>
        </w:rPr>
        <w:t xml:space="preserve">            </w:t>
      </w:r>
    </w:p>
    <w:p w14:paraId="556594E7">
      <w:pPr>
        <w:pStyle w:val="2"/>
        <w:widowControl/>
        <w:spacing w:before="0" w:beforeAutospacing="0" w:after="120" w:afterAutospacing="0"/>
        <w:ind w:leftChars="200" w:right="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35BBDAFE">
      <w:pPr>
        <w:keepNext w:val="0"/>
        <w:keepLines w:val="0"/>
        <w:widowControl/>
        <w:suppressLineNumbers w:val="0"/>
        <w:spacing w:before="0" w:beforeAutospacing="0" w:after="0" w:afterAutospacing="0" w:line="357" w:lineRule="atLeast"/>
        <w:ind w:left="0" w:right="-216" w:rightChars="-103"/>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 xml:space="preserve"> </w:t>
      </w:r>
    </w:p>
    <w:p w14:paraId="261E3471">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14:paraId="263C648E">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p w14:paraId="2B3801CD">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第一章  招标公告</w:t>
      </w:r>
      <w:bookmarkStart w:id="0" w:name="OLE_LINK4"/>
      <w:r>
        <w:rPr>
          <w:rFonts w:hint="eastAsia" w:asciiTheme="majorEastAsia" w:hAnsiTheme="majorEastAsia" w:eastAsiaTheme="majorEastAsia" w:cstheme="majorEastAsia"/>
          <w:color w:val="auto"/>
          <w:kern w:val="0"/>
          <w:sz w:val="24"/>
          <w:szCs w:val="24"/>
          <w:highlight w:val="none"/>
          <w:u w:color="000000"/>
          <w:lang w:val="en-US" w:eastAsia="zh-CN" w:bidi="ar"/>
        </w:rPr>
        <w:t xml:space="preserve"> …………………………………………………………………</w:t>
      </w:r>
      <w:bookmarkEnd w:id="0"/>
      <w:r>
        <w:rPr>
          <w:rFonts w:hint="eastAsia" w:asciiTheme="majorEastAsia" w:hAnsiTheme="majorEastAsia" w:eastAsiaTheme="majorEastAsia" w:cstheme="majorEastAsia"/>
          <w:color w:val="auto"/>
          <w:kern w:val="0"/>
          <w:sz w:val="24"/>
          <w:szCs w:val="24"/>
          <w:highlight w:val="none"/>
          <w:u w:color="000000"/>
          <w:lang w:val="en-US" w:eastAsia="zh-CN" w:bidi="ar"/>
        </w:rPr>
        <w:t>1</w:t>
      </w:r>
    </w:p>
    <w:p w14:paraId="2BC77F0E">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第二章  投标人须知 ………………………………………………………………3</w:t>
      </w:r>
    </w:p>
    <w:p w14:paraId="7F0A13FD">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第三章  资格审查办法……………………………………………………………13</w:t>
      </w:r>
    </w:p>
    <w:p w14:paraId="4692B30C">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第四章  评标办法…………………………………………………………………14</w:t>
      </w:r>
    </w:p>
    <w:p w14:paraId="0CD0E697">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第五章  采购需求和服务要求……………………………………………………18</w:t>
      </w:r>
    </w:p>
    <w:p w14:paraId="75BBBDE9">
      <w:pPr>
        <w:keepNext w:val="0"/>
        <w:keepLines w:val="0"/>
        <w:widowControl/>
        <w:suppressLineNumbers w:val="0"/>
        <w:spacing w:before="0" w:beforeAutospacing="0" w:after="0" w:afterAutospacing="0" w:line="720" w:lineRule="auto"/>
        <w:ind w:left="0" w:right="0"/>
        <w:jc w:val="both"/>
        <w:rPr>
          <w:rFonts w:hint="default"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第六章  合同条款及格式…………………………………………………………19</w:t>
      </w:r>
    </w:p>
    <w:p w14:paraId="6CAC5FDE">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第七章  投标文件格式……………………………………………………………23</w:t>
      </w:r>
    </w:p>
    <w:p w14:paraId="66B6915C">
      <w:pPr>
        <w:keepNext w:val="0"/>
        <w:keepLines w:val="0"/>
        <w:widowControl/>
        <w:suppressLineNumbers w:val="0"/>
        <w:spacing w:before="0" w:beforeAutospacing="0" w:after="0" w:afterAutospacing="0" w:line="720" w:lineRule="auto"/>
        <w:ind w:left="0" w:right="0"/>
        <w:jc w:val="both"/>
        <w:rPr>
          <w:rFonts w:hint="default"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第八章  招标人、招标代理机构对本招标文件的确认…………………………30</w:t>
      </w:r>
    </w:p>
    <w:p w14:paraId="6B6238C4">
      <w:pPr>
        <w:rPr>
          <w:rFonts w:hint="eastAsia" w:asciiTheme="majorEastAsia" w:hAnsiTheme="majorEastAsia" w:eastAsiaTheme="majorEastAsia" w:cstheme="majorEastAsia"/>
          <w:color w:val="auto"/>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4626D891">
      <w:pPr>
        <w:pStyle w:val="19"/>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Theme="majorEastAsia" w:hAnsiTheme="majorEastAsia" w:eastAsiaTheme="majorEastAsia" w:cstheme="majorEastAsia"/>
          <w:b/>
          <w:bCs/>
          <w:color w:val="auto"/>
          <w:highlight w:val="none"/>
          <w:lang w:val="en-US"/>
        </w:rPr>
      </w:pPr>
      <w:bookmarkStart w:id="1" w:name="_Toc29214"/>
      <w:bookmarkEnd w:id="1"/>
      <w:bookmarkStart w:id="2" w:name="_Toc23741_WPSOffice_Level1"/>
      <w:bookmarkEnd w:id="2"/>
      <w:r>
        <w:rPr>
          <w:rFonts w:hint="eastAsia" w:asciiTheme="majorEastAsia" w:hAnsiTheme="majorEastAsia" w:eastAsiaTheme="majorEastAsia" w:cstheme="majorEastAsia"/>
          <w:b/>
          <w:bCs/>
          <w:color w:val="auto"/>
          <w:highlight w:val="none"/>
          <w:lang w:eastAsia="zh-CN"/>
        </w:rPr>
        <w:t>第一章</w:t>
      </w:r>
      <w:r>
        <w:rPr>
          <w:rFonts w:hint="eastAsia" w:asciiTheme="majorEastAsia" w:hAnsiTheme="majorEastAsia" w:eastAsiaTheme="majorEastAsia" w:cstheme="majorEastAsia"/>
          <w:b/>
          <w:bCs/>
          <w:color w:val="auto"/>
          <w:highlight w:val="none"/>
          <w:lang w:val="en-US"/>
        </w:rPr>
        <w:t xml:space="preserve">  </w:t>
      </w:r>
      <w:bookmarkStart w:id="3" w:name="_Toc18980_WPSOffice_Level1"/>
      <w:bookmarkEnd w:id="3"/>
      <w:bookmarkStart w:id="4" w:name="_Toc7358"/>
      <w:bookmarkEnd w:id="4"/>
      <w:r>
        <w:rPr>
          <w:rFonts w:hint="eastAsia" w:asciiTheme="majorEastAsia" w:hAnsiTheme="majorEastAsia" w:eastAsiaTheme="majorEastAsia" w:cstheme="majorEastAsia"/>
          <w:b/>
          <w:bCs/>
          <w:color w:val="auto"/>
          <w:highlight w:val="none"/>
          <w:lang w:eastAsia="zh-CN"/>
        </w:rPr>
        <w:t>招标公告</w:t>
      </w:r>
    </w:p>
    <w:p w14:paraId="4F9C04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58430305"/>
      <w:bookmarkEnd w:id="5"/>
      <w:bookmarkStart w:id="6" w:name="_Toc28359079"/>
      <w:bookmarkEnd w:id="6"/>
      <w:bookmarkStart w:id="7" w:name="_Toc35393621"/>
      <w:bookmarkEnd w:id="7"/>
      <w:bookmarkStart w:id="8" w:name="_Toc28359002"/>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14:paraId="526FCE9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val="single" w:color="auto"/>
          <w:lang w:val="en-US" w:eastAsia="zh-CN" w:bidi="ar"/>
        </w:rPr>
      </w:pPr>
      <w:r>
        <w:rPr>
          <w:rFonts w:hint="eastAsia" w:asciiTheme="majorEastAsia" w:hAnsiTheme="majorEastAsia" w:eastAsiaTheme="majorEastAsia" w:cstheme="majorEastAsia"/>
          <w:color w:val="auto"/>
          <w:kern w:val="0"/>
          <w:sz w:val="24"/>
          <w:szCs w:val="24"/>
          <w:highlight w:val="none"/>
          <w:u w:val="single" w:color="auto"/>
          <w:lang w:val="en-US" w:eastAsia="zh-CN" w:bidi="ar"/>
        </w:rPr>
        <w:t>安徽省琅琊山旅游发展有限公司及子公司(安徽省琅琊山商贸发展有限公司、安徽省琅耶山健身休闲有限公司）2024年-2026年财务报表及财务收支审计项目的潜在投标人应在琅琊山景区网站（https://www.lysfjq.cn/）获取招标文件，并于2025年5月23日15时00分（北京时间）前递交投标文件。</w:t>
      </w:r>
    </w:p>
    <w:p w14:paraId="63731E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14:paraId="05B802F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项目名称：安徽省琅琊山旅游发展有限公司及子公司(安徽省琅琊山商贸发展有限公司、安徽省琅耶山健身休闲有限公司）2024年-2026年财务报表及财务收支审计项目</w:t>
      </w:r>
    </w:p>
    <w:p w14:paraId="0999FFB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预算金额：9.5万元</w:t>
      </w:r>
    </w:p>
    <w:p w14:paraId="0159454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最高限价：本项目总价最高投标限价为9.5万元。</w:t>
      </w:r>
    </w:p>
    <w:p w14:paraId="1931B84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采购内容：对安徽省琅琊山旅游发展有限公司及子公司(安徽省琅琊山商贸发展有限公司、安徽省琅耶山健身休闲有限公司)2024年-2026年财务报表及财务收支进行审计。本次审计需全面梳理账面情况，重点关注公益性资产、长账龄往来款（5年以上）,同时需就在审计过程中发现的会计核算、财务管理、内部控制等情况进行核查。2024年度安徽省琅琊山旅游发展有限公司资产总额133201万元，凭证约120本，安徽省琅琊山商贸发展有限公司资产总额783万元，凭证约52本，安徽省琅耶山健身休闲有限公司资产总额278万元，凭证约15本。2025年、2026年以实际所产生凭证为准。</w:t>
      </w:r>
    </w:p>
    <w:p w14:paraId="703083E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服务期限：</w:t>
      </w:r>
      <w:r>
        <w:rPr>
          <w:rFonts w:hint="eastAsia" w:asciiTheme="majorEastAsia" w:hAnsiTheme="majorEastAsia" w:eastAsiaTheme="majorEastAsia" w:cstheme="majorEastAsia"/>
          <w:color w:val="auto"/>
          <w:kern w:val="0"/>
          <w:sz w:val="24"/>
          <w:szCs w:val="24"/>
          <w:highlight w:val="none"/>
          <w:u w:color="000000"/>
          <w:lang w:val="en-US" w:eastAsia="zh-CN" w:bidi="ar"/>
        </w:rPr>
        <w:t>中标人进场后30日内完成2024年度财务报表及财务收支审计工作。2025年、2026年的每年3月30日前完成前一年度财务报表及财务收支审计工作。最终提供正式审计报告1式4份。</w:t>
      </w:r>
    </w:p>
    <w:p w14:paraId="3D0FE3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本项目不接受联合体投标</w:t>
      </w:r>
    </w:p>
    <w:p w14:paraId="49BCB0C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投标人的资格要求</w:t>
      </w:r>
    </w:p>
    <w:p w14:paraId="639D3F0D">
      <w:pPr>
        <w:keepNext w:val="0"/>
        <w:keepLines w:val="0"/>
        <w:pageBreakBefore w:val="0"/>
        <w:widowControl/>
        <w:suppressLineNumbers w:val="0"/>
        <w:kinsoku/>
        <w:wordWrap/>
        <w:overflowPunct/>
        <w:topLinePunct w:val="0"/>
        <w:autoSpaceDE/>
        <w:autoSpaceDN/>
        <w:bidi w:val="0"/>
        <w:snapToGrid/>
        <w:spacing w:line="440" w:lineRule="exact"/>
        <w:ind w:firstLine="480" w:firstLineChars="200"/>
        <w:jc w:val="left"/>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1.投标人须具备经财政部门批准的会计师事务所执业证书。</w:t>
      </w:r>
    </w:p>
    <w:p w14:paraId="4E1D1D6D">
      <w:pPr>
        <w:keepNext w:val="0"/>
        <w:keepLines w:val="0"/>
        <w:pageBreakBefore w:val="0"/>
        <w:widowControl/>
        <w:suppressLineNumbers w:val="0"/>
        <w:kinsoku/>
        <w:wordWrap/>
        <w:overflowPunct/>
        <w:topLinePunct w:val="0"/>
        <w:autoSpaceDE/>
        <w:autoSpaceDN/>
        <w:bidi w:val="0"/>
        <w:snapToGrid/>
        <w:spacing w:line="440" w:lineRule="exact"/>
        <w:ind w:firstLine="480" w:firstLineChars="200"/>
        <w:jc w:val="left"/>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2.项目负责人（仅限1人）：投标人拟派项目负责人须具有注册在本单位的注册会计师（执业）资格。</w:t>
      </w:r>
    </w:p>
    <w:p w14:paraId="43FE875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14:paraId="1B1ED42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2025年5月19日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2025年5月23日</w:t>
      </w:r>
    </w:p>
    <w:p w14:paraId="53F98AEC">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sz w:val="24"/>
          <w:szCs w:val="24"/>
          <w:highlight w:val="none"/>
          <w:lang w:eastAsia="zh-CN"/>
        </w:rPr>
        <w:t>琅琊山景区网站（https://www.lysfjq.cn/）</w:t>
      </w:r>
    </w:p>
    <w:p w14:paraId="366D8EB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14:paraId="197DCB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14:paraId="7A3E3A5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0" w:name="_Toc28359082"/>
      <w:bookmarkEnd w:id="10"/>
      <w:bookmarkStart w:id="11" w:name="_Toc58430308"/>
      <w:bookmarkEnd w:id="11"/>
      <w:bookmarkStart w:id="12" w:name="_Toc35393793"/>
      <w:bookmarkEnd w:id="12"/>
      <w:bookmarkStart w:id="13" w:name="_Toc28359005"/>
      <w:bookmarkEnd w:id="13"/>
      <w:r>
        <w:rPr>
          <w:rFonts w:hint="eastAsia" w:asciiTheme="majorEastAsia" w:hAnsiTheme="majorEastAsia" w:eastAsiaTheme="majorEastAsia" w:cstheme="majorEastAsia"/>
          <w:b/>
          <w:color w:val="auto"/>
          <w:sz w:val="24"/>
          <w:szCs w:val="24"/>
          <w:highlight w:val="none"/>
        </w:rPr>
        <w:t>四、提交投标文件截止时间、开标时间和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14:paraId="26861DD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截止时间：</w:t>
      </w:r>
      <w:r>
        <w:rPr>
          <w:rFonts w:hint="eastAsia" w:asciiTheme="majorEastAsia" w:hAnsiTheme="majorEastAsia" w:eastAsiaTheme="majorEastAsia" w:cstheme="majorEastAsia"/>
          <w:bCs/>
          <w:color w:val="auto"/>
          <w:kern w:val="0"/>
          <w:sz w:val="24"/>
          <w:szCs w:val="24"/>
          <w:highlight w:val="none"/>
          <w:u w:val="single" w:color="000000"/>
          <w:lang w:val="en-US" w:eastAsia="zh-CN" w:bidi="ar"/>
        </w:rPr>
        <w:t>2025年5月23日15时00分</w:t>
      </w:r>
      <w:r>
        <w:rPr>
          <w:rFonts w:hint="eastAsia" w:asciiTheme="majorEastAsia" w:hAnsiTheme="majorEastAsia" w:eastAsiaTheme="majorEastAsia" w:cstheme="majorEastAsia"/>
          <w:bCs/>
          <w:color w:val="auto"/>
          <w:kern w:val="0"/>
          <w:sz w:val="24"/>
          <w:szCs w:val="24"/>
          <w:highlight w:val="none"/>
          <w:u w:color="000000"/>
          <w:lang w:val="en-US" w:eastAsia="zh-CN" w:bidi="ar"/>
        </w:rPr>
        <w:t>（北京时间）</w:t>
      </w:r>
    </w:p>
    <w:p w14:paraId="11A57FA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地点：安徽省琅琊山旅游发展有限公司一楼会议室</w:t>
      </w:r>
    </w:p>
    <w:p w14:paraId="40CA75D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14:paraId="5A239F4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14:paraId="7BD3928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14:paraId="07286DB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1.招标人信息</w:t>
      </w:r>
    </w:p>
    <w:p w14:paraId="096C74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名称：安徽省琅琊山旅游发展有限公司   </w:t>
      </w:r>
    </w:p>
    <w:p w14:paraId="2C50CFA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地址：滁州市西涧中路4306号 </w:t>
      </w:r>
    </w:p>
    <w:p w14:paraId="31A3C2A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kern w:val="0"/>
          <w:sz w:val="24"/>
          <w:szCs w:val="24"/>
          <w:highlight w:val="none"/>
          <w:u w:color="000000"/>
          <w:lang w:val="en-US" w:eastAsia="zh-CN" w:bidi="ar"/>
        </w:rPr>
        <w:t>18255011285</w:t>
      </w:r>
    </w:p>
    <w:p w14:paraId="3AAA55E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2.</w:t>
      </w:r>
      <w:bookmarkEnd w:id="15"/>
      <w:r>
        <w:rPr>
          <w:rFonts w:hint="eastAsia" w:asciiTheme="majorEastAsia" w:hAnsiTheme="majorEastAsia" w:eastAsiaTheme="majorEastAsia" w:cstheme="majorEastAsia"/>
          <w:bCs/>
          <w:color w:val="auto"/>
          <w:kern w:val="0"/>
          <w:sz w:val="24"/>
          <w:szCs w:val="24"/>
          <w:highlight w:val="none"/>
          <w:u w:color="000000"/>
          <w:lang w:val="en-US" w:eastAsia="zh-CN" w:bidi="ar"/>
        </w:rPr>
        <w:t>代理机构信息</w:t>
      </w:r>
    </w:p>
    <w:p w14:paraId="55002F3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名称：滁州市城投工程咨询管理有限公司</w:t>
      </w:r>
    </w:p>
    <w:p w14:paraId="4FB2FD9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地址：滁州市龙蟠大道109号房产大厦6楼605室</w:t>
      </w:r>
    </w:p>
    <w:p w14:paraId="7563DA9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联系方式：0550-3519519、18955055067</w:t>
      </w:r>
    </w:p>
    <w:p w14:paraId="5727D55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14:paraId="76052A8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项目联系人：张培琦、王芳    </w:t>
      </w:r>
    </w:p>
    <w:p w14:paraId="422559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电      话：</w:t>
      </w:r>
      <w:r>
        <w:rPr>
          <w:rFonts w:hint="eastAsia" w:asciiTheme="majorEastAsia" w:hAnsiTheme="majorEastAsia" w:eastAsiaTheme="majorEastAsia" w:cstheme="majorEastAsia"/>
          <w:bCs/>
          <w:color w:val="auto"/>
          <w:sz w:val="24"/>
          <w:szCs w:val="24"/>
          <w:highlight w:val="none"/>
          <w:lang w:val="en-US" w:eastAsia="zh-CN"/>
        </w:rPr>
        <w:t>18255011285</w:t>
      </w:r>
      <w:r>
        <w:rPr>
          <w:rFonts w:hint="eastAsia" w:asciiTheme="majorEastAsia" w:hAnsiTheme="majorEastAsia" w:eastAsiaTheme="majorEastAsia" w:cstheme="majorEastAsia"/>
          <w:bCs/>
          <w:color w:val="auto"/>
          <w:kern w:val="0"/>
          <w:sz w:val="24"/>
          <w:szCs w:val="24"/>
          <w:highlight w:val="none"/>
          <w:u w:color="000000"/>
          <w:lang w:val="en-US" w:eastAsia="zh-CN" w:bidi="ar"/>
        </w:rPr>
        <w:t>、18955055067</w:t>
      </w:r>
    </w:p>
    <w:p w14:paraId="7E903A6F">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14:paraId="0CDA6137">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17"/>
    </w:p>
    <w:tbl>
      <w:tblPr>
        <w:tblStyle w:val="24"/>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65D88A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80C4F1">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eastAsia="zh-CN"/>
              </w:rPr>
            </w:pPr>
            <w:r>
              <w:rPr>
                <w:rFonts w:hint="eastAsia" w:asciiTheme="majorEastAsia" w:hAnsiTheme="majorEastAsia" w:eastAsiaTheme="majorEastAsia" w:cstheme="majorEastAsia"/>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06493DB4">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1A5654A">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highlight w:val="none"/>
              </w:rPr>
              <w:t>说明与要求</w:t>
            </w:r>
          </w:p>
        </w:tc>
      </w:tr>
      <w:tr w14:paraId="629353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8C4A0E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AD4AD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F50469">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bCs/>
                <w:color w:val="auto"/>
                <w:highlight w:val="none"/>
                <w:lang w:eastAsia="zh-CN"/>
              </w:rPr>
              <w:t>安徽省琅琊山旅游发展有限公司及子公司(安徽省琅琊山商贸发展有限公司、安徽省琅耶山健身休闲有限公司）2024年-2026年财务报表及财务收支审计项目</w:t>
            </w:r>
          </w:p>
        </w:tc>
      </w:tr>
      <w:tr w14:paraId="5E3332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CE8E14">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D4AB08">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44BE83">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5783F0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B7CAFA">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B7748B">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8C16A6">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szCs w:val="21"/>
                <w:highlight w:val="none"/>
                <w:lang w:val="en-US" w:eastAsia="zh-CN"/>
              </w:rPr>
              <w:t>招标人指定地点</w:t>
            </w:r>
          </w:p>
        </w:tc>
      </w:tr>
      <w:tr w14:paraId="3FD382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72139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723B930">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5DBD0F">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 w:val="21"/>
                <w:szCs w:val="21"/>
                <w:highlight w:val="none"/>
                <w:lang w:val="en-US" w:eastAsia="zh-CN"/>
              </w:rPr>
              <w:t>张培琦  18255011285</w:t>
            </w:r>
          </w:p>
        </w:tc>
      </w:tr>
      <w:tr w14:paraId="4A74C5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8C3E5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1E7E61">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招标</w:t>
            </w:r>
            <w:r>
              <w:rPr>
                <w:rFonts w:hint="eastAsia" w:asciiTheme="majorEastAsia" w:hAnsiTheme="majorEastAsia" w:eastAsiaTheme="majorEastAsia" w:cstheme="majorEastAsia"/>
                <w:color w:val="auto"/>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D559FF">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eastAsia="zh-CN"/>
              </w:rPr>
              <w:t>王芳</w:t>
            </w:r>
            <w:r>
              <w:rPr>
                <w:rFonts w:hint="eastAsia" w:asciiTheme="majorEastAsia" w:hAnsiTheme="majorEastAsia" w:eastAsiaTheme="majorEastAsia" w:cstheme="majorEastAsia"/>
                <w:color w:val="auto"/>
                <w:highlight w:val="none"/>
              </w:rPr>
              <w:t xml:space="preserve"> </w:t>
            </w:r>
            <w:r>
              <w:rPr>
                <w:rFonts w:hint="eastAsia" w:asciiTheme="majorEastAsia" w:hAnsiTheme="majorEastAsia" w:eastAsiaTheme="majorEastAsia" w:cstheme="majorEastAsia"/>
                <w:color w:val="auto"/>
                <w:highlight w:val="none"/>
                <w:lang w:val="en-US" w:eastAsia="zh-CN"/>
              </w:rPr>
              <w:t xml:space="preserve"> </w:t>
            </w:r>
            <w:r>
              <w:rPr>
                <w:rFonts w:hint="eastAsia" w:asciiTheme="majorEastAsia" w:hAnsiTheme="majorEastAsia" w:eastAsiaTheme="majorEastAsia" w:cstheme="majorEastAsia"/>
                <w:color w:val="auto"/>
                <w:highlight w:val="none"/>
                <w:lang w:val="en-US"/>
              </w:rPr>
              <w:t xml:space="preserve">0550-3519519  </w:t>
            </w:r>
            <w:r>
              <w:rPr>
                <w:rFonts w:hint="eastAsia" w:asciiTheme="majorEastAsia" w:hAnsiTheme="majorEastAsia" w:eastAsiaTheme="majorEastAsia" w:cstheme="majorEastAsia"/>
                <w:color w:val="auto"/>
                <w:highlight w:val="none"/>
                <w:lang w:val="en-US" w:eastAsia="zh-CN"/>
              </w:rPr>
              <w:t>18955055067</w:t>
            </w:r>
          </w:p>
        </w:tc>
      </w:tr>
      <w:tr w14:paraId="5EF57F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8119412">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0509B0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4704D0">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7FA8A8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3F6A24">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347310">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71F177">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采购需求和服务要求</w:t>
            </w:r>
            <w:r>
              <w:rPr>
                <w:rFonts w:hint="eastAsia" w:hAnsi="宋体" w:cs="宋体"/>
                <w:bCs/>
                <w:color w:val="auto"/>
                <w:szCs w:val="21"/>
                <w:highlight w:val="none"/>
              </w:rPr>
              <w:t>》</w:t>
            </w:r>
          </w:p>
        </w:tc>
      </w:tr>
      <w:tr w14:paraId="05BA33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0FC51E1">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69E692E">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标</w:t>
            </w:r>
            <w:r>
              <w:rPr>
                <w:rFonts w:hint="eastAsia" w:asciiTheme="majorEastAsia" w:hAnsiTheme="majorEastAsia" w:eastAsiaTheme="majorEastAsia" w:cstheme="majorEastAsia"/>
                <w:color w:val="auto"/>
                <w:highlight w:val="none"/>
                <w:lang w:val="en-US" w:eastAsia="zh-CN"/>
              </w:rPr>
              <w:t>段</w:t>
            </w:r>
            <w:r>
              <w:rPr>
                <w:rFonts w:hint="eastAsia" w:asciiTheme="majorEastAsia" w:hAnsiTheme="majorEastAsia" w:eastAsiaTheme="majorEastAsia" w:cstheme="majorEastAsia"/>
                <w:color w:val="auto"/>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8096927">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rPr>
              <w:t>本项目划分为</w:t>
            </w:r>
            <w:r>
              <w:rPr>
                <w:rFonts w:hint="eastAsia" w:asciiTheme="majorEastAsia" w:hAnsiTheme="majorEastAsia" w:eastAsiaTheme="majorEastAsia" w:cstheme="majorEastAsia"/>
                <w:color w:val="auto"/>
                <w:highlight w:val="none"/>
                <w:u w:val="single"/>
                <w:lang w:val="en-US"/>
              </w:rPr>
              <w:t xml:space="preserve"> 1 </w:t>
            </w:r>
            <w:r>
              <w:rPr>
                <w:rFonts w:hint="eastAsia" w:asciiTheme="majorEastAsia" w:hAnsiTheme="majorEastAsia" w:eastAsiaTheme="majorEastAsia" w:cstheme="majorEastAsia"/>
                <w:color w:val="auto"/>
                <w:highlight w:val="none"/>
              </w:rPr>
              <w:t>个标</w:t>
            </w:r>
            <w:r>
              <w:rPr>
                <w:rFonts w:hint="eastAsia" w:asciiTheme="majorEastAsia" w:hAnsiTheme="majorEastAsia" w:eastAsiaTheme="majorEastAsia" w:cstheme="majorEastAsia"/>
                <w:color w:val="auto"/>
                <w:highlight w:val="none"/>
                <w:lang w:val="en-US" w:eastAsia="zh-CN"/>
              </w:rPr>
              <w:t>段</w:t>
            </w:r>
          </w:p>
        </w:tc>
      </w:tr>
      <w:tr w14:paraId="7718A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6D3D7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1D552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eastAsia="zh-CN"/>
              </w:rPr>
              <w:t>招标</w:t>
            </w:r>
            <w:r>
              <w:rPr>
                <w:rFonts w:hint="eastAsia" w:asciiTheme="majorEastAsia" w:hAnsiTheme="majorEastAsia" w:eastAsiaTheme="majorEastAsia" w:cstheme="majorEastAsia"/>
                <w:color w:val="auto"/>
                <w:highlight w:val="none"/>
                <w:lang w:val="en-US" w:eastAsia="zh-CN"/>
              </w:rPr>
              <w:t>方</w:t>
            </w:r>
            <w:r>
              <w:rPr>
                <w:rFonts w:hint="eastAsia" w:asciiTheme="majorEastAsia" w:hAnsiTheme="majorEastAsia" w:eastAsiaTheme="majorEastAsia" w:cstheme="majorEastAsia"/>
                <w:color w:val="auto"/>
                <w:highlight w:val="none"/>
              </w:rPr>
              <w:t>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01AED7">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公开招标</w:t>
            </w:r>
          </w:p>
        </w:tc>
      </w:tr>
      <w:tr w14:paraId="5F9681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8AAA15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3535D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E8FB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14:paraId="48098D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81E8C9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036D65C">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403E7A">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不组织</w:t>
            </w:r>
            <w:r>
              <w:rPr>
                <w:rFonts w:hint="eastAsia" w:asciiTheme="majorEastAsia" w:hAnsiTheme="majorEastAsia" w:eastAsiaTheme="majorEastAsia" w:cstheme="majorEastAsia"/>
                <w:color w:val="auto"/>
                <w:highlight w:val="none"/>
                <w:lang w:val="en-US"/>
              </w:rPr>
              <w:t>,</w:t>
            </w:r>
            <w:r>
              <w:rPr>
                <w:rFonts w:hint="eastAsia" w:asciiTheme="majorEastAsia" w:hAnsiTheme="majorEastAsia" w:eastAsiaTheme="majorEastAsia" w:cstheme="majorEastAsia"/>
                <w:color w:val="auto"/>
                <w:highlight w:val="none"/>
              </w:rPr>
              <w:t>投标人自行踏勘现场</w:t>
            </w:r>
          </w:p>
        </w:tc>
      </w:tr>
      <w:tr w14:paraId="7A662E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A6130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2D61A3">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F63882">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不召开</w:t>
            </w:r>
          </w:p>
        </w:tc>
      </w:tr>
      <w:tr w14:paraId="4F8891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2D5A18">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C647EC">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投标人提出</w:t>
            </w:r>
            <w:r>
              <w:rPr>
                <w:rFonts w:hint="eastAsia" w:asciiTheme="majorEastAsia" w:hAnsiTheme="majorEastAsia" w:eastAsiaTheme="majorEastAsia" w:cstheme="majorEastAsia"/>
                <w:color w:val="auto"/>
                <w:highlight w:val="none"/>
                <w:u w:val="single"/>
              </w:rPr>
              <w:t>疑问</w:t>
            </w:r>
            <w:r>
              <w:rPr>
                <w:rFonts w:hint="eastAsia"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3B0173">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b w:val="0"/>
                <w:bCs w:val="0"/>
                <w:color w:val="auto"/>
                <w:highlight w:val="none"/>
                <w:lang w:val="en-US"/>
              </w:rPr>
            </w:pPr>
            <w:r>
              <w:rPr>
                <w:rFonts w:hint="eastAsia" w:asciiTheme="majorEastAsia" w:hAnsiTheme="majorEastAsia" w:eastAsiaTheme="majorEastAsia" w:cstheme="majorEastAsia"/>
                <w:b w:val="0"/>
                <w:bCs w:val="0"/>
                <w:color w:val="auto"/>
                <w:highlight w:val="none"/>
              </w:rPr>
              <w:t>如投标人对招标文件有疑问，请于</w:t>
            </w:r>
            <w:r>
              <w:rPr>
                <w:rFonts w:hint="eastAsia" w:asciiTheme="majorEastAsia" w:hAnsiTheme="majorEastAsia" w:eastAsiaTheme="majorEastAsia" w:cstheme="majorEastAsia"/>
                <w:b w:val="0"/>
                <w:bCs w:val="0"/>
                <w:color w:val="auto"/>
                <w:highlight w:val="none"/>
                <w:lang w:val="en-US" w:eastAsia="zh-CN"/>
              </w:rPr>
              <w:t>2025年5月21日12时前</w:t>
            </w:r>
            <w:r>
              <w:rPr>
                <w:rFonts w:hint="eastAsia" w:asciiTheme="majorEastAsia" w:hAnsiTheme="majorEastAsia" w:eastAsiaTheme="majorEastAsia" w:cstheme="majorEastAsia"/>
                <w:b w:val="0"/>
                <w:bCs w:val="0"/>
                <w:color w:val="auto"/>
                <w:highlight w:val="none"/>
              </w:rPr>
              <w:t>以书面的形式加盖投标单位公章，发送至滁州市城投工程咨询管理有限公司邮箱（</w:t>
            </w:r>
            <w:r>
              <w:rPr>
                <w:rFonts w:hint="eastAsia" w:asciiTheme="majorEastAsia" w:hAnsiTheme="majorEastAsia" w:eastAsiaTheme="majorEastAsia" w:cstheme="majorEastAsia"/>
                <w:b w:val="0"/>
                <w:bCs w:val="0"/>
                <w:color w:val="auto"/>
                <w:highlight w:val="none"/>
                <w:lang w:val="en-US"/>
              </w:rPr>
              <w:t>czsct</w:t>
            </w:r>
            <w:r>
              <w:rPr>
                <w:rFonts w:hint="eastAsia" w:asciiTheme="majorEastAsia" w:hAnsiTheme="majorEastAsia" w:eastAsiaTheme="majorEastAsia" w:cstheme="majorEastAsia"/>
                <w:b w:val="0"/>
                <w:bCs w:val="0"/>
                <w:color w:val="auto"/>
                <w:highlight w:val="none"/>
                <w:lang w:val="en-US" w:eastAsia="zh-CN"/>
              </w:rPr>
              <w:t>gc</w:t>
            </w:r>
            <w:r>
              <w:rPr>
                <w:rFonts w:hint="eastAsia" w:asciiTheme="majorEastAsia" w:hAnsiTheme="majorEastAsia" w:eastAsiaTheme="majorEastAsia" w:cstheme="majorEastAsia"/>
                <w:b w:val="0"/>
                <w:bCs w:val="0"/>
                <w:color w:val="auto"/>
                <w:highlight w:val="none"/>
                <w:lang w:val="en-US"/>
              </w:rPr>
              <w:t>zx@163.com</w:t>
            </w:r>
            <w:r>
              <w:rPr>
                <w:rFonts w:hint="eastAsia" w:asciiTheme="majorEastAsia" w:hAnsiTheme="majorEastAsia" w:eastAsiaTheme="majorEastAsia" w:cstheme="majorEastAsia"/>
                <w:b w:val="0"/>
                <w:bCs w:val="0"/>
                <w:color w:val="auto"/>
                <w:highlight w:val="none"/>
              </w:rPr>
              <w:t>）。</w:t>
            </w:r>
          </w:p>
        </w:tc>
      </w:tr>
      <w:tr w14:paraId="4C248F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113B0">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E552C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AC454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b w:val="0"/>
                <w:bCs w:val="0"/>
                <w:color w:val="auto"/>
                <w:kern w:val="2"/>
                <w:highlight w:val="none"/>
                <w:lang w:val="en-US"/>
              </w:rPr>
            </w:pP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招标人将在</w:t>
            </w:r>
            <w:r>
              <w:rPr>
                <w:rFonts w:hint="eastAsia" w:asciiTheme="majorEastAsia" w:hAnsiTheme="majorEastAsia" w:eastAsiaTheme="majorEastAsia" w:cstheme="majorEastAsia"/>
                <w:b w:val="0"/>
                <w:bCs w:val="0"/>
                <w:color w:val="auto"/>
                <w:kern w:val="2"/>
                <w:sz w:val="21"/>
                <w:szCs w:val="21"/>
                <w:highlight w:val="none"/>
                <w:u w:color="auto"/>
                <w:lang w:val="en-US" w:eastAsia="zh-CN" w:bidi="ar"/>
              </w:rPr>
              <w:t>2025年5月22日17时后</w:t>
            </w: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以澄清公告形式在</w:t>
            </w:r>
            <w:r>
              <w:rPr>
                <w:rFonts w:hint="eastAsia" w:asciiTheme="majorEastAsia" w:hAnsiTheme="majorEastAsia" w:eastAsiaTheme="majorEastAsia" w:cstheme="majorEastAsia"/>
                <w:color w:val="auto"/>
                <w:szCs w:val="21"/>
                <w:highlight w:val="none"/>
                <w:lang w:eastAsia="zh-CN"/>
              </w:rPr>
              <w:t>琅琊山景区网站（https://www.lysfjq.cn/）</w:t>
            </w:r>
            <w:r>
              <w:rPr>
                <w:rFonts w:hint="eastAsia" w:asciiTheme="majorEastAsia" w:hAnsiTheme="majorEastAsia" w:eastAsiaTheme="majorEastAsia" w:cstheme="majorEastAsia"/>
                <w:color w:val="auto"/>
                <w:szCs w:val="21"/>
                <w:highlight w:val="none"/>
              </w:rPr>
              <w:t>发布。</w:t>
            </w:r>
          </w:p>
        </w:tc>
      </w:tr>
      <w:tr w14:paraId="613C34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F2CBC8">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4700DA">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25F9ED">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本次招标</w:t>
            </w:r>
            <w:r>
              <w:rPr>
                <w:rFonts w:hint="eastAsia" w:asciiTheme="majorEastAsia" w:hAnsiTheme="majorEastAsia" w:eastAsiaTheme="majorEastAsia" w:cstheme="majorEastAsia"/>
                <w:color w:val="auto"/>
                <w:highlight w:val="none"/>
                <w:u w:val="single"/>
              </w:rPr>
              <w:t>不接受</w:t>
            </w:r>
            <w:r>
              <w:rPr>
                <w:rFonts w:hint="eastAsia" w:asciiTheme="majorEastAsia" w:hAnsiTheme="majorEastAsia" w:eastAsiaTheme="majorEastAsia" w:cstheme="majorEastAsia"/>
                <w:color w:val="auto"/>
                <w:highlight w:val="none"/>
              </w:rPr>
              <w:t>联合体投标</w:t>
            </w:r>
          </w:p>
        </w:tc>
      </w:tr>
      <w:tr w14:paraId="4B34C5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D34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E93C5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招标代理费及专家评审费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ADEC2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宋体" w:hAnsi="宋体" w:cs="宋体"/>
                <w:bCs/>
                <w:color w:val="auto"/>
                <w:kern w:val="0"/>
                <w:highlight w:val="none"/>
              </w:rPr>
              <w:t>本项目招标代理费</w:t>
            </w:r>
            <w:r>
              <w:rPr>
                <w:rFonts w:hint="eastAsia" w:ascii="宋体" w:hAnsi="宋体" w:cs="宋体"/>
                <w:bCs/>
                <w:color w:val="auto"/>
                <w:kern w:val="0"/>
                <w:highlight w:val="none"/>
                <w:lang w:val="en-US" w:eastAsia="zh-CN"/>
              </w:rPr>
              <w:t>为1500元，专家评审费约0元，</w:t>
            </w:r>
            <w:r>
              <w:rPr>
                <w:rFonts w:hint="eastAsia" w:ascii="宋体" w:hAnsi="宋体" w:cs="宋体"/>
                <w:bCs/>
                <w:color w:val="auto"/>
                <w:szCs w:val="21"/>
                <w:highlight w:val="none"/>
              </w:rPr>
              <w:t>上述</w:t>
            </w:r>
            <w:r>
              <w:rPr>
                <w:rFonts w:hint="eastAsia" w:ascii="宋体" w:hAnsi="宋体" w:cs="宋体"/>
                <w:bCs/>
                <w:color w:val="auto"/>
                <w:szCs w:val="21"/>
                <w:highlight w:val="none"/>
                <w:lang w:val="en-US" w:eastAsia="zh-CN"/>
              </w:rPr>
              <w:t>两项</w:t>
            </w:r>
            <w:r>
              <w:rPr>
                <w:rFonts w:hint="eastAsia" w:ascii="宋体" w:hAnsi="宋体" w:cs="宋体"/>
                <w:bCs/>
                <w:color w:val="auto"/>
                <w:szCs w:val="21"/>
                <w:highlight w:val="none"/>
              </w:rPr>
              <w:t>费用</w:t>
            </w:r>
            <w:r>
              <w:rPr>
                <w:rFonts w:hint="eastAsia" w:ascii="宋体" w:hAnsi="宋体" w:cs="宋体"/>
                <w:bCs/>
                <w:color w:val="auto"/>
                <w:szCs w:val="21"/>
                <w:highlight w:val="none"/>
                <w:lang w:val="en-US" w:eastAsia="zh-CN"/>
              </w:rPr>
              <w:t>均</w:t>
            </w:r>
            <w:r>
              <w:rPr>
                <w:rFonts w:hint="eastAsia" w:ascii="宋体" w:hAnsi="宋体" w:cs="宋体"/>
                <w:bCs/>
                <w:color w:val="auto"/>
                <w:szCs w:val="21"/>
                <w:highlight w:val="none"/>
              </w:rPr>
              <w:t>由中标单位在获取中标通知书时一次性支付给招标代理机构。</w:t>
            </w:r>
            <w:r>
              <w:rPr>
                <w:rFonts w:hint="eastAsia" w:ascii="宋体" w:hAnsi="宋体" w:cs="宋体"/>
                <w:color w:val="auto"/>
                <w:szCs w:val="21"/>
                <w:highlight w:val="none"/>
              </w:rPr>
              <w:t>上述</w:t>
            </w:r>
            <w:r>
              <w:rPr>
                <w:rFonts w:hint="eastAsia" w:ascii="宋体" w:hAnsi="宋体" w:cs="宋体"/>
                <w:color w:val="auto"/>
                <w:szCs w:val="21"/>
                <w:highlight w:val="none"/>
                <w:lang w:val="en-US" w:eastAsia="zh-CN"/>
              </w:rPr>
              <w:t>两项</w:t>
            </w:r>
            <w:r>
              <w:rPr>
                <w:rFonts w:hint="eastAsia" w:ascii="宋体" w:hAnsi="宋体" w:cs="宋体"/>
                <w:color w:val="auto"/>
                <w:szCs w:val="21"/>
                <w:highlight w:val="none"/>
              </w:rPr>
              <w:t>费用应含在投标报价中，投标人在投标报价让利中考虑上述费用。</w:t>
            </w:r>
          </w:p>
        </w:tc>
      </w:tr>
      <w:tr w14:paraId="2754C6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BAB0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9FDF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C516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同表14条</w:t>
            </w:r>
          </w:p>
        </w:tc>
      </w:tr>
      <w:tr w14:paraId="114B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5A0B62">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85278C">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CA03576">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投标有效期为</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u w:val="single"/>
                <w:lang w:val="en-US" w:eastAsia="zh-CN"/>
              </w:rPr>
              <w:t>6</w:t>
            </w:r>
            <w:r>
              <w:rPr>
                <w:rFonts w:hint="eastAsia" w:asciiTheme="majorEastAsia" w:hAnsiTheme="majorEastAsia" w:eastAsiaTheme="majorEastAsia" w:cstheme="majorEastAsia"/>
                <w:color w:val="auto"/>
                <w:highlight w:val="none"/>
                <w:u w:val="single"/>
                <w:lang w:val="en-US"/>
              </w:rPr>
              <w:t xml:space="preserve">0 </w:t>
            </w:r>
            <w:r>
              <w:rPr>
                <w:rFonts w:hint="eastAsia" w:asciiTheme="majorEastAsia" w:hAnsiTheme="majorEastAsia" w:eastAsiaTheme="majorEastAsia" w:cstheme="majorEastAsia"/>
                <w:color w:val="auto"/>
                <w:highlight w:val="none"/>
              </w:rPr>
              <w:t>日历天（从投标截止之日算起）。在此期限内，凡符合本招标文件要求的投标文件均保持有效。</w:t>
            </w:r>
          </w:p>
        </w:tc>
      </w:tr>
      <w:tr w14:paraId="38EF22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AA98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7F63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624F6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本项目不要求投标人提交投标保证金</w:t>
            </w:r>
          </w:p>
        </w:tc>
      </w:tr>
      <w:tr w14:paraId="5C0CC3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1DB6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D205D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9882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正本一份，副本二份。密封后递交。</w:t>
            </w:r>
          </w:p>
        </w:tc>
      </w:tr>
      <w:tr w14:paraId="3EE59C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1450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0D63C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E187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投标文件须按格式文件要求签字或盖章，否则经评委会一致认定后，按照无效投标处理。</w:t>
            </w:r>
          </w:p>
        </w:tc>
      </w:tr>
      <w:tr w14:paraId="748B1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C99F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F140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826F5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投标文件应当按招标文件“投标文件格式文本”的顺序装订并密封在一起。</w:t>
            </w:r>
          </w:p>
        </w:tc>
      </w:tr>
      <w:tr w14:paraId="7695AF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23D3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098E2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F568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14:paraId="2D414C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14:paraId="570999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14:paraId="421E15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2025年5月</w:t>
            </w:r>
            <w:r>
              <w:rPr>
                <w:rFonts w:hint="eastAsia" w:asciiTheme="majorEastAsia" w:hAnsiTheme="majorEastAsia" w:eastAsiaTheme="majorEastAsia" w:cstheme="majorEastAsia"/>
                <w:color w:val="auto"/>
                <w:szCs w:val="21"/>
                <w:highlight w:val="none"/>
                <w:u w:val="single"/>
                <w:lang w:val="en-US" w:eastAsia="zh-CN"/>
              </w:rPr>
              <w:t>23</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w:t>
            </w:r>
            <w:r>
              <w:rPr>
                <w:rFonts w:hint="eastAsia" w:asciiTheme="majorEastAsia" w:hAnsiTheme="majorEastAsia" w:eastAsiaTheme="majorEastAsia" w:cstheme="majorEastAsia"/>
                <w:color w:val="auto"/>
                <w:szCs w:val="21"/>
                <w:highlight w:val="none"/>
                <w:u w:val="single"/>
                <w:lang w:val="en-US" w:eastAsia="zh-CN"/>
              </w:rPr>
              <w:t>00</w:t>
            </w:r>
            <w:r>
              <w:rPr>
                <w:rFonts w:hint="eastAsia" w:asciiTheme="majorEastAsia" w:hAnsiTheme="majorEastAsia" w:eastAsiaTheme="majorEastAsia" w:cstheme="majorEastAsia"/>
                <w:color w:val="auto"/>
                <w:szCs w:val="21"/>
                <w:highlight w:val="none"/>
                <w:u w:val="single"/>
              </w:rPr>
              <w:t>分</w:t>
            </w:r>
            <w:r>
              <w:rPr>
                <w:rFonts w:hint="eastAsia" w:asciiTheme="majorEastAsia" w:hAnsiTheme="majorEastAsia" w:eastAsiaTheme="majorEastAsia" w:cstheme="majorEastAsia"/>
                <w:color w:val="auto"/>
                <w:szCs w:val="21"/>
                <w:highlight w:val="none"/>
              </w:rPr>
              <w:t>前不得开启</w:t>
            </w:r>
          </w:p>
        </w:tc>
      </w:tr>
      <w:tr w14:paraId="533F68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6A128C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2AC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2EEB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2025年5月</w:t>
            </w:r>
            <w:r>
              <w:rPr>
                <w:rFonts w:hint="eastAsia" w:asciiTheme="majorEastAsia" w:hAnsiTheme="majorEastAsia" w:eastAsiaTheme="majorEastAsia" w:cstheme="majorEastAsia"/>
                <w:color w:val="auto"/>
                <w:szCs w:val="21"/>
                <w:highlight w:val="none"/>
                <w:u w:val="single"/>
                <w:lang w:val="en-US" w:eastAsia="zh-CN"/>
              </w:rPr>
              <w:t>23</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时00分</w:t>
            </w:r>
            <w:r>
              <w:rPr>
                <w:rFonts w:hint="eastAsia" w:asciiTheme="majorEastAsia" w:hAnsiTheme="majorEastAsia" w:eastAsiaTheme="majorEastAsia" w:cstheme="majorEastAsia"/>
                <w:bCs/>
                <w:color w:val="auto"/>
                <w:spacing w:val="-4"/>
                <w:kern w:val="0"/>
                <w:szCs w:val="21"/>
                <w:highlight w:val="none"/>
              </w:rPr>
              <w:t>（北京时间）</w:t>
            </w:r>
          </w:p>
        </w:tc>
      </w:tr>
      <w:tr w14:paraId="70F71C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37D8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564FF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A6D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开标时间：2025年5月23日15时00分（北京时间）</w:t>
            </w:r>
          </w:p>
          <w:p w14:paraId="4087D6C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开标地点：</w:t>
            </w:r>
            <w:r>
              <w:rPr>
                <w:rFonts w:hint="eastAsia" w:ascii="宋体" w:hAnsi="宋体" w:cs="宋体"/>
                <w:color w:val="auto"/>
                <w:szCs w:val="21"/>
                <w:highlight w:val="none"/>
                <w:lang w:eastAsia="zh-CN"/>
              </w:rPr>
              <w:t>安徽省琅琊山旅游发展有限公司一楼会议室</w:t>
            </w:r>
          </w:p>
        </w:tc>
      </w:tr>
      <w:tr w14:paraId="178055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2C8F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076A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AC93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投标文件密封情况检查：由投标人或其推选的代表检查投标文件的密封情况，也可以由采购人委托的公证机构检查并公证。</w:t>
            </w:r>
          </w:p>
          <w:p w14:paraId="37C4D5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lang w:val="en-US" w:eastAsia="zh-CN"/>
              </w:rPr>
              <w:t>开标顺序：先验证投标人到会情况，然后开启投标文件，报评标委员会评审。</w:t>
            </w:r>
          </w:p>
        </w:tc>
      </w:tr>
      <w:tr w14:paraId="08ADFF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0D6D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C165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83DA3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否</w:t>
            </w:r>
          </w:p>
        </w:tc>
      </w:tr>
      <w:tr w14:paraId="2013EC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233F67">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8269F5">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67798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评标委员会由招标人依法组建。</w:t>
            </w:r>
          </w:p>
        </w:tc>
      </w:tr>
      <w:tr w14:paraId="020B51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4929E7">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20FE27">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7568B4B">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是，推荐的中标候选人数3名，并标明排序。</w:t>
            </w:r>
          </w:p>
        </w:tc>
      </w:tr>
      <w:tr w14:paraId="2A9DCB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6A1A6A">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2934AC">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0B3534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ajorEastAsia" w:hAnsiTheme="majorEastAsia" w:eastAsiaTheme="majorEastAsia" w:cstheme="majorEastAsia"/>
                <w:b w:val="0"/>
                <w:bCs w:val="0"/>
                <w:color w:val="auto"/>
                <w:sz w:val="21"/>
                <w:szCs w:val="21"/>
                <w:highlight w:val="none"/>
              </w:rPr>
            </w:pPr>
            <w:r>
              <w:rPr>
                <w:rFonts w:hint="eastAsia" w:asciiTheme="majorEastAsia" w:hAnsiTheme="majorEastAsia" w:eastAsiaTheme="majorEastAsia" w:cstheme="majorEastAsia"/>
                <w:b w:val="0"/>
                <w:bCs w:val="0"/>
                <w:color w:val="auto"/>
                <w:sz w:val="21"/>
                <w:szCs w:val="21"/>
                <w:highlight w:val="none"/>
              </w:rPr>
              <w:t>公示媒介：同招标公告发布媒介</w:t>
            </w:r>
          </w:p>
          <w:p w14:paraId="7055B3A8">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val="0"/>
                <w:bCs w:val="0"/>
                <w:color w:val="auto"/>
                <w:sz w:val="21"/>
                <w:szCs w:val="21"/>
                <w:highlight w:val="none"/>
              </w:rPr>
              <w:t>公示期限：公示发布次日起3日（如公示第三日为休息日或节假日，则顺延至休息日或节假日后第一个工作日）</w:t>
            </w:r>
          </w:p>
        </w:tc>
      </w:tr>
      <w:tr w14:paraId="3F1D47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2707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49130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DB7A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中标通知书须加盖招标人、招标代理公司公章后方可发出。</w:t>
            </w:r>
          </w:p>
        </w:tc>
      </w:tr>
      <w:tr w14:paraId="760CCA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909E7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C8B0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983FD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olor w:val="auto"/>
                <w:highlight w:val="none"/>
                <w:lang w:val="en-US"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不要求中标人提交履约保证金。</w:t>
            </w:r>
          </w:p>
        </w:tc>
      </w:tr>
      <w:tr w14:paraId="1FF8F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D4CD1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8FB24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每年</w:t>
            </w:r>
            <w:r>
              <w:rPr>
                <w:rFonts w:hint="eastAsia" w:ascii="Times New Roman" w:hAnsi="Times New Roman" w:eastAsia="宋体" w:cs="Times New Roman"/>
                <w:color w:val="auto"/>
                <w:highlight w:val="none"/>
              </w:rPr>
              <w:t>出具正式审计报告</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1式4份</w:t>
            </w:r>
            <w:r>
              <w:rPr>
                <w:rFonts w:hint="eastAsia" w:ascii="Times New Roman" w:hAnsi="Times New Roman" w:eastAsia="宋体" w:cs="Times New Roman"/>
                <w:color w:val="auto"/>
                <w:highlight w:val="none"/>
                <w:lang w:eastAsia="zh-CN"/>
              </w:rPr>
              <w:t>）且经主管部门审核通过</w:t>
            </w:r>
            <w:r>
              <w:rPr>
                <w:rFonts w:hint="eastAsia" w:ascii="Times New Roman" w:hAnsi="Times New Roman" w:eastAsia="宋体" w:cs="Times New Roman"/>
                <w:color w:val="auto"/>
                <w:highlight w:val="none"/>
              </w:rPr>
              <w:t>后一次性付清</w:t>
            </w:r>
            <w:r>
              <w:rPr>
                <w:rFonts w:hint="eastAsia" w:ascii="Times New Roman" w:hAnsi="Times New Roman" w:eastAsia="宋体" w:cs="Times New Roman"/>
                <w:color w:val="auto"/>
                <w:highlight w:val="none"/>
                <w:lang w:val="en-US" w:eastAsia="zh-CN"/>
              </w:rPr>
              <w:t>审计费用</w:t>
            </w:r>
            <w:r>
              <w:rPr>
                <w:rFonts w:hint="eastAsia" w:ascii="Times New Roman" w:hAnsi="Times New Roman" w:eastAsia="宋体" w:cs="Times New Roman"/>
                <w:color w:val="auto"/>
                <w:highlight w:val="none"/>
              </w:rPr>
              <w:t xml:space="preserve">。 </w:t>
            </w:r>
          </w:p>
          <w:p w14:paraId="241FB0F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imes New Roman" w:hAnsi="Times New Roman" w:eastAsia="宋体" w:cs="Times New Roman"/>
                <w:color w:val="auto"/>
                <w:highlight w:val="none"/>
                <w:lang w:val="en-US" w:eastAsia="zh-CN"/>
              </w:rPr>
              <w:t>注：安徽省琅琊山旅游发展有限公司及子公司（安徽省琅琊山商贸发展有限公司、安徽省琅耶山健身休闲有限公司）分别支付相应审计费用，中标人须分别开具相应发票。</w:t>
            </w:r>
          </w:p>
        </w:tc>
      </w:tr>
      <w:tr w14:paraId="3E03A4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22C53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7B8DC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5A2838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b w:val="0"/>
                <w:bCs w:val="0"/>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04BEA5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E7BF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F64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1、构成本招标文件的各个组成文件应互为解释，互为说明；</w:t>
            </w:r>
          </w:p>
          <w:p w14:paraId="01481A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2、同一组成文件中就同一事项的规定或约定不一致的，以编排顺序在后者为准；</w:t>
            </w:r>
          </w:p>
          <w:p w14:paraId="69FC1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3、如有不明确或不一致，构成合同文件组成内容的，以合同文件约定内容为准，且以专用合同条款约定的合同文件优先顺序解释；</w:t>
            </w:r>
          </w:p>
          <w:p w14:paraId="20B2C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、按本款前述规定仍不能形成结论的，由招标人负责解释。</w:t>
            </w:r>
          </w:p>
        </w:tc>
      </w:tr>
      <w:tr w14:paraId="4A9BA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B4BD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4873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构成招标文件组成部分的“通用合同条款”、“专用合同条款”、“</w:t>
            </w:r>
            <w:r>
              <w:rPr>
                <w:rFonts w:hint="eastAsia" w:asciiTheme="majorEastAsia" w:hAnsiTheme="majorEastAsia" w:eastAsiaTheme="majorEastAsia" w:cstheme="majorEastAsia"/>
                <w:color w:val="auto"/>
                <w:sz w:val="21"/>
                <w:szCs w:val="21"/>
                <w:highlight w:val="none"/>
                <w:lang w:eastAsia="zh-CN"/>
              </w:rPr>
              <w:t>资信标</w:t>
            </w:r>
            <w:r>
              <w:rPr>
                <w:rFonts w:hint="eastAsia" w:asciiTheme="majorEastAsia" w:hAnsiTheme="majorEastAsia" w:eastAsiaTheme="majorEastAsia" w:cstheme="majorEastAsia"/>
                <w:color w:val="auto"/>
                <w:sz w:val="21"/>
                <w:szCs w:val="21"/>
                <w:highlight w:val="none"/>
              </w:rPr>
              <w:t>准和要求”等章节中 “发包人”和“承包人”，等同于招标投标阶段的“招标人”和“投标人/中标人”。</w:t>
            </w:r>
          </w:p>
        </w:tc>
      </w:tr>
      <w:tr w14:paraId="429206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3F415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2774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14:paraId="666E58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2、本项目严禁非法转包，一经发现，招标人依法处理。</w:t>
            </w:r>
          </w:p>
        </w:tc>
      </w:tr>
    </w:tbl>
    <w:p w14:paraId="59E383C8">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bookmarkStart w:id="18" w:name="_Toc122"/>
      <w:bookmarkEnd w:id="18"/>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14:paraId="1B1B697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二、投标人须知</w:t>
      </w:r>
    </w:p>
    <w:p w14:paraId="4EA58140">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8"/>
          <w:szCs w:val="28"/>
          <w:highlight w:val="none"/>
          <w:lang w:val="en-US"/>
        </w:rPr>
      </w:pPr>
      <w:bookmarkStart w:id="19" w:name="_Toc26859"/>
      <w:bookmarkEnd w:id="19"/>
      <w:bookmarkStart w:id="20" w:name="_Toc14421_WPSOffice_Level3"/>
      <w:r>
        <w:rPr>
          <w:rFonts w:hint="eastAsia" w:asciiTheme="majorEastAsia" w:hAnsiTheme="majorEastAsia" w:eastAsiaTheme="majorEastAsia" w:cstheme="majorEastAsia"/>
          <w:b/>
          <w:bCs w:val="0"/>
          <w:color w:val="auto"/>
          <w:kern w:val="0"/>
          <w:sz w:val="28"/>
          <w:szCs w:val="28"/>
          <w:highlight w:val="none"/>
          <w:u w:color="000000"/>
          <w:lang w:val="en-US" w:eastAsia="zh-CN" w:bidi="ar"/>
        </w:rPr>
        <w:t>（一）总  则</w:t>
      </w:r>
      <w:bookmarkEnd w:id="20"/>
    </w:p>
    <w:p w14:paraId="229929E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1.项目概况</w:t>
      </w:r>
    </w:p>
    <w:p w14:paraId="3934687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1.1本次招标项目名称：见投标人须知前附表。</w:t>
      </w:r>
    </w:p>
    <w:p w14:paraId="0AC8AEE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招标人：见投标人须知前附表。</w:t>
      </w:r>
    </w:p>
    <w:p w14:paraId="21F83F3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服务期：见投标人须知前附表。</w:t>
      </w:r>
    </w:p>
    <w:p w14:paraId="0A895A1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服务地点：见投标人须知前附表。</w:t>
      </w:r>
    </w:p>
    <w:p w14:paraId="65F2544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1.2招标人及联系人: 见投标人须知前附表。</w:t>
      </w:r>
    </w:p>
    <w:p w14:paraId="3658E582">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代理机构及联系人: 见投标人须知前附表。</w:t>
      </w:r>
    </w:p>
    <w:p w14:paraId="44830C1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1.3资金来源：见投标人须知前附表。</w:t>
      </w:r>
    </w:p>
    <w:p w14:paraId="16505B7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1.4本项目预算：见投标人须知前附表。</w:t>
      </w:r>
    </w:p>
    <w:p w14:paraId="491CFD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1.5本项目最高限价：见投标人须知前附表。</w:t>
      </w:r>
    </w:p>
    <w:p w14:paraId="37530F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2.招标范围：</w:t>
      </w:r>
    </w:p>
    <w:p w14:paraId="5FBE725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2.1 采购内容：见投标人须知前附表。</w:t>
      </w:r>
    </w:p>
    <w:p w14:paraId="468C767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2.2技术要求：详见《采购需求和服务要求》。</w:t>
      </w:r>
    </w:p>
    <w:p w14:paraId="5FD3D37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3.标包划分：</w:t>
      </w:r>
    </w:p>
    <w:p w14:paraId="5754AB8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3.1本项目划分：见投标人须知前附表。</w:t>
      </w:r>
    </w:p>
    <w:p w14:paraId="1B262BD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4.招标人式：</w:t>
      </w:r>
    </w:p>
    <w:p w14:paraId="269748D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4.1本项目招标人式：见投标人须知前附表。</w:t>
      </w:r>
    </w:p>
    <w:p w14:paraId="40634F9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5.计价方式：</w:t>
      </w:r>
    </w:p>
    <w:p w14:paraId="20EF54ED">
      <w:pPr>
        <w:snapToGrid w:val="0"/>
        <w:spacing w:line="440" w:lineRule="exact"/>
        <w:ind w:firstLine="420" w:firstLineChars="20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5.1本次招标项目合同采用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固定总价 。  </w:t>
      </w:r>
    </w:p>
    <w:p w14:paraId="53B8ED2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6.评标办法：</w:t>
      </w:r>
    </w:p>
    <w:p w14:paraId="229B1EB3">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6.1本次招标评标采用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val="en-US" w:eastAsia="zh-CN"/>
        </w:rPr>
        <w:t>综合评估法</w:t>
      </w:r>
      <w:r>
        <w:rPr>
          <w:rFonts w:hint="eastAsia" w:asciiTheme="majorEastAsia" w:hAnsiTheme="majorEastAsia" w:eastAsiaTheme="majorEastAsia" w:cstheme="majorEastAsia"/>
          <w:color w:val="auto"/>
          <w:kern w:val="0"/>
          <w:sz w:val="21"/>
          <w:szCs w:val="21"/>
          <w:highlight w:val="none"/>
          <w:u w:val="single" w:color="000000"/>
          <w:lang w:val="en-US" w:eastAsia="zh-CN" w:bidi="ar"/>
        </w:rPr>
        <w:t>。</w:t>
      </w:r>
      <w:r>
        <w:rPr>
          <w:rFonts w:hint="eastAsia" w:asciiTheme="majorEastAsia" w:hAnsiTheme="majorEastAsia" w:eastAsiaTheme="majorEastAsia" w:cstheme="majorEastAsia"/>
          <w:color w:val="auto"/>
          <w:kern w:val="0"/>
          <w:sz w:val="21"/>
          <w:szCs w:val="21"/>
          <w:highlight w:val="none"/>
          <w:u w:color="000000"/>
          <w:lang w:val="en-US" w:eastAsia="zh-CN" w:bidi="ar"/>
        </w:rPr>
        <w:t>（详见第三章评标办法）</w:t>
      </w:r>
    </w:p>
    <w:p w14:paraId="6C0C8CE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7.投标人资格：</w:t>
      </w:r>
    </w:p>
    <w:p w14:paraId="024A86B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7.1具体详见投标人须知前附表。</w:t>
      </w:r>
    </w:p>
    <w:p w14:paraId="72F8AB3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8. 投标费用</w:t>
      </w:r>
    </w:p>
    <w:p w14:paraId="112EC9E9">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8.1投标人准备和参加投标活动发生的费用自理。</w:t>
      </w:r>
    </w:p>
    <w:p w14:paraId="6681382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9.</w:t>
      </w:r>
      <w:bookmarkStart w:id="21" w:name="_Toc152045539"/>
      <w:bookmarkEnd w:id="21"/>
      <w:bookmarkStart w:id="22" w:name="_Toc247513962"/>
      <w:bookmarkEnd w:id="22"/>
      <w:bookmarkStart w:id="23" w:name="_Toc296602429"/>
      <w:bookmarkEnd w:id="23"/>
      <w:bookmarkStart w:id="24" w:name="_Toc247527563"/>
      <w:bookmarkEnd w:id="24"/>
      <w:bookmarkStart w:id="25" w:name="_Toc144974507"/>
      <w:bookmarkEnd w:id="25"/>
      <w:bookmarkStart w:id="26" w:name="_Toc152042315"/>
      <w:bookmarkEnd w:id="26"/>
      <w:bookmarkStart w:id="27" w:name="_Toc247592876"/>
      <w:r>
        <w:rPr>
          <w:rFonts w:hint="eastAsia" w:asciiTheme="majorEastAsia" w:hAnsiTheme="majorEastAsia" w:eastAsiaTheme="majorEastAsia" w:cstheme="majorEastAsia"/>
          <w:b/>
          <w:bCs w:val="0"/>
          <w:color w:val="auto"/>
          <w:kern w:val="0"/>
          <w:sz w:val="21"/>
          <w:szCs w:val="21"/>
          <w:highlight w:val="none"/>
          <w:u w:color="000000"/>
          <w:lang w:val="en-US" w:eastAsia="zh-CN" w:bidi="ar"/>
        </w:rPr>
        <w:t xml:space="preserve"> 踏勘现场</w:t>
      </w:r>
      <w:bookmarkEnd w:id="27"/>
    </w:p>
    <w:p w14:paraId="711C6817">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50B6BC03">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9.2 投标人踏勘现场发生的费用自理。</w:t>
      </w:r>
    </w:p>
    <w:p w14:paraId="0543ED60">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9.3 除招标人的原因外，投标人自行负责在踏勘现场中所发生的人员伤亡和财产损失。</w:t>
      </w:r>
    </w:p>
    <w:p w14:paraId="09AE1288">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33D9DC18">
      <w:pPr>
        <w:spacing w:line="440" w:lineRule="exact"/>
        <w:ind w:firstLine="409" w:firstLineChars="195"/>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lang w:val="en-US" w:eastAsia="zh-CN"/>
        </w:rPr>
        <w:t>9.5</w:t>
      </w:r>
      <w:r>
        <w:rPr>
          <w:rFonts w:hint="eastAsia" w:asciiTheme="majorEastAsia" w:hAnsiTheme="majorEastAsia" w:eastAsiaTheme="majorEastAsia" w:cstheme="majorEastAsia"/>
          <w:color w:val="auto"/>
          <w:szCs w:val="21"/>
          <w:highlight w:val="none"/>
        </w:rPr>
        <w:t>无论投标人是否到现场实地踏勘，中标后签订合同时和履约过程中，投标人不得以不完全了解现场情况或现场情况与招标文件描述不一致等为由，提出任何形式的增加</w:t>
      </w:r>
      <w:r>
        <w:rPr>
          <w:rFonts w:hint="eastAsia" w:asciiTheme="majorEastAsia" w:hAnsiTheme="majorEastAsia" w:eastAsiaTheme="majorEastAsia" w:cstheme="majorEastAsia"/>
          <w:color w:val="auto"/>
          <w:szCs w:val="21"/>
          <w:highlight w:val="none"/>
          <w:lang w:val="en-US" w:eastAsia="zh-CN"/>
        </w:rPr>
        <w:t>合同价款</w:t>
      </w:r>
      <w:r>
        <w:rPr>
          <w:rFonts w:hint="eastAsia" w:asciiTheme="majorEastAsia" w:hAnsiTheme="majorEastAsia" w:eastAsiaTheme="majorEastAsia" w:cstheme="majorEastAsia"/>
          <w:color w:val="auto"/>
          <w:szCs w:val="21"/>
          <w:highlight w:val="none"/>
        </w:rPr>
        <w:t>或索赔的要求。</w:t>
      </w:r>
    </w:p>
    <w:p w14:paraId="11ED587E">
      <w:pPr>
        <w:keepNext w:val="0"/>
        <w:keepLines w:val="0"/>
        <w:widowControl/>
        <w:suppressLineNumbers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10. 投标预备会（本项目不采用）</w:t>
      </w:r>
    </w:p>
    <w:p w14:paraId="523AA725">
      <w:pPr>
        <w:spacing w:line="440" w:lineRule="exact"/>
        <w:ind w:firstLine="409" w:firstLineChars="195"/>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w:t>
      </w:r>
      <w:r>
        <w:rPr>
          <w:rFonts w:hint="eastAsia" w:asciiTheme="majorEastAsia" w:hAnsiTheme="majorEastAsia" w:eastAsiaTheme="majorEastAsia" w:cstheme="majorEastAsia"/>
          <w:color w:val="auto"/>
          <w:szCs w:val="21"/>
          <w:highlight w:val="none"/>
          <w:lang w:val="en-US" w:eastAsia="zh-CN"/>
        </w:rPr>
        <w:t>招标人</w:t>
      </w:r>
      <w:r>
        <w:rPr>
          <w:rFonts w:hint="eastAsia" w:asciiTheme="majorEastAsia" w:hAnsiTheme="majorEastAsia" w:eastAsiaTheme="majorEastAsia" w:cstheme="majorEastAsia"/>
          <w:color w:val="auto"/>
          <w:szCs w:val="21"/>
          <w:highlight w:val="none"/>
        </w:rPr>
        <w:t>按投标人须知前附表规定的时间和地点召开投标预备会，澄清投标人提出的问题。</w:t>
      </w:r>
    </w:p>
    <w:p w14:paraId="5834FB5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11. 联合投标</w:t>
      </w:r>
    </w:p>
    <w:p w14:paraId="7737F4E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11.1 </w:t>
      </w:r>
      <w:r>
        <w:rPr>
          <w:rFonts w:hint="eastAsia" w:asciiTheme="majorEastAsia" w:hAnsiTheme="majorEastAsia" w:eastAsiaTheme="majorEastAsia" w:cstheme="majorEastAsia"/>
          <w:color w:val="auto"/>
          <w:kern w:val="0"/>
          <w:sz w:val="21"/>
          <w:szCs w:val="21"/>
          <w:highlight w:val="none"/>
          <w:u w:color="000000"/>
          <w:lang w:val="en-US" w:eastAsia="zh-CN" w:bidi="ar"/>
        </w:rPr>
        <w:t>本次招标</w:t>
      </w:r>
      <w:r>
        <w:rPr>
          <w:rFonts w:hint="eastAsia" w:asciiTheme="majorEastAsia" w:hAnsiTheme="majorEastAsia" w:eastAsiaTheme="majorEastAsia" w:cstheme="majorEastAsia"/>
          <w:color w:val="auto"/>
          <w:kern w:val="0"/>
          <w:sz w:val="21"/>
          <w:szCs w:val="21"/>
          <w:highlight w:val="none"/>
          <w:u w:val="single" w:color="000000"/>
          <w:lang w:val="en-US" w:eastAsia="zh-CN" w:bidi="ar"/>
        </w:rPr>
        <w:t>不接受</w:t>
      </w:r>
      <w:r>
        <w:rPr>
          <w:rFonts w:hint="eastAsia" w:asciiTheme="majorEastAsia" w:hAnsiTheme="majorEastAsia" w:eastAsiaTheme="majorEastAsia" w:cstheme="majorEastAsia"/>
          <w:color w:val="auto"/>
          <w:kern w:val="0"/>
          <w:sz w:val="21"/>
          <w:szCs w:val="21"/>
          <w:highlight w:val="none"/>
          <w:u w:color="000000"/>
          <w:lang w:val="en-US" w:eastAsia="zh-CN" w:bidi="ar"/>
        </w:rPr>
        <w:t>联合体投标。</w:t>
      </w:r>
    </w:p>
    <w:p w14:paraId="778F16D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12.招标代理费</w:t>
      </w:r>
    </w:p>
    <w:p w14:paraId="23823A73">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12.1 </w:t>
      </w:r>
      <w:r>
        <w:rPr>
          <w:rFonts w:hint="eastAsia" w:asciiTheme="majorEastAsia" w:hAnsiTheme="majorEastAsia" w:eastAsiaTheme="majorEastAsia" w:cstheme="majorEastAsia"/>
          <w:color w:val="auto"/>
          <w:kern w:val="0"/>
          <w:sz w:val="21"/>
          <w:szCs w:val="21"/>
          <w:highlight w:val="none"/>
          <w:u w:color="000000"/>
          <w:lang w:val="en-US" w:eastAsia="zh-CN" w:bidi="ar"/>
        </w:rPr>
        <w:t>本项目的招标代理费详见投标人须知前附表。</w:t>
      </w:r>
    </w:p>
    <w:p w14:paraId="0D80038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13.投标人应注意的事项</w:t>
      </w:r>
    </w:p>
    <w:p w14:paraId="2855E02B">
      <w:pPr>
        <w:spacing w:line="360" w:lineRule="auto"/>
        <w:ind w:firstLine="420" w:firstLineChars="200"/>
        <w:rPr>
          <w:rFonts w:hint="eastAsia" w:asciiTheme="majorEastAsia" w:hAnsiTheme="majorEastAsia" w:eastAsiaTheme="majorEastAsia" w:cstheme="majorEastAsia"/>
          <w:color w:val="auto"/>
          <w:szCs w:val="21"/>
          <w:highlight w:val="none"/>
        </w:rPr>
      </w:pPr>
      <w:bookmarkStart w:id="28" w:name="_Toc24655"/>
      <w:bookmarkEnd w:id="28"/>
      <w:bookmarkStart w:id="29" w:name="_Toc10668_WPSOffice_Level3"/>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F1EBF25">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14:paraId="5C9CC5D6">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14:paraId="3977A3C0">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14:paraId="18F69B4A">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1CA12C95">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2F04A83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324F8C5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06284F4B">
      <w:pPr>
        <w:spacing w:line="440" w:lineRule="exact"/>
        <w:ind w:firstLine="527"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14:paraId="258295C0">
      <w:pPr>
        <w:spacing w:line="440" w:lineRule="exact"/>
        <w:ind w:firstLine="525"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14:paraId="6E29E149">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96" w:name="_GoBack"/>
      <w:bookmarkEnd w:id="96"/>
      <w:r>
        <w:rPr>
          <w:rFonts w:hint="eastAsia" w:asciiTheme="majorEastAsia" w:hAnsiTheme="majorEastAsia" w:eastAsiaTheme="majorEastAsia" w:cstheme="majorEastAsia"/>
          <w:b/>
          <w:bCs w:val="0"/>
          <w:color w:val="auto"/>
          <w:kern w:val="0"/>
          <w:sz w:val="24"/>
          <w:szCs w:val="24"/>
          <w:highlight w:val="none"/>
          <w:u w:color="000000"/>
          <w:lang w:val="en-US" w:eastAsia="zh-CN" w:bidi="ar"/>
        </w:rPr>
        <w:t>（二）招标文件</w:t>
      </w:r>
    </w:p>
    <w:p w14:paraId="664ACFF9">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15.招标文件的编制依据</w:t>
      </w:r>
    </w:p>
    <w:p w14:paraId="1D2E339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 w:val="21"/>
          <w:szCs w:val="21"/>
          <w:highlight w:val="none"/>
          <w:u w:color="000000"/>
          <w:lang w:val="en-US" w:eastAsia="zh-CN" w:bidi="ar"/>
        </w:rPr>
        <w:t>等相关法律法规和规章及部、省、市级规范性文件的规定，编制本招标文件。</w:t>
      </w:r>
    </w:p>
    <w:p w14:paraId="1E1067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16.招标文件的组成</w:t>
      </w:r>
    </w:p>
    <w:p w14:paraId="0AC50E62">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16.1 招标文件包括内容：</w:t>
      </w:r>
    </w:p>
    <w:p w14:paraId="4BA236A0">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第一章  招标公告</w:t>
      </w:r>
    </w:p>
    <w:p w14:paraId="5E413D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第二章  投标须知</w:t>
      </w:r>
    </w:p>
    <w:p w14:paraId="65C2211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第三章  资格审查办法</w:t>
      </w:r>
    </w:p>
    <w:p w14:paraId="29DEB16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第四章  评标办法</w:t>
      </w:r>
    </w:p>
    <w:p w14:paraId="7CDF62E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第五章  采购需求和服务要求</w:t>
      </w:r>
    </w:p>
    <w:p w14:paraId="5400923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第六章  合同条款及格式</w:t>
      </w:r>
    </w:p>
    <w:p w14:paraId="431ED27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第七章  投标文件格式</w:t>
      </w:r>
    </w:p>
    <w:p w14:paraId="40EB8243">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第八章  招标人、招标代理机构对本文件的确认</w:t>
      </w:r>
    </w:p>
    <w:p w14:paraId="3C20DBB8">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14:paraId="214BDF2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14:paraId="7F54787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560076C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17.招标文件的异议、澄清</w:t>
      </w:r>
    </w:p>
    <w:p w14:paraId="55E82C3E">
      <w:pPr>
        <w:spacing w:line="440" w:lineRule="exact"/>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人须知前附表规定的形式提出。招标人将在收到异议之日起3日内作出答复；作出答复前，将暂停招标投标活动。</w:t>
      </w:r>
    </w:p>
    <w:p w14:paraId="492AD979">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391C20E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18.招标文件的发出</w:t>
      </w:r>
    </w:p>
    <w:p w14:paraId="55DD484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18.1招标文件、招标文件的澄清、修改、补充及招标答疑等均在</w:t>
      </w:r>
      <w:r>
        <w:rPr>
          <w:rFonts w:hint="eastAsia" w:asciiTheme="majorEastAsia" w:hAnsiTheme="majorEastAsia" w:eastAsiaTheme="majorEastAsia" w:cstheme="majorEastAsia"/>
          <w:color w:val="auto"/>
          <w:kern w:val="0"/>
          <w:sz w:val="21"/>
          <w:szCs w:val="21"/>
          <w:highlight w:val="none"/>
          <w:u w:color="000000"/>
          <w:lang w:val="en-US" w:eastAsia="zh-CN" w:bidi="ar"/>
        </w:rPr>
        <w:t>琅琊山景区网站（http://www.xn--dkr57sjlip7nza7857c.com/）</w:t>
      </w:r>
      <w:r>
        <w:rPr>
          <w:rFonts w:hint="eastAsia" w:asciiTheme="majorEastAsia" w:hAnsiTheme="majorEastAsia" w:eastAsiaTheme="majorEastAsia" w:cstheme="majorEastAsia"/>
          <w:bCs/>
          <w:color w:val="auto"/>
          <w:kern w:val="0"/>
          <w:sz w:val="21"/>
          <w:szCs w:val="21"/>
          <w:highlight w:val="none"/>
          <w:u w:color="000000"/>
          <w:lang w:val="en-US" w:eastAsia="zh-CN" w:bidi="ar"/>
        </w:rPr>
        <w:t>发出。</w:t>
      </w:r>
    </w:p>
    <w:p w14:paraId="4F2E624E">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0" w:name="_Toc1549_WPSOffice_Level3"/>
      <w:bookmarkEnd w:id="30"/>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（三）投标文件的编制</w:t>
      </w:r>
    </w:p>
    <w:p w14:paraId="2A09D2E7">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19.投标的语言及度量衡单位</w:t>
      </w:r>
    </w:p>
    <w:p w14:paraId="50C21D5B">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19.1投标人的投标文件、以及投标人与招标人就投标的所有往来函电，均须使用简体中文。</w:t>
      </w:r>
    </w:p>
    <w:p w14:paraId="1FD08E03">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19.2除招标文件中另有规定外，投标文件所使用的度量衡均须采用法定计量单位。</w:t>
      </w:r>
    </w:p>
    <w:p w14:paraId="7A4B5CA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20.投标文件的组成</w:t>
      </w:r>
    </w:p>
    <w:p w14:paraId="4DB2A436">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20.1投标文件应按第七章“投标文件格式文本”进行编写，如有必要，可以增加附页，作为投标文件的组成部分。</w:t>
      </w:r>
    </w:p>
    <w:p w14:paraId="26DB07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21.投标有效期</w:t>
      </w:r>
    </w:p>
    <w:p w14:paraId="7EB9FD14">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21.1 除投标人须知前附表另有规定外，投标有效期为60天。</w:t>
      </w:r>
    </w:p>
    <w:p w14:paraId="01EC459B">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21.2在投标有效期内，投标人撤销或修改其投标文件的，应承担招标文件和法律规定的责任。</w:t>
      </w:r>
    </w:p>
    <w:p w14:paraId="407FB888">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21.3出现特殊情况需要延长投标有效期的，招标人以书面形式通知所有投标人延长投标有效期。投标人同意延长的，不得要求或被允许修改或撤销其投标文件；投标人拒绝延长的，其投标失效。</w:t>
      </w:r>
    </w:p>
    <w:p w14:paraId="613E1FE1">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22.投标保证金</w:t>
      </w:r>
    </w:p>
    <w:p w14:paraId="29875CD0">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22.1本项目不要求投标人提交投标保证金。</w:t>
      </w:r>
    </w:p>
    <w:p w14:paraId="085CDB0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1" w:name="_Toc6570_WPSOffice_Level3"/>
      <w:bookmarkEnd w:id="31"/>
      <w:bookmarkStart w:id="32" w:name="_Toc26398"/>
      <w:r>
        <w:rPr>
          <w:rFonts w:hint="eastAsia" w:asciiTheme="majorEastAsia" w:hAnsiTheme="majorEastAsia" w:eastAsiaTheme="majorEastAsia" w:cstheme="majorEastAsia"/>
          <w:b/>
          <w:bCs w:val="0"/>
          <w:color w:val="auto"/>
          <w:kern w:val="0"/>
          <w:sz w:val="24"/>
          <w:szCs w:val="24"/>
          <w:highlight w:val="none"/>
          <w:u w:color="000000"/>
          <w:lang w:val="en-US" w:eastAsia="zh-CN" w:bidi="ar"/>
        </w:rPr>
        <w:t>（四）投标文件的密封和递交</w:t>
      </w:r>
      <w:bookmarkEnd w:id="32"/>
    </w:p>
    <w:p w14:paraId="148DF717">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3" w:name="_Toc30407_WPSOffice_Level3"/>
      <w:bookmarkEnd w:id="33"/>
      <w:bookmarkStart w:id="34" w:name="_Toc490"/>
      <w:bookmarkEnd w:id="34"/>
      <w:r>
        <w:rPr>
          <w:rFonts w:hint="eastAsia" w:asciiTheme="majorEastAsia" w:hAnsiTheme="majorEastAsia" w:eastAsiaTheme="majorEastAsia" w:cstheme="majorEastAsia"/>
          <w:b/>
          <w:bCs w:val="0"/>
          <w:color w:val="auto"/>
          <w:kern w:val="0"/>
          <w:sz w:val="21"/>
          <w:szCs w:val="21"/>
          <w:highlight w:val="none"/>
          <w:u w:color="000000"/>
          <w:lang w:val="en-US" w:eastAsia="zh-CN" w:bidi="ar"/>
        </w:rPr>
        <w:t>23.投标文件的份数和签署</w:t>
      </w:r>
    </w:p>
    <w:p w14:paraId="097C3E0E">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23.1投标文件一式三份，正本一份，副本二份。</w:t>
      </w:r>
    </w:p>
    <w:p w14:paraId="3E61387F">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23.2投标文件的正本和副本均需打印或使用不褪色的蓝、黑墨水笔书写，字迹应清晰易于辩认，并应在投标文件封面的右上角清楚地注明“正本”或“副本”。正本和副本如有不一致之处，以正本为准。</w:t>
      </w:r>
    </w:p>
    <w:p w14:paraId="611A2F17">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23.3投标文件中的材料应当在格式文本要求的相应位置签字和盖章，否则，投标文件作无效投标处理。</w:t>
      </w:r>
    </w:p>
    <w:p w14:paraId="3EF2A14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24.</w:t>
      </w:r>
      <w:r>
        <w:rPr>
          <w:rFonts w:hint="eastAsia" w:asciiTheme="majorEastAsia" w:hAnsiTheme="majorEastAsia" w:eastAsiaTheme="majorEastAsia" w:cstheme="majorEastAsia"/>
          <w:b/>
          <w:bCs/>
          <w:color w:val="auto"/>
          <w:szCs w:val="21"/>
          <w:highlight w:val="none"/>
        </w:rPr>
        <w:t>投标文件的装订、密封和标记</w:t>
      </w:r>
    </w:p>
    <w:p w14:paraId="632B1575">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.1投标文件的装订要求</w:t>
      </w:r>
    </w:p>
    <w:p w14:paraId="505C708E">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24.1.1</w:t>
      </w:r>
      <w:r>
        <w:rPr>
          <w:rFonts w:hint="eastAsia" w:asciiTheme="majorEastAsia" w:hAnsiTheme="majorEastAsia" w:eastAsiaTheme="majorEastAsia" w:cstheme="majorEastAsia"/>
          <w:color w:val="auto"/>
          <w:szCs w:val="21"/>
          <w:highlight w:val="none"/>
        </w:rPr>
        <w:t>投标文件应当按招标文件</w:t>
      </w:r>
      <w:r>
        <w:rPr>
          <w:rFonts w:hint="eastAsia" w:asciiTheme="majorEastAsia" w:hAnsiTheme="majorEastAsia" w:eastAsiaTheme="majorEastAsia" w:cstheme="majorEastAsia"/>
          <w:bCs/>
          <w:color w:val="auto"/>
          <w:kern w:val="0"/>
          <w:sz w:val="21"/>
          <w:szCs w:val="21"/>
          <w:highlight w:val="none"/>
          <w:u w:color="000000"/>
          <w:lang w:val="en-US" w:eastAsia="zh-CN" w:bidi="ar"/>
        </w:rPr>
        <w:t>第七章“投标文件格式文本”的</w:t>
      </w:r>
      <w:r>
        <w:rPr>
          <w:rFonts w:hint="eastAsia" w:asciiTheme="majorEastAsia" w:hAnsiTheme="majorEastAsia" w:eastAsiaTheme="majorEastAsia" w:cstheme="majorEastAsia"/>
          <w:color w:val="auto"/>
          <w:szCs w:val="21"/>
          <w:highlight w:val="none"/>
        </w:rPr>
        <w:t>顺序装订</w:t>
      </w:r>
      <w:r>
        <w:rPr>
          <w:rFonts w:hint="eastAsia" w:asciiTheme="majorEastAsia" w:hAnsiTheme="majorEastAsia" w:eastAsiaTheme="majorEastAsia" w:cstheme="majorEastAsia"/>
          <w:color w:val="auto"/>
          <w:szCs w:val="21"/>
          <w:highlight w:val="none"/>
          <w:lang w:val="en-US" w:eastAsia="zh-CN"/>
        </w:rPr>
        <w:t>并密封</w:t>
      </w:r>
      <w:r>
        <w:rPr>
          <w:rFonts w:hint="eastAsia" w:asciiTheme="majorEastAsia" w:hAnsiTheme="majorEastAsia" w:eastAsiaTheme="majorEastAsia" w:cstheme="majorEastAsia"/>
          <w:color w:val="auto"/>
          <w:szCs w:val="21"/>
          <w:highlight w:val="none"/>
        </w:rPr>
        <w:t>在一起。</w:t>
      </w:r>
    </w:p>
    <w:p w14:paraId="66F6079E">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24.2</w:t>
      </w:r>
      <w:r>
        <w:rPr>
          <w:rFonts w:hint="eastAsia" w:asciiTheme="majorEastAsia" w:hAnsiTheme="majorEastAsia" w:eastAsiaTheme="majorEastAsia" w:cstheme="majorEastAsia"/>
          <w:color w:val="auto"/>
          <w:szCs w:val="21"/>
          <w:highlight w:val="none"/>
        </w:rPr>
        <w:t>投标文件的密封</w:t>
      </w:r>
    </w:p>
    <w:p w14:paraId="18C86A68">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.2.1投标人应当将投标文件的正本、副本密封在一个投标文件袋内。</w:t>
      </w:r>
    </w:p>
    <w:p w14:paraId="2C8C7366">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 投标文件密封袋的标记</w:t>
      </w:r>
    </w:p>
    <w:p w14:paraId="1C75A37B">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.3.1在投标文件密封袋上应写明投标人名称和地址、邮政编码。注明招标项目名称。</w:t>
      </w:r>
    </w:p>
    <w:p w14:paraId="3216056C">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.3.2所有投标文件的密封袋应加盖投标人公章；否则，该投标文件将被拒绝。</w:t>
      </w:r>
    </w:p>
    <w:p w14:paraId="05459D6F">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25.投标文件的修改与撤回</w:t>
      </w:r>
    </w:p>
    <w:p w14:paraId="55721B95">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25.1投标人在投标人须知前附表规定的投标截止时间前，投标人可以修改或撤回已递交的投标文件，但应以书面形式通知招标人。</w:t>
      </w:r>
    </w:p>
    <w:p w14:paraId="3A8483D4">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25.2投标人修改或撤回已递交投标文件的书面通知应按要求签字或盖章。</w:t>
      </w:r>
    </w:p>
    <w:p w14:paraId="0345F6B8">
      <w:pPr>
        <w:spacing w:line="440" w:lineRule="exact"/>
        <w:ind w:left="10" w:right="-94" w:rightChars="-45" w:firstLine="422" w:firstLineChars="200"/>
        <w:jc w:val="left"/>
        <w:rPr>
          <w:rFonts w:hint="eastAsia"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lang w:val="en-US" w:eastAsia="zh-CN"/>
        </w:rPr>
        <w:t>26</w:t>
      </w:r>
      <w:r>
        <w:rPr>
          <w:rFonts w:hint="eastAsia" w:asciiTheme="majorEastAsia" w:hAnsiTheme="majorEastAsia" w:eastAsiaTheme="majorEastAsia" w:cstheme="majorEastAsia"/>
          <w:b/>
          <w:bCs/>
          <w:color w:val="auto"/>
          <w:szCs w:val="21"/>
          <w:highlight w:val="none"/>
        </w:rPr>
        <w:t>.投标文件的提交</w:t>
      </w:r>
    </w:p>
    <w:p w14:paraId="1C44482D">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26.1 投标文件提交的收件人、截止时间及地点：详见投标人须知前附表。</w:t>
      </w:r>
    </w:p>
    <w:p w14:paraId="014FB013">
      <w:pPr>
        <w:spacing w:line="400" w:lineRule="exact"/>
        <w:ind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（五）开标、评标和定标</w:t>
      </w:r>
    </w:p>
    <w:p w14:paraId="5FBAD8F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5" w:name="_Toc28864"/>
      <w:bookmarkEnd w:id="35"/>
      <w:bookmarkStart w:id="36" w:name="_Toc8453_WPSOffice_Level3"/>
      <w:r>
        <w:rPr>
          <w:rFonts w:hint="eastAsia" w:asciiTheme="majorEastAsia" w:hAnsiTheme="majorEastAsia" w:eastAsiaTheme="majorEastAsia" w:cstheme="majorEastAsia"/>
          <w:b/>
          <w:bCs w:val="0"/>
          <w:color w:val="auto"/>
          <w:kern w:val="0"/>
          <w:sz w:val="21"/>
          <w:szCs w:val="21"/>
          <w:highlight w:val="none"/>
          <w:u w:color="000000"/>
          <w:lang w:val="en-US" w:eastAsia="zh-CN" w:bidi="ar"/>
        </w:rPr>
        <w:t>27.开标</w:t>
      </w:r>
    </w:p>
    <w:p w14:paraId="56104B26">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 开标的时间和地点</w:t>
      </w:r>
    </w:p>
    <w:p w14:paraId="65ABD1A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27.1.1招标人投标须知前附表规定的提交投标文件的截止时间和地点公开开标。</w:t>
      </w:r>
    </w:p>
    <w:p w14:paraId="2852A4D6">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27.2 参与开标的监督部门</w:t>
      </w:r>
    </w:p>
    <w:p w14:paraId="08C66E1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spacing w:val="-8"/>
          <w:highlight w:val="none"/>
          <w:lang w:val="en-US"/>
        </w:rPr>
      </w:pPr>
      <w:bookmarkStart w:id="37" w:name="_Toc15542_WPSOffice_Level3"/>
      <w:bookmarkEnd w:id="37"/>
      <w:r>
        <w:rPr>
          <w:rFonts w:hint="eastAsia" w:asciiTheme="majorEastAsia" w:hAnsiTheme="majorEastAsia" w:eastAsiaTheme="majorEastAsia" w:cstheme="majorEastAsia"/>
          <w:color w:val="auto"/>
          <w:kern w:val="0"/>
          <w:sz w:val="21"/>
          <w:szCs w:val="21"/>
          <w:highlight w:val="none"/>
          <w:u w:color="000000"/>
          <w:lang w:val="en-US" w:eastAsia="zh-CN" w:bidi="ar"/>
        </w:rPr>
        <w:t>27.2.1招标人可以邀请相关监督部门参加。</w:t>
      </w:r>
    </w:p>
    <w:p w14:paraId="0E170D14">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27.3开标程序</w:t>
      </w:r>
    </w:p>
    <w:p w14:paraId="426A7C4E">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开标会议由</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滁州市城投工程咨询管理有限公司 </w:t>
      </w:r>
      <w:r>
        <w:rPr>
          <w:rFonts w:hint="eastAsia" w:asciiTheme="majorEastAsia" w:hAnsiTheme="majorEastAsia" w:eastAsiaTheme="majorEastAsia" w:cstheme="majorEastAsia"/>
          <w:color w:val="auto"/>
          <w:kern w:val="0"/>
          <w:sz w:val="21"/>
          <w:szCs w:val="21"/>
          <w:highlight w:val="none"/>
          <w:u w:color="000000"/>
          <w:lang w:val="en-US" w:eastAsia="zh-CN" w:bidi="ar"/>
        </w:rPr>
        <w:t>主持。</w:t>
      </w:r>
    </w:p>
    <w:p w14:paraId="60E14724">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（1）宣布开标纪律；</w:t>
      </w:r>
    </w:p>
    <w:p w14:paraId="5ABC4D8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（2）宣布采购人、代理机构主持人、监督人等有关人员姓名；</w:t>
      </w:r>
    </w:p>
    <w:p w14:paraId="78E09AF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（3）由评标委员会对各投标文件进行审查；</w:t>
      </w:r>
    </w:p>
    <w:p w14:paraId="5844E3F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（4）开标结束。</w:t>
      </w:r>
    </w:p>
    <w:p w14:paraId="607EA5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28.开标异议</w:t>
      </w:r>
    </w:p>
    <w:p w14:paraId="35AA06C3">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14:paraId="1F53251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29.评标</w:t>
      </w:r>
    </w:p>
    <w:p w14:paraId="0004637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按照第</w:t>
      </w:r>
      <w:r>
        <w:rPr>
          <w:rFonts w:hint="eastAsia" w:asciiTheme="majorEastAsia" w:hAnsiTheme="majorEastAsia" w:eastAsiaTheme="majorEastAsia" w:cstheme="majorEastAsia"/>
          <w:color w:val="auto"/>
          <w:szCs w:val="21"/>
          <w:highlight w:val="none"/>
          <w:lang w:val="en-US" w:eastAsia="zh-CN"/>
        </w:rPr>
        <w:t>三</w:t>
      </w:r>
      <w:r>
        <w:rPr>
          <w:rFonts w:hint="eastAsia" w:asciiTheme="majorEastAsia" w:hAnsiTheme="majorEastAsia" w:eastAsiaTheme="majorEastAsia" w:cstheme="majorEastAsia"/>
          <w:color w:val="auto"/>
          <w:szCs w:val="21"/>
          <w:highlight w:val="none"/>
        </w:rPr>
        <w:t>章“评标办法”规定的方法、评审因素、标准和程序对投标文件进行评审。</w:t>
      </w:r>
    </w:p>
    <w:p w14:paraId="13DAA1D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29.2评标原则：</w:t>
      </w:r>
    </w:p>
    <w:p w14:paraId="75584E6F">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bookmarkStart w:id="38" w:name="_Toc5272_WPSOffice_Level3"/>
      <w:bookmarkEnd w:id="38"/>
      <w:r>
        <w:rPr>
          <w:rFonts w:hint="eastAsia" w:asciiTheme="majorEastAsia" w:hAnsiTheme="majorEastAsia" w:eastAsiaTheme="majorEastAsia" w:cstheme="majorEastAsia"/>
          <w:color w:val="auto"/>
          <w:kern w:val="0"/>
          <w:sz w:val="21"/>
          <w:szCs w:val="21"/>
          <w:highlight w:val="none"/>
          <w:u w:color="000000"/>
          <w:lang w:val="en-US" w:eastAsia="zh-CN" w:bidi="ar"/>
        </w:rPr>
        <w:t>29.2.1遵循公平、公正、科学和择优的原则。</w:t>
      </w:r>
    </w:p>
    <w:p w14:paraId="111BDE5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评审意见分歧的处理办法</w:t>
      </w:r>
    </w:p>
    <w:p w14:paraId="4C5CFF90">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r>
        <w:rPr>
          <w:rFonts w:hint="eastAsia" w:asciiTheme="majorEastAsia" w:hAnsiTheme="majorEastAsia" w:eastAsiaTheme="majorEastAsia" w:cstheme="majorEastAsia"/>
          <w:color w:val="auto"/>
          <w:szCs w:val="21"/>
          <w:highlight w:val="none"/>
          <w:lang w:eastAsia="zh-CN"/>
        </w:rPr>
        <w:t>。</w:t>
      </w:r>
    </w:p>
    <w:p w14:paraId="212AFA8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评标报告的签署</w:t>
      </w:r>
    </w:p>
    <w:p w14:paraId="2B2A352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应当编制书面评标报告,所有成员应签字确认。对评标结论持有异议的委员会成员可以书面方式阐述其不同意见和理由。委员会成员拒绝在评标报告上签字且不陈述其不同意见和理由的，视为同意评标结论。</w:t>
      </w:r>
    </w:p>
    <w:p w14:paraId="73904CC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w:t>
      </w:r>
      <w:r>
        <w:rPr>
          <w:rFonts w:hint="eastAsia" w:asciiTheme="majorEastAsia" w:hAnsiTheme="majorEastAsia" w:eastAsiaTheme="majorEastAsia" w:cstheme="majorEastAsia"/>
          <w:color w:val="auto"/>
          <w:szCs w:val="21"/>
          <w:highlight w:val="none"/>
        </w:rPr>
        <w:t>评标过程的保密</w:t>
      </w:r>
    </w:p>
    <w:p w14:paraId="3AC9D71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29.5.1</w:t>
      </w:r>
      <w:r>
        <w:rPr>
          <w:rFonts w:hint="eastAsia" w:asciiTheme="majorEastAsia" w:hAnsiTheme="majorEastAsia" w:eastAsiaTheme="majorEastAsia" w:cstheme="majorEastAsia"/>
          <w:color w:val="auto"/>
          <w:szCs w:val="21"/>
          <w:highlight w:val="none"/>
        </w:rPr>
        <w:t>委员会成员和与评标活动有关的工作人员不得透露对投标文件的评审和比较以及与评标有关的其他情况。</w:t>
      </w:r>
    </w:p>
    <w:p w14:paraId="04B1800E">
      <w:pPr>
        <w:keepNext w:val="0"/>
        <w:keepLines w:val="0"/>
        <w:pageBreakBefore w:val="0"/>
        <w:widowControl w:val="0"/>
        <w:kinsoku/>
        <w:overflowPunct/>
        <w:topLinePunct w:val="0"/>
        <w:autoSpaceDE/>
        <w:autoSpaceDN/>
        <w:bidi w:val="0"/>
        <w:spacing w:line="420" w:lineRule="exact"/>
        <w:ind w:firstLine="421"/>
        <w:jc w:val="left"/>
        <w:textAlignment w:val="auto"/>
        <w:rPr>
          <w:rFonts w:hint="eastAsia" w:ascii="宋体" w:hAnsi="Times New Roman" w:eastAsia="宋体" w:cs="Times New Roman"/>
          <w:b/>
          <w:color w:val="auto"/>
          <w:szCs w:val="21"/>
          <w:highlight w:val="none"/>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30.</w:t>
      </w:r>
      <w:r>
        <w:rPr>
          <w:rFonts w:hint="eastAsia" w:ascii="宋体" w:hAnsi="Times New Roman" w:eastAsia="宋体" w:cs="Times New Roman"/>
          <w:b/>
          <w:color w:val="auto"/>
          <w:szCs w:val="21"/>
          <w:highlight w:val="none"/>
        </w:rPr>
        <w:t>重新招标和不再招标</w:t>
      </w:r>
    </w:p>
    <w:p w14:paraId="106A6EC9">
      <w:pPr>
        <w:keepNext w:val="0"/>
        <w:keepLines w:val="0"/>
        <w:pageBreakBefore w:val="0"/>
        <w:widowControl w:val="0"/>
        <w:kinsoku/>
        <w:overflowPunct/>
        <w:topLinePunct w:val="0"/>
        <w:autoSpaceDE/>
        <w:autoSpaceDN/>
        <w:bidi w:val="0"/>
        <w:spacing w:line="420" w:lineRule="exact"/>
        <w:ind w:firstLine="421"/>
        <w:jc w:val="left"/>
        <w:textAlignment w:val="auto"/>
        <w:rPr>
          <w:rFonts w:hint="eastAsia" w:ascii="宋体" w:hAnsi="Times New Roman" w:eastAsia="宋体" w:cs="Times New Roman"/>
          <w:b/>
          <w:color w:val="auto"/>
          <w:szCs w:val="21"/>
          <w:highlight w:val="none"/>
        </w:rPr>
      </w:pPr>
      <w:bookmarkStart w:id="39" w:name="_Toc152042348"/>
      <w:bookmarkStart w:id="40" w:name="_Toc152045572"/>
      <w:bookmarkStart w:id="41" w:name="_Toc60061479"/>
      <w:bookmarkStart w:id="42" w:name="_Toc179632590"/>
      <w:bookmarkStart w:id="43" w:name="_Toc144974540"/>
      <w:r>
        <w:rPr>
          <w:rFonts w:hint="eastAsia" w:ascii="宋体" w:hAnsi="Times New Roman" w:eastAsia="宋体" w:cs="Times New Roman"/>
          <w:b/>
          <w:color w:val="auto"/>
          <w:szCs w:val="21"/>
          <w:highlight w:val="none"/>
          <w:lang w:val="en-US" w:eastAsia="zh-CN"/>
        </w:rPr>
        <w:t>30</w:t>
      </w:r>
      <w:r>
        <w:rPr>
          <w:rFonts w:hint="eastAsia" w:ascii="宋体" w:hAnsi="Times New Roman" w:eastAsia="宋体" w:cs="Times New Roman"/>
          <w:b/>
          <w:color w:val="auto"/>
          <w:szCs w:val="21"/>
          <w:highlight w:val="none"/>
        </w:rPr>
        <w:t>.1重新招标</w:t>
      </w:r>
      <w:bookmarkEnd w:id="39"/>
      <w:bookmarkEnd w:id="40"/>
      <w:bookmarkEnd w:id="41"/>
      <w:bookmarkEnd w:id="42"/>
      <w:bookmarkEnd w:id="43"/>
    </w:p>
    <w:p w14:paraId="17787AC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有下列情形之一的，招标人将重新招标：</w:t>
      </w:r>
    </w:p>
    <w:p w14:paraId="5D8D59B1">
      <w:pPr>
        <w:spacing w:line="400" w:lineRule="exact"/>
        <w:ind w:firstLine="420" w:firstLineChars="200"/>
        <w:rPr>
          <w:rFonts w:hint="eastAsia" w:ascii="宋体" w:hAnsi="宋体" w:eastAsia="宋体" w:cs="宋体"/>
          <w:color w:val="auto"/>
          <w:szCs w:val="21"/>
          <w:highlight w:val="none"/>
          <w:lang w:val="en-US" w:eastAsia="zh-CN"/>
        </w:rPr>
      </w:pPr>
      <w:bookmarkStart w:id="44" w:name="_Toc152042349"/>
      <w:bookmarkStart w:id="45" w:name="_Toc152045573"/>
      <w:bookmarkStart w:id="46" w:name="_Toc144974541"/>
      <w:bookmarkStart w:id="47" w:name="_Toc179632591"/>
      <w:bookmarkStart w:id="48" w:name="_Toc60061480"/>
      <w:r>
        <w:rPr>
          <w:rFonts w:hint="eastAsia" w:ascii="宋体" w:hAnsi="宋体" w:eastAsia="宋体" w:cs="宋体"/>
          <w:color w:val="auto"/>
          <w:szCs w:val="21"/>
          <w:highlight w:val="none"/>
          <w:lang w:val="en-US" w:eastAsia="zh-CN"/>
        </w:rPr>
        <w:t>（1）投标截止时间止，投标人少于3个的；</w:t>
      </w:r>
    </w:p>
    <w:p w14:paraId="64AC40DA">
      <w:pPr>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（2）经评标委员会评审后否决所有投标的；</w:t>
      </w:r>
    </w:p>
    <w:p w14:paraId="398F95F5">
      <w:pPr>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（3）中标候选人均未与招标人签订合同的；</w:t>
      </w:r>
    </w:p>
    <w:p w14:paraId="2360D63D">
      <w:pPr>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（4）法律、法规规定的其他情形。</w:t>
      </w:r>
    </w:p>
    <w:p w14:paraId="379E6C67">
      <w:pPr>
        <w:keepNext w:val="0"/>
        <w:keepLines w:val="0"/>
        <w:pageBreakBefore w:val="0"/>
        <w:widowControl w:val="0"/>
        <w:kinsoku/>
        <w:overflowPunct/>
        <w:topLinePunct w:val="0"/>
        <w:autoSpaceDE/>
        <w:autoSpaceDN/>
        <w:bidi w:val="0"/>
        <w:spacing w:line="420" w:lineRule="exact"/>
        <w:ind w:firstLine="421"/>
        <w:jc w:val="left"/>
        <w:textAlignment w:val="auto"/>
        <w:rPr>
          <w:rFonts w:hint="eastAsia"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lang w:val="en-US" w:eastAsia="zh-CN"/>
        </w:rPr>
        <w:t>30</w:t>
      </w:r>
      <w:r>
        <w:rPr>
          <w:rFonts w:hint="eastAsia" w:ascii="宋体" w:hAnsi="Times New Roman" w:eastAsia="宋体" w:cs="Times New Roman"/>
          <w:b/>
          <w:color w:val="auto"/>
          <w:szCs w:val="21"/>
          <w:highlight w:val="none"/>
        </w:rPr>
        <w:t>.2不再招标</w:t>
      </w:r>
      <w:bookmarkEnd w:id="44"/>
      <w:bookmarkEnd w:id="45"/>
      <w:bookmarkEnd w:id="46"/>
      <w:bookmarkEnd w:id="47"/>
      <w:bookmarkEnd w:id="48"/>
    </w:p>
    <w:p w14:paraId="4DAD943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重新招标后投标人仍少于3个或者所有投标被否决的，属于必须审批或核准的建设项目，经原审批或核准部门批准后不再进行招标。</w:t>
      </w:r>
    </w:p>
    <w:p w14:paraId="57E9C57F">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color w:val="auto"/>
          <w:highlight w:val="none"/>
          <w:lang w:val="en-US"/>
        </w:rPr>
      </w:pPr>
    </w:p>
    <w:p w14:paraId="28584CE9">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（六）合同授予</w:t>
      </w:r>
      <w:bookmarkEnd w:id="36"/>
    </w:p>
    <w:p w14:paraId="53C8D9E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31.中标公示</w:t>
      </w:r>
    </w:p>
    <w:p w14:paraId="3B8EB1B4">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31.1</w:t>
      </w:r>
      <w:r>
        <w:rPr>
          <w:rFonts w:hint="eastAsia" w:asciiTheme="majorEastAsia" w:hAnsiTheme="majorEastAsia" w:eastAsiaTheme="majorEastAsia" w:cstheme="majorEastAsia"/>
          <w:color w:val="auto"/>
          <w:spacing w:val="0"/>
          <w:sz w:val="21"/>
          <w:szCs w:val="21"/>
          <w:highlight w:val="none"/>
        </w:rPr>
        <w:t>招标人按照投标人须知前附表规定的公示媒介和期限依法公示。公示期不得少于3日。</w:t>
      </w:r>
    </w:p>
    <w:p w14:paraId="4B760685">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32.评标结果异议</w:t>
      </w:r>
    </w:p>
    <w:p w14:paraId="218DA5D7">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rPr>
      </w:pPr>
      <w:r>
        <w:rPr>
          <w:rFonts w:hint="eastAsia" w:asciiTheme="majorEastAsia" w:hAnsiTheme="majorEastAsia" w:eastAsiaTheme="majorEastAsia" w:cstheme="majorEastAsia"/>
          <w:color w:val="auto"/>
          <w:spacing w:val="0"/>
          <w:sz w:val="21"/>
          <w:szCs w:val="21"/>
          <w:highlight w:val="none"/>
          <w:lang w:val="en-US" w:eastAsia="zh-CN"/>
        </w:rPr>
        <w:t>32.1</w:t>
      </w:r>
      <w:r>
        <w:rPr>
          <w:rFonts w:hint="eastAsia" w:asciiTheme="majorEastAsia" w:hAnsiTheme="majorEastAsia" w:eastAsiaTheme="majorEastAsia" w:cstheme="majorEastAsia"/>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D6321B1">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33.定标</w:t>
      </w:r>
    </w:p>
    <w:p w14:paraId="330FBD22">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33.1按照投标人须知前附表的规定，招标人依法确定中标人。</w:t>
      </w:r>
      <w:r>
        <w:rPr>
          <w:rFonts w:hint="eastAsia" w:asciiTheme="majorEastAsia" w:hAnsiTheme="majorEastAsia" w:eastAsiaTheme="majorEastAsia" w:cstheme="majorEastAsia"/>
          <w:color w:val="auto"/>
          <w:kern w:val="0"/>
          <w:sz w:val="21"/>
          <w:szCs w:val="21"/>
          <w:highlight w:val="none"/>
          <w:u w:color="000000"/>
          <w:lang w:val="en-US" w:eastAsia="zh-CN" w:bidi="ar"/>
        </w:rPr>
        <w:t>投标文件评分结果</w:t>
      </w:r>
      <w:r>
        <w:rPr>
          <w:rFonts w:hint="eastAsia" w:asciiTheme="majorEastAsia" w:hAnsiTheme="majorEastAsia" w:eastAsiaTheme="majorEastAsia" w:cstheme="majorEastAsia"/>
          <w:color w:val="auto"/>
          <w:spacing w:val="0"/>
          <w:sz w:val="21"/>
          <w:szCs w:val="21"/>
          <w:highlight w:val="none"/>
          <w:lang w:val="en-US" w:eastAsia="zh-CN"/>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 w:val="21"/>
          <w:szCs w:val="21"/>
          <w:highlight w:val="none"/>
          <w:u w:color="000000"/>
          <w:lang w:val="en-US" w:eastAsia="zh-CN" w:bidi="ar"/>
        </w:rPr>
        <w:t>投投标文件评分结果</w:t>
      </w:r>
      <w:r>
        <w:rPr>
          <w:rFonts w:hint="eastAsia" w:asciiTheme="majorEastAsia" w:hAnsiTheme="majorEastAsia" w:eastAsiaTheme="majorEastAsia" w:cstheme="majorEastAsia"/>
          <w:color w:val="auto"/>
          <w:spacing w:val="0"/>
          <w:sz w:val="21"/>
          <w:szCs w:val="21"/>
          <w:highlight w:val="none"/>
          <w:lang w:val="en-US" w:eastAsia="zh-CN"/>
        </w:rPr>
        <w:t>中标候选人名单排序依次确定其他中标候选人为中标人，也可以重新招标。</w:t>
      </w:r>
    </w:p>
    <w:p w14:paraId="0BFAE146">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34.中标通知</w:t>
      </w:r>
    </w:p>
    <w:p w14:paraId="21149631">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0"/>
          <w:sz w:val="21"/>
          <w:szCs w:val="21"/>
          <w:highlight w:val="none"/>
          <w:lang w:val="en-US" w:eastAsia="zh-CN"/>
        </w:rPr>
        <w:t>34.1在本招标文件规定的投标有效期内，招标人向中标人发出中标通知书，同时将中标结果通知未中标的投标人。</w:t>
      </w:r>
    </w:p>
    <w:p w14:paraId="38A1200E">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default" w:asciiTheme="majorEastAsia" w:hAnsiTheme="majorEastAsia" w:eastAsiaTheme="majorEastAsia" w:cstheme="majorEastAsia"/>
          <w:b/>
          <w:bCs w:val="0"/>
          <w:color w:val="auto"/>
          <w:kern w:val="0"/>
          <w:sz w:val="21"/>
          <w:szCs w:val="21"/>
          <w:highlight w:val="none"/>
          <w:u w:color="000000"/>
          <w:lang w:val="en-US" w:eastAsia="zh-CN" w:bidi="ar"/>
        </w:rPr>
      </w:pPr>
      <w:bookmarkStart w:id="49" w:name="_Toc316_WPSOffice_Level3"/>
      <w:bookmarkEnd w:id="49"/>
      <w:r>
        <w:rPr>
          <w:rFonts w:hint="eastAsia" w:asciiTheme="majorEastAsia" w:hAnsiTheme="majorEastAsia" w:eastAsiaTheme="majorEastAsia" w:cstheme="majorEastAsia"/>
          <w:b/>
          <w:bCs w:val="0"/>
          <w:color w:val="auto"/>
          <w:kern w:val="0"/>
          <w:sz w:val="21"/>
          <w:szCs w:val="21"/>
          <w:highlight w:val="none"/>
          <w:u w:color="000000"/>
          <w:lang w:val="en-US" w:eastAsia="zh-CN" w:bidi="ar"/>
        </w:rPr>
        <w:t>35.履约担保</w:t>
      </w:r>
    </w:p>
    <w:p w14:paraId="7DC93F17">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35.1本项目不要求提交履约保证金。</w:t>
      </w:r>
    </w:p>
    <w:p w14:paraId="215AE491">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kern w:val="0"/>
          <w:sz w:val="24"/>
          <w:szCs w:val="24"/>
          <w:highlight w:val="none"/>
          <w:u w:color="000000"/>
          <w:lang w:val="en-US" w:eastAsia="zh-CN" w:bidi="ar"/>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（七）纪律和监督</w:t>
      </w:r>
    </w:p>
    <w:p w14:paraId="372A6F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36.对招标人的纪律要求 </w:t>
      </w:r>
    </w:p>
    <w:p w14:paraId="01AE5DED">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highlight w:val="none"/>
          <w:lang w:val="en-US"/>
        </w:rPr>
      </w:pPr>
      <w:r>
        <w:rPr>
          <w:rFonts w:hint="eastAsia" w:asciiTheme="majorEastAsia" w:hAnsiTheme="majorEastAsia" w:eastAsiaTheme="majorEastAsia" w:cstheme="majorEastAsia"/>
          <w:color w:val="auto"/>
          <w:kern w:val="10"/>
          <w:sz w:val="21"/>
          <w:szCs w:val="21"/>
          <w:highlight w:val="none"/>
          <w:u w:color="000000"/>
          <w:lang w:val="en-US" w:eastAsia="zh-CN" w:bidi="ar"/>
        </w:rPr>
        <w:t xml:space="preserve">36.1招标人不得泄漏招标投标活动中应当保密的情况和资料，不得与投标人串通损害国家利益，社会公共利益或者他人合法权益。 </w:t>
      </w:r>
    </w:p>
    <w:p w14:paraId="575CC9B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37.对投标人的纪律要求 </w:t>
      </w:r>
    </w:p>
    <w:p w14:paraId="63E2EC6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14:paraId="6101BA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38.对评标委员会的纪律要求 </w:t>
      </w:r>
    </w:p>
    <w:p w14:paraId="252D75C8">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38.1</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应当客观、公正地履行职责，遵守职业道德，不得擅离职守，影响评标、答辩程序正常进行。</w:t>
      </w:r>
    </w:p>
    <w:p w14:paraId="25E42327">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（八）投诉</w:t>
      </w:r>
    </w:p>
    <w:p w14:paraId="41632D57">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39.投诉</w:t>
      </w:r>
    </w:p>
    <w:p w14:paraId="488F76E2">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39.1投标人或者其他利害关系人认为招标投标活动违反法律、法规和规章规定的，有权向相关行政监督部门投诉。投诉应当有明确的请求和必要的证明材料。</w:t>
      </w:r>
    </w:p>
    <w:p w14:paraId="686C2C0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39.2投标人和其他利害关系人对招标文件、开标、答辩和评标结果事项投诉的，应当按照投标人须知的规定先向招标人提出异议。异议答复期间不计算在第39.1项规定的期限内。</w:t>
      </w:r>
    </w:p>
    <w:p w14:paraId="3C2D19A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Theme="majorEastAsia" w:hAnsiTheme="majorEastAsia" w:eastAsiaTheme="majorEastAsia" w:cstheme="majorEastAsia"/>
          <w:color w:val="auto"/>
          <w:sz w:val="30"/>
          <w:szCs w:val="30"/>
          <w:highlight w:val="none"/>
          <w:lang w:val="en-US"/>
        </w:rPr>
      </w:pPr>
      <w:r>
        <w:rPr>
          <w:rFonts w:hint="eastAsia" w:asciiTheme="majorEastAsia" w:hAnsiTheme="majorEastAsia" w:eastAsiaTheme="majorEastAsia" w:cstheme="majorEastAsia"/>
          <w:color w:val="auto"/>
          <w:kern w:val="0"/>
          <w:sz w:val="30"/>
          <w:szCs w:val="30"/>
          <w:highlight w:val="none"/>
          <w:u w:color="000000"/>
          <w:lang w:val="en-US" w:eastAsia="zh-CN" w:bidi="ar"/>
        </w:rPr>
        <w:t xml:space="preserve"> </w:t>
      </w:r>
    </w:p>
    <w:p w14:paraId="6A00F64A">
      <w:pP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73192277">
      <w:pPr>
        <w:spacing w:before="156" w:beforeLines="50" w:after="156" w:afterLines="50"/>
        <w:jc w:val="center"/>
        <w:outlineLvl w:val="0"/>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w:t>
      </w:r>
      <w:r>
        <w:rPr>
          <w:rFonts w:hint="eastAsia" w:asciiTheme="majorEastAsia" w:hAnsiTheme="majorEastAsia" w:eastAsiaTheme="majorEastAsia" w:cstheme="majorEastAsia"/>
          <w:b/>
          <w:color w:val="auto"/>
          <w:sz w:val="32"/>
          <w:szCs w:val="32"/>
          <w:highlight w:val="none"/>
          <w:lang w:val="en-US" w:eastAsia="zh-CN"/>
        </w:rPr>
        <w:t>三</w:t>
      </w:r>
      <w:r>
        <w:rPr>
          <w:rFonts w:hint="eastAsia" w:asciiTheme="majorEastAsia" w:hAnsiTheme="majorEastAsia" w:eastAsiaTheme="majorEastAsia" w:cstheme="majorEastAsia"/>
          <w:b/>
          <w:color w:val="auto"/>
          <w:sz w:val="32"/>
          <w:szCs w:val="32"/>
          <w:highlight w:val="none"/>
        </w:rPr>
        <w:t xml:space="preserve">章 </w:t>
      </w:r>
      <w:r>
        <w:rPr>
          <w:rFonts w:hint="eastAsia" w:asciiTheme="majorEastAsia" w:hAnsiTheme="majorEastAsia" w:eastAsiaTheme="majorEastAsia" w:cstheme="majorEastAsia"/>
          <w:b/>
          <w:color w:val="auto"/>
          <w:sz w:val="32"/>
          <w:szCs w:val="32"/>
          <w:highlight w:val="none"/>
          <w:lang w:val="en-US" w:eastAsia="zh-CN"/>
        </w:rPr>
        <w:t>资格审查</w:t>
      </w:r>
      <w:r>
        <w:rPr>
          <w:rFonts w:hint="eastAsia" w:asciiTheme="majorEastAsia" w:hAnsiTheme="majorEastAsia" w:eastAsiaTheme="majorEastAsia" w:cstheme="majorEastAsia"/>
          <w:b/>
          <w:color w:val="auto"/>
          <w:sz w:val="32"/>
          <w:szCs w:val="32"/>
          <w:highlight w:val="none"/>
        </w:rPr>
        <w:t>办法</w:t>
      </w:r>
    </w:p>
    <w:p w14:paraId="701DC8C6">
      <w:pPr>
        <w:spacing w:before="156" w:beforeLines="50" w:after="156" w:afterLines="50" w:line="440" w:lineRule="exact"/>
        <w:jc w:val="center"/>
        <w:outlineLvl w:val="1"/>
        <w:rPr>
          <w:rFonts w:hint="eastAsia"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lang w:eastAsia="zh-CN"/>
        </w:rPr>
        <w:t>（</w:t>
      </w:r>
      <w:r>
        <w:rPr>
          <w:rFonts w:hint="eastAsia" w:asciiTheme="majorEastAsia" w:hAnsiTheme="majorEastAsia" w:eastAsiaTheme="majorEastAsia" w:cstheme="majorEastAsia"/>
          <w:b/>
          <w:color w:val="auto"/>
          <w:sz w:val="28"/>
          <w:szCs w:val="28"/>
          <w:highlight w:val="none"/>
          <w:lang w:val="en-US" w:eastAsia="zh-CN"/>
        </w:rPr>
        <w:t>一）</w:t>
      </w:r>
      <w:r>
        <w:rPr>
          <w:rFonts w:hint="eastAsia" w:asciiTheme="majorEastAsia" w:hAnsiTheme="majorEastAsia" w:eastAsiaTheme="majorEastAsia" w:cstheme="majorEastAsia"/>
          <w:b/>
          <w:color w:val="auto"/>
          <w:sz w:val="28"/>
          <w:szCs w:val="28"/>
          <w:highlight w:val="none"/>
        </w:rPr>
        <w:t>资格审查办法前附表</w:t>
      </w:r>
    </w:p>
    <w:p w14:paraId="1B0908C8">
      <w:pPr>
        <w:adjustRightInd w:val="0"/>
        <w:snapToGrid w:val="0"/>
        <w:spacing w:line="560" w:lineRule="exact"/>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lang w:val="en-US" w:eastAsia="zh-CN"/>
        </w:rPr>
        <w:t>1.资格审查</w:t>
      </w:r>
      <w:r>
        <w:rPr>
          <w:rFonts w:hint="eastAsia" w:asciiTheme="majorEastAsia" w:hAnsiTheme="majorEastAsia" w:eastAsiaTheme="majorEastAsia" w:cstheme="majorEastAsia"/>
          <w:color w:val="auto"/>
          <w:highlight w:val="none"/>
        </w:rPr>
        <w:t>评审</w:t>
      </w:r>
      <w:r>
        <w:rPr>
          <w:rFonts w:hint="eastAsia" w:asciiTheme="majorEastAsia" w:hAnsiTheme="majorEastAsia" w:eastAsiaTheme="majorEastAsia" w:cstheme="majorEastAsia"/>
          <w:b/>
          <w:color w:val="auto"/>
          <w:szCs w:val="21"/>
          <w:highlight w:val="none"/>
        </w:rPr>
        <w:t>:</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91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790E874B">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noWrap w:val="0"/>
            <w:vAlign w:val="center"/>
          </w:tcPr>
          <w:p w14:paraId="4505D196">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noWrap w:val="0"/>
            <w:vAlign w:val="center"/>
          </w:tcPr>
          <w:p w14:paraId="3AE5BC85">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14:paraId="6F48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6C09A91B">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noWrap w:val="0"/>
            <w:vAlign w:val="center"/>
          </w:tcPr>
          <w:p w14:paraId="0C92C5AB">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noWrap w:val="0"/>
            <w:vAlign w:val="center"/>
          </w:tcPr>
          <w:p w14:paraId="3DD6601B">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noWrap w:val="0"/>
            <w:vAlign w:val="center"/>
          </w:tcPr>
          <w:p w14:paraId="5EB66852">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现场查验</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手持或密封于投标文件中均视为携带</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w:t>
            </w:r>
          </w:p>
        </w:tc>
      </w:tr>
      <w:tr w14:paraId="7B09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C8F8A17">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w:t>
            </w:r>
          </w:p>
        </w:tc>
        <w:tc>
          <w:tcPr>
            <w:tcW w:w="1235" w:type="dxa"/>
            <w:vMerge w:val="restart"/>
            <w:noWrap w:val="0"/>
            <w:vAlign w:val="center"/>
          </w:tcPr>
          <w:p w14:paraId="64525D1B">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noWrap w:val="0"/>
            <w:vAlign w:val="center"/>
          </w:tcPr>
          <w:p w14:paraId="10D9799A">
            <w:pPr>
              <w:keepNext w:val="0"/>
              <w:keepLines w:val="0"/>
              <w:suppressLineNumbers w:val="0"/>
              <w:spacing w:before="0" w:beforeAutospacing="0" w:after="0" w:afterAutospacing="0" w:line="320" w:lineRule="exact"/>
              <w:ind w:left="0" w:leftChars="0" w:right="0" w:rightChars="0"/>
              <w:rPr>
                <w:rFonts w:hint="eastAsia" w:asciiTheme="majorEastAsia" w:hAnsiTheme="majorEastAsia" w:eastAsiaTheme="majorEastAsia" w:cstheme="majorEastAsia"/>
                <w:color w:val="auto"/>
                <w:szCs w:val="21"/>
                <w:highlight w:val="none"/>
                <w:lang w:val="en-US" w:eastAsia="zh-CN"/>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）具有独立承担民事责任的能力</w:t>
            </w:r>
          </w:p>
        </w:tc>
        <w:tc>
          <w:tcPr>
            <w:tcW w:w="3929" w:type="dxa"/>
            <w:noWrap w:val="0"/>
            <w:vAlign w:val="center"/>
          </w:tcPr>
          <w:p w14:paraId="1F5882CB">
            <w:pPr>
              <w:keepNext w:val="0"/>
              <w:keepLines w:val="0"/>
              <w:suppressLineNumbers w:val="0"/>
              <w:spacing w:before="0" w:beforeAutospacing="0" w:after="0" w:afterAutospacing="0" w:line="320" w:lineRule="exact"/>
              <w:ind w:left="0" w:right="0"/>
              <w:rPr>
                <w:rFonts w:hint="eastAsia" w:ascii="宋体" w:hAnsi="宋体"/>
                <w:b w:val="0"/>
                <w:bCs/>
                <w:color w:val="auto"/>
                <w:szCs w:val="21"/>
                <w:highlight w:val="none"/>
              </w:rPr>
            </w:pPr>
            <w:r>
              <w:rPr>
                <w:rFonts w:hint="eastAsia" w:ascii="宋体"/>
                <w:b w:val="0"/>
                <w:bCs/>
                <w:color w:val="auto"/>
                <w:szCs w:val="21"/>
                <w:highlight w:val="none"/>
              </w:rPr>
              <w:t>评审核验标书中的下列证书、证明材料：</w:t>
            </w:r>
          </w:p>
          <w:p w14:paraId="33F89B2C">
            <w:pPr>
              <w:keepNext w:val="0"/>
              <w:keepLines w:val="0"/>
              <w:suppressLineNumbers w:val="0"/>
              <w:spacing w:before="0" w:beforeAutospacing="0" w:after="0" w:afterAutospacing="0" w:line="320" w:lineRule="exact"/>
              <w:ind w:left="0" w:leftChars="0" w:right="0" w:rightChars="0"/>
              <w:rPr>
                <w:rFonts w:hint="eastAsia" w:asciiTheme="majorEastAsia" w:hAnsiTheme="majorEastAsia" w:eastAsiaTheme="majorEastAsia" w:cstheme="majorEastAsia"/>
                <w:color w:val="auto"/>
                <w:szCs w:val="21"/>
                <w:highlight w:val="none"/>
              </w:rPr>
            </w:pPr>
            <w:r>
              <w:rPr>
                <w:rFonts w:hint="eastAsia" w:ascii="宋体"/>
                <w:color w:val="auto"/>
                <w:szCs w:val="21"/>
                <w:highlight w:val="none"/>
              </w:rPr>
              <w:t>投标人有效的营业执照、税务登记证、组织机构码证（或“三证合一证书”）</w:t>
            </w:r>
          </w:p>
        </w:tc>
      </w:tr>
      <w:tr w14:paraId="1D27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6E5B571A">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14:paraId="57D26C2F">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7F8DC090">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（3）具备经财政部门批准的会计师事务所执业证书</w:t>
            </w:r>
          </w:p>
        </w:tc>
        <w:tc>
          <w:tcPr>
            <w:tcW w:w="3929" w:type="dxa"/>
            <w:noWrap w:val="0"/>
            <w:vAlign w:val="center"/>
          </w:tcPr>
          <w:p w14:paraId="3FE74213">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评审核验标书中的下列证书、证明材料：</w:t>
            </w:r>
          </w:p>
          <w:p w14:paraId="2A91A566">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投标人有效的会计师事务所执业证书</w:t>
            </w:r>
          </w:p>
        </w:tc>
      </w:tr>
      <w:tr w14:paraId="148A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0B3E1450">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14:paraId="037A90B1">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0ED1BDA0">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（4）投标人拟派项目负责人须具有注册在本单位的注册会计师（执业）资格</w:t>
            </w:r>
          </w:p>
        </w:tc>
        <w:tc>
          <w:tcPr>
            <w:tcW w:w="3929" w:type="dxa"/>
            <w:noWrap w:val="0"/>
            <w:vAlign w:val="center"/>
          </w:tcPr>
          <w:p w14:paraId="1004EEED">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评审核验标书中的下列证书、证明材料：</w:t>
            </w:r>
          </w:p>
          <w:p w14:paraId="2E51ADF9">
            <w:pPr>
              <w:keepNext w:val="0"/>
              <w:keepLines w:val="0"/>
              <w:suppressLineNumbers w:val="0"/>
              <w:spacing w:before="0" w:beforeAutospacing="0" w:after="0" w:afterAutospacing="0" w:line="320" w:lineRule="exact"/>
              <w:ind w:left="0" w:leftChars="0" w:right="0" w:rightChars="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投标人拟派项目负责人须具有注册在本单位的注册会计师（执业）资格</w:t>
            </w:r>
          </w:p>
        </w:tc>
      </w:tr>
      <w:tr w14:paraId="1E28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2ED3A8B1">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p>
        </w:tc>
        <w:tc>
          <w:tcPr>
            <w:tcW w:w="1235" w:type="dxa"/>
            <w:vMerge w:val="continue"/>
            <w:noWrap w:val="0"/>
            <w:vAlign w:val="center"/>
          </w:tcPr>
          <w:p w14:paraId="38073635">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1F1054D2">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（5）诚信投标承诺书</w:t>
            </w:r>
          </w:p>
        </w:tc>
        <w:tc>
          <w:tcPr>
            <w:tcW w:w="3929" w:type="dxa"/>
            <w:noWrap w:val="0"/>
            <w:vAlign w:val="center"/>
          </w:tcPr>
          <w:p w14:paraId="06417539">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r w14:paraId="15C8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1615D694">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bookmarkStart w:id="50" w:name="_Toc60061492"/>
            <w:bookmarkStart w:id="51" w:name="_Toc15058909"/>
            <w:bookmarkStart w:id="52" w:name="_Toc95223395"/>
            <w:bookmarkStart w:id="53" w:name="_Toc506107320"/>
          </w:p>
        </w:tc>
        <w:tc>
          <w:tcPr>
            <w:tcW w:w="1235" w:type="dxa"/>
            <w:vMerge w:val="continue"/>
            <w:noWrap w:val="0"/>
            <w:vAlign w:val="center"/>
          </w:tcPr>
          <w:p w14:paraId="18E09FDC">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14:paraId="7BF89792">
            <w:pPr>
              <w:keepNext w:val="0"/>
              <w:keepLines w:val="0"/>
              <w:suppressLineNumbers w:val="0"/>
              <w:spacing w:before="0" w:beforeAutospacing="0" w:after="0" w:afterAutospacing="0" w:line="320" w:lineRule="exact"/>
              <w:ind w:left="0" w:right="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（6）服务承诺书</w:t>
            </w:r>
          </w:p>
        </w:tc>
        <w:tc>
          <w:tcPr>
            <w:tcW w:w="3929" w:type="dxa"/>
            <w:noWrap w:val="0"/>
            <w:vAlign w:val="center"/>
          </w:tcPr>
          <w:p w14:paraId="52338599">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bl>
    <w:p w14:paraId="221C0A83">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50"/>
      <w:bookmarkEnd w:id="51"/>
      <w:bookmarkEnd w:id="52"/>
      <w:bookmarkEnd w:id="53"/>
    </w:p>
    <w:p w14:paraId="00258621">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54" w:name="_Toc60061493"/>
      <w:bookmarkStart w:id="55" w:name="_Toc506107321"/>
      <w:bookmarkStart w:id="56" w:name="_Toc15058910"/>
      <w:bookmarkStart w:id="57" w:name="_Toc324404868"/>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14:paraId="02269490">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58" w:name="_Toc95223396"/>
      <w:r>
        <w:rPr>
          <w:rFonts w:hint="eastAsia" w:asciiTheme="majorEastAsia" w:hAnsiTheme="majorEastAsia" w:eastAsiaTheme="majorEastAsia" w:cstheme="majorEastAsia"/>
          <w:color w:val="auto"/>
          <w:highlight w:val="none"/>
        </w:rPr>
        <w:t>3.资格审查委员会和审查标准</w:t>
      </w:r>
      <w:bookmarkEnd w:id="54"/>
      <w:bookmarkEnd w:id="55"/>
      <w:bookmarkEnd w:id="56"/>
      <w:bookmarkEnd w:id="57"/>
      <w:bookmarkEnd w:id="58"/>
    </w:p>
    <w:p w14:paraId="43A2B026">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）负责。审查标准见资格审查办法前附表。</w:t>
      </w:r>
    </w:p>
    <w:p w14:paraId="0510A02F">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14:paraId="011BD870">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59" w:name="_Toc95223397"/>
      <w:bookmarkStart w:id="60" w:name="_Toc15058911"/>
      <w:bookmarkStart w:id="61" w:name="_Toc60061494"/>
      <w:bookmarkStart w:id="62" w:name="_Toc506107322"/>
      <w:bookmarkStart w:id="63" w:name="_Toc324404869"/>
      <w:r>
        <w:rPr>
          <w:rFonts w:hint="eastAsia" w:asciiTheme="majorEastAsia" w:hAnsiTheme="majorEastAsia" w:eastAsiaTheme="majorEastAsia" w:cstheme="majorEastAsia"/>
          <w:color w:val="auto"/>
          <w:highlight w:val="none"/>
        </w:rPr>
        <w:t>（1）不能按要求提供证明材料或证明材料经审查不合格；</w:t>
      </w:r>
    </w:p>
    <w:p w14:paraId="5A184D8D">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14:paraId="0A905589">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59"/>
      <w:bookmarkEnd w:id="60"/>
      <w:bookmarkEnd w:id="61"/>
      <w:bookmarkEnd w:id="62"/>
      <w:bookmarkEnd w:id="63"/>
    </w:p>
    <w:p w14:paraId="337B4506">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14:paraId="7F536499">
      <w:pPr>
        <w:jc w:val="center"/>
        <w:rPr>
          <w:rFonts w:hint="eastAsia" w:asciiTheme="majorEastAsia" w:hAnsiTheme="majorEastAsia" w:eastAsiaTheme="majorEastAsia" w:cstheme="majorEastAsia"/>
          <w:b/>
          <w:bCs/>
          <w:color w:val="auto"/>
          <w:kern w:val="0"/>
          <w:sz w:val="28"/>
          <w:szCs w:val="28"/>
          <w:highlight w:val="none"/>
          <w:u w:color="000000"/>
          <w:lang w:val="en-US" w:eastAsia="zh-CN" w:bidi="ar"/>
        </w:rPr>
      </w:pPr>
    </w:p>
    <w:p w14:paraId="1F0A2DAE">
      <w:pPr>
        <w:jc w:val="center"/>
        <w:rPr>
          <w:rFonts w:hint="eastAsia" w:asciiTheme="majorEastAsia" w:hAnsiTheme="majorEastAsia" w:eastAsiaTheme="majorEastAsia" w:cstheme="majorEastAsia"/>
          <w:b/>
          <w:bCs/>
          <w:color w:val="auto"/>
          <w:sz w:val="28"/>
          <w:szCs w:val="28"/>
          <w:highlight w:val="none"/>
          <w:lang w:val="en-US"/>
        </w:rPr>
      </w:pPr>
      <w:r>
        <w:rPr>
          <w:rFonts w:hint="eastAsia" w:asciiTheme="majorEastAsia" w:hAnsiTheme="majorEastAsia" w:eastAsiaTheme="majorEastAsia" w:cstheme="majorEastAsia"/>
          <w:b/>
          <w:bCs/>
          <w:color w:val="auto"/>
          <w:kern w:val="0"/>
          <w:sz w:val="28"/>
          <w:szCs w:val="28"/>
          <w:highlight w:val="none"/>
          <w:u w:color="000000"/>
          <w:lang w:val="en-US" w:eastAsia="zh-CN" w:bidi="ar"/>
        </w:rPr>
        <w:t xml:space="preserve">第四章  </w:t>
      </w:r>
      <w:r>
        <w:rPr>
          <w:rFonts w:hint="eastAsia" w:asciiTheme="majorEastAsia" w:hAnsiTheme="majorEastAsia" w:eastAsiaTheme="majorEastAsia" w:cstheme="majorEastAsia"/>
          <w:b/>
          <w:bCs w:val="0"/>
          <w:color w:val="auto"/>
          <w:kern w:val="44"/>
          <w:sz w:val="28"/>
          <w:szCs w:val="28"/>
          <w:highlight w:val="none"/>
          <w:u w:color="000000"/>
          <w:lang w:val="en-US" w:eastAsia="zh-CN" w:bidi="ar"/>
        </w:rPr>
        <w:t>评标办法</w:t>
      </w:r>
    </w:p>
    <w:p w14:paraId="371B12A7">
      <w:pPr>
        <w:numPr>
          <w:ilvl w:val="0"/>
          <w:numId w:val="1"/>
        </w:numPr>
        <w:spacing w:line="560" w:lineRule="exact"/>
        <w:ind w:left="0"/>
        <w:jc w:val="center"/>
        <w:outlineLvl w:val="1"/>
        <w:rPr>
          <w:rFonts w:hint="eastAsia"/>
          <w:b/>
          <w:color w:val="auto"/>
          <w:sz w:val="28"/>
          <w:szCs w:val="21"/>
          <w:highlight w:val="none"/>
        </w:rPr>
      </w:pPr>
      <w:bookmarkStart w:id="64" w:name="_Toc23254"/>
      <w:bookmarkEnd w:id="64"/>
      <w:bookmarkStart w:id="65" w:name="_Toc18766"/>
      <w:r>
        <w:rPr>
          <w:rFonts w:hint="eastAsia"/>
          <w:b/>
          <w:color w:val="auto"/>
          <w:sz w:val="28"/>
          <w:szCs w:val="21"/>
          <w:highlight w:val="none"/>
        </w:rPr>
        <w:t>中标候选人的确定</w:t>
      </w:r>
      <w:bookmarkEnd w:id="65"/>
    </w:p>
    <w:p w14:paraId="0EA67A92">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　　</w:t>
      </w:r>
      <w:r>
        <w:rPr>
          <w:rFonts w:hint="eastAsia" w:ascii="宋体" w:hAnsi="宋体" w:eastAsia="宋体" w:cs="宋体"/>
          <w:color w:val="auto"/>
          <w:szCs w:val="21"/>
          <w:highlight w:val="none"/>
        </w:rPr>
        <w:t>评标委员会对投标人依次进行资信、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18103599">
      <w:pPr>
        <w:numPr>
          <w:ilvl w:val="0"/>
          <w:numId w:val="1"/>
        </w:numPr>
        <w:spacing w:line="560" w:lineRule="exact"/>
        <w:ind w:left="0"/>
        <w:jc w:val="center"/>
        <w:outlineLvl w:val="1"/>
        <w:rPr>
          <w:rFonts w:hint="eastAsia" w:ascii="Times New Roman" w:hAnsi="Times New Roman" w:eastAsia="宋体" w:cs="Times New Roman"/>
          <w:b/>
          <w:color w:val="auto"/>
          <w:sz w:val="28"/>
          <w:szCs w:val="21"/>
          <w:highlight w:val="none"/>
        </w:rPr>
      </w:pPr>
      <w:bookmarkStart w:id="66" w:name="_Toc23880"/>
      <w:r>
        <w:rPr>
          <w:rFonts w:hint="eastAsia" w:ascii="Times New Roman" w:hAnsi="Times New Roman" w:eastAsia="宋体" w:cs="Times New Roman"/>
          <w:b/>
          <w:color w:val="auto"/>
          <w:sz w:val="28"/>
          <w:szCs w:val="21"/>
          <w:highlight w:val="none"/>
        </w:rPr>
        <w:t>资信评审细则（</w:t>
      </w:r>
      <w:r>
        <w:rPr>
          <w:rFonts w:hint="eastAsia" w:ascii="Times New Roman" w:hAnsi="Times New Roman" w:eastAsia="宋体" w:cs="Times New Roman"/>
          <w:b/>
          <w:color w:val="auto"/>
          <w:sz w:val="28"/>
          <w:szCs w:val="21"/>
          <w:highlight w:val="none"/>
          <w:lang w:val="en-US" w:eastAsia="zh-CN"/>
        </w:rPr>
        <w:t>10</w:t>
      </w:r>
      <w:r>
        <w:rPr>
          <w:rFonts w:hint="eastAsia" w:ascii="Times New Roman" w:hAnsi="Times New Roman" w:eastAsia="宋体" w:cs="Times New Roman"/>
          <w:b/>
          <w:color w:val="auto"/>
          <w:sz w:val="28"/>
          <w:szCs w:val="21"/>
          <w:highlight w:val="none"/>
        </w:rPr>
        <w:t>分）</w:t>
      </w:r>
      <w:bookmarkEnd w:id="66"/>
    </w:p>
    <w:tbl>
      <w:tblPr>
        <w:tblStyle w:val="24"/>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3640"/>
        <w:gridCol w:w="2871"/>
      </w:tblGrid>
      <w:tr w14:paraId="0362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bottom"/>
          </w:tcPr>
          <w:p w14:paraId="7D8CF27C">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color w:val="auto"/>
                <w:szCs w:val="21"/>
                <w:highlight w:val="none"/>
              </w:rPr>
            </w:pPr>
            <w:r>
              <w:rPr>
                <w:rFonts w:hint="eastAsia" w:ascii="宋体" w:hAnsi="宋体"/>
                <w:b/>
                <w:color w:val="auto"/>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bottom"/>
          </w:tcPr>
          <w:p w14:paraId="7068652A">
            <w:pPr>
              <w:keepNext w:val="0"/>
              <w:keepLines w:val="0"/>
              <w:suppressLineNumbers w:val="0"/>
              <w:tabs>
                <w:tab w:val="left" w:pos="360"/>
                <w:tab w:val="left" w:pos="540"/>
                <w:tab w:val="left" w:pos="3600"/>
                <w:tab w:val="left" w:pos="3780"/>
                <w:tab w:val="left" w:pos="9180"/>
                <w:tab w:val="left" w:pos="9501"/>
              </w:tabs>
              <w:adjustRightInd w:val="0"/>
              <w:snapToGrid w:val="0"/>
              <w:spacing w:before="0" w:beforeAutospacing="0" w:after="0" w:afterAutospacing="0" w:line="300" w:lineRule="exact"/>
              <w:ind w:left="0" w:right="-21" w:rightChars="-10"/>
              <w:jc w:val="center"/>
              <w:rPr>
                <w:rFonts w:hint="default" w:ascii="宋体" w:hAnsi="宋体"/>
                <w:b/>
                <w:color w:val="auto"/>
                <w:szCs w:val="21"/>
                <w:highlight w:val="none"/>
              </w:rPr>
            </w:pPr>
            <w:r>
              <w:rPr>
                <w:rFonts w:hint="eastAsia" w:ascii="宋体" w:hAnsi="宋体"/>
                <w:b/>
                <w:color w:val="auto"/>
                <w:szCs w:val="21"/>
                <w:highlight w:val="none"/>
              </w:rPr>
              <w:t>评分因素</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4FB536AB">
            <w:pPr>
              <w:keepNext w:val="0"/>
              <w:keepLines w:val="0"/>
              <w:suppressLineNumbers w:val="0"/>
              <w:spacing w:before="0" w:beforeAutospacing="0" w:after="0" w:afterAutospacing="0" w:line="240" w:lineRule="auto"/>
              <w:ind w:left="0" w:right="0"/>
              <w:jc w:val="center"/>
              <w:rPr>
                <w:rFonts w:hint="eastAsia" w:ascii="宋体" w:hAnsi="宋体" w:eastAsia="宋体"/>
                <w:b/>
                <w:color w:val="auto"/>
                <w:szCs w:val="21"/>
                <w:highlight w:val="none"/>
                <w:lang w:eastAsia="zh-CN"/>
              </w:rPr>
            </w:pPr>
            <w:r>
              <w:rPr>
                <w:rFonts w:hint="eastAsia" w:ascii="宋体" w:hAnsi="宋体" w:cs="宋体"/>
                <w:color w:val="auto"/>
                <w:szCs w:val="21"/>
                <w:highlight w:val="none"/>
              </w:rPr>
              <w:t>评审细则</w:t>
            </w:r>
          </w:p>
        </w:tc>
        <w:tc>
          <w:tcPr>
            <w:tcW w:w="2871" w:type="dxa"/>
            <w:tcBorders>
              <w:top w:val="single" w:color="auto" w:sz="4" w:space="0"/>
              <w:left w:val="single" w:color="auto" w:sz="4" w:space="0"/>
              <w:bottom w:val="single" w:color="auto" w:sz="4" w:space="0"/>
              <w:right w:val="single" w:color="auto" w:sz="4" w:space="0"/>
            </w:tcBorders>
            <w:noWrap w:val="0"/>
            <w:vAlign w:val="center"/>
          </w:tcPr>
          <w:p w14:paraId="3C7BCB7E">
            <w:pPr>
              <w:keepNext w:val="0"/>
              <w:keepLines w:val="0"/>
              <w:suppressLineNumbers w:val="0"/>
              <w:spacing w:before="0" w:beforeAutospacing="0" w:after="0" w:afterAutospacing="0" w:line="240" w:lineRule="auto"/>
              <w:ind w:left="0" w:right="0"/>
              <w:jc w:val="center"/>
              <w:rPr>
                <w:rFonts w:hint="eastAsia" w:ascii="宋体" w:hAnsi="宋体"/>
                <w:b/>
                <w:color w:val="auto"/>
                <w:szCs w:val="21"/>
                <w:highlight w:val="none"/>
              </w:rPr>
            </w:pPr>
            <w:r>
              <w:rPr>
                <w:rFonts w:hint="eastAsia" w:hAnsi="宋体"/>
                <w:color w:val="auto"/>
                <w:szCs w:val="21"/>
                <w:highlight w:val="none"/>
              </w:rPr>
              <w:t>须提供的证明材料</w:t>
            </w:r>
          </w:p>
        </w:tc>
      </w:tr>
      <w:tr w14:paraId="358D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14:paraId="3129F527">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35C12B4A">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80" w:lineRule="exact"/>
              <w:ind w:left="0" w:right="-21" w:rightChars="-10"/>
              <w:jc w:val="center"/>
              <w:textAlignment w:val="auto"/>
              <w:rPr>
                <w:rFonts w:hint="eastAsia" w:ascii="宋体" w:hAnsi="宋体" w:eastAsia="宋体" w:cs="宋体"/>
                <w:color w:val="auto"/>
                <w:kern w:val="0"/>
                <w:szCs w:val="21"/>
                <w:highlight w:val="none"/>
                <w:lang w:val="en-US" w:eastAsia="zh-CN"/>
              </w:rPr>
            </w:pPr>
            <w:r>
              <w:rPr>
                <w:rFonts w:hint="eastAsia" w:hAnsi="宋体"/>
                <w:bCs/>
                <w:color w:val="auto"/>
                <w:szCs w:val="21"/>
                <w:highlight w:val="none"/>
                <w:lang w:val="en-US" w:eastAsia="zh-CN"/>
              </w:rPr>
              <w:t>业绩</w:t>
            </w:r>
            <w:r>
              <w:rPr>
                <w:rFonts w:hint="eastAsia" w:hAnsi="宋体"/>
                <w:bCs/>
                <w:color w:val="auto"/>
                <w:szCs w:val="21"/>
                <w:highlight w:val="none"/>
                <w:lang w:eastAsia="zh-CN"/>
              </w:rPr>
              <w:t>（</w:t>
            </w:r>
            <w:r>
              <w:rPr>
                <w:rFonts w:hint="eastAsia" w:hAnsi="宋体"/>
                <w:bCs/>
                <w:color w:val="auto"/>
                <w:szCs w:val="21"/>
                <w:highlight w:val="none"/>
                <w:lang w:val="en-US" w:eastAsia="zh-CN"/>
              </w:rPr>
              <w:t>10分</w:t>
            </w:r>
            <w:r>
              <w:rPr>
                <w:rFonts w:hint="eastAsia" w:hAnsi="宋体"/>
                <w:bCs/>
                <w:color w:val="auto"/>
                <w:szCs w:val="21"/>
                <w:highlight w:val="none"/>
                <w:lang w:eastAsia="zh-CN"/>
              </w:rPr>
              <w:t>）</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0D64BB23">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80" w:lineRule="exact"/>
              <w:ind w:left="0" w:right="-21" w:rightChars="-10"/>
              <w:jc w:val="left"/>
              <w:textAlignment w:val="auto"/>
              <w:rPr>
                <w:rFonts w:hint="eastAsia" w:hAnsi="宋体"/>
                <w:bCs/>
                <w:color w:val="auto"/>
                <w:szCs w:val="21"/>
                <w:highlight w:val="none"/>
                <w:lang w:val="en-US" w:eastAsia="zh-CN"/>
              </w:rPr>
            </w:pPr>
            <w:r>
              <w:rPr>
                <w:rFonts w:hint="eastAsia" w:hAnsi="宋体"/>
                <w:bCs/>
                <w:color w:val="auto"/>
                <w:szCs w:val="21"/>
                <w:highlight w:val="none"/>
                <w:lang w:val="en-US" w:eastAsia="zh-CN"/>
              </w:rPr>
              <w:t>自</w:t>
            </w:r>
            <w:r>
              <w:rPr>
                <w:rFonts w:hint="eastAsia" w:hAnsi="宋体"/>
                <w:bCs/>
                <w:color w:val="auto"/>
                <w:szCs w:val="21"/>
                <w:highlight w:val="none"/>
                <w:lang w:val="en-US" w:eastAsia="zh-CN"/>
              </w:rPr>
              <w:t>2022年1月1日</w:t>
            </w:r>
            <w:r>
              <w:rPr>
                <w:rFonts w:hint="eastAsia" w:hAnsi="宋体"/>
                <w:bCs/>
                <w:color w:val="auto"/>
                <w:szCs w:val="21"/>
                <w:highlight w:val="none"/>
                <w:lang w:val="en-US" w:eastAsia="zh-CN"/>
              </w:rPr>
              <w:t>至投标截止时间，投标人承担过</w:t>
            </w:r>
            <w:r>
              <w:rPr>
                <w:rFonts w:hint="eastAsia" w:hAnsi="宋体"/>
                <w:bCs/>
                <w:color w:val="auto"/>
                <w:szCs w:val="21"/>
                <w:highlight w:val="none"/>
                <w:lang w:val="en-US" w:eastAsia="zh-CN"/>
              </w:rPr>
              <w:t>资产总额5亿元</w:t>
            </w:r>
            <w:r>
              <w:rPr>
                <w:rFonts w:hint="eastAsia" w:hAnsi="宋体"/>
                <w:bCs/>
                <w:color w:val="auto"/>
                <w:szCs w:val="21"/>
                <w:highlight w:val="none"/>
                <w:lang w:val="en-US" w:eastAsia="zh-CN"/>
              </w:rPr>
              <w:t>及以上的</w:t>
            </w:r>
            <w:r>
              <w:rPr>
                <w:rFonts w:hint="eastAsia" w:hAnsi="宋体"/>
                <w:bCs/>
                <w:color w:val="auto"/>
                <w:szCs w:val="21"/>
                <w:highlight w:val="none"/>
                <w:lang w:val="en-US" w:eastAsia="zh-CN"/>
              </w:rPr>
              <w:t>财报审计</w:t>
            </w:r>
            <w:r>
              <w:rPr>
                <w:rFonts w:hint="eastAsia" w:hAnsi="宋体"/>
                <w:bCs/>
                <w:color w:val="auto"/>
                <w:szCs w:val="21"/>
                <w:highlight w:val="none"/>
                <w:lang w:val="en-US" w:eastAsia="zh-CN"/>
              </w:rPr>
              <w:t>业绩的，每提供一份得5分，最多得10分，不提供的不得分。</w:t>
            </w:r>
          </w:p>
          <w:p w14:paraId="65849C14">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80" w:lineRule="exact"/>
              <w:ind w:left="0" w:right="-21" w:rightChars="-10"/>
              <w:jc w:val="left"/>
              <w:textAlignment w:val="auto"/>
              <w:rPr>
                <w:rFonts w:hint="default" w:ascii="宋体" w:hAnsi="宋体" w:eastAsia="宋体" w:cs="宋体"/>
                <w:color w:val="auto"/>
                <w:kern w:val="0"/>
                <w:szCs w:val="21"/>
                <w:highlight w:val="none"/>
                <w:lang w:val="en-US" w:eastAsia="zh-CN"/>
              </w:rPr>
            </w:pPr>
            <w:r>
              <w:rPr>
                <w:rFonts w:hint="eastAsia" w:hAnsi="宋体"/>
                <w:bCs/>
                <w:color w:val="auto"/>
                <w:szCs w:val="21"/>
                <w:highlight w:val="none"/>
                <w:lang w:val="en-US" w:eastAsia="zh-CN"/>
              </w:rPr>
              <w:t>注：业绩时间以合同签订时间为准，否则不予认可。</w:t>
            </w:r>
          </w:p>
        </w:tc>
        <w:tc>
          <w:tcPr>
            <w:tcW w:w="2871" w:type="dxa"/>
            <w:tcBorders>
              <w:top w:val="single" w:color="auto" w:sz="4" w:space="0"/>
              <w:left w:val="single" w:color="auto" w:sz="4" w:space="0"/>
              <w:bottom w:val="single" w:color="auto" w:sz="4" w:space="0"/>
              <w:right w:val="single" w:color="auto" w:sz="4" w:space="0"/>
            </w:tcBorders>
            <w:noWrap w:val="0"/>
            <w:vAlign w:val="center"/>
          </w:tcPr>
          <w:p w14:paraId="7550F32F">
            <w:pPr>
              <w:pStyle w:val="54"/>
              <w:keepNext w:val="0"/>
              <w:keepLines w:val="0"/>
              <w:suppressLineNumbers w:val="0"/>
              <w:tabs>
                <w:tab w:val="left" w:pos="1800"/>
                <w:tab w:val="left" w:pos="2340"/>
                <w:tab w:val="left" w:pos="2700"/>
              </w:tabs>
              <w:adjustRightInd w:val="0"/>
              <w:spacing w:before="0" w:beforeAutospacing="0" w:after="0" w:afterAutospacing="0" w:line="240" w:lineRule="auto"/>
              <w:ind w:left="0" w:right="0"/>
              <w:jc w:val="both"/>
              <w:rPr>
                <w:rFonts w:hint="default"/>
                <w:color w:val="auto"/>
                <w:highlight w:val="none"/>
                <w:lang w:val="en-US" w:eastAsia="zh-CN"/>
              </w:rPr>
            </w:pPr>
            <w:r>
              <w:rPr>
                <w:rFonts w:hint="eastAsia" w:ascii="宋体" w:hAnsi="宋体" w:eastAsia="宋体" w:cs="宋体"/>
                <w:color w:val="auto"/>
                <w:sz w:val="21"/>
                <w:szCs w:val="21"/>
                <w:highlight w:val="none"/>
                <w:lang w:val="en-US" w:eastAsia="zh-CN"/>
              </w:rPr>
              <w:t>投标人须提供合同</w:t>
            </w:r>
            <w:r>
              <w:rPr>
                <w:rFonts w:hint="eastAsia" w:ascii="宋体" w:hAnsi="宋体" w:cs="宋体"/>
                <w:color w:val="auto"/>
                <w:sz w:val="21"/>
                <w:szCs w:val="21"/>
                <w:highlight w:val="none"/>
                <w:lang w:val="en-US" w:eastAsia="zh-CN"/>
              </w:rPr>
              <w:t>复印件（加盖投标人公章）</w:t>
            </w:r>
          </w:p>
        </w:tc>
      </w:tr>
    </w:tbl>
    <w:p w14:paraId="70642D86">
      <w:pPr>
        <w:numPr>
          <w:ilvl w:val="0"/>
          <w:numId w:val="1"/>
        </w:numPr>
        <w:spacing w:line="560" w:lineRule="exact"/>
        <w:ind w:left="0"/>
        <w:jc w:val="center"/>
        <w:outlineLvl w:val="1"/>
        <w:rPr>
          <w:rFonts w:hint="eastAsia" w:ascii="Times New Roman" w:hAnsi="Times New Roman" w:eastAsia="宋体" w:cs="Times New Roman"/>
          <w:b/>
          <w:color w:val="auto"/>
          <w:sz w:val="28"/>
          <w:szCs w:val="21"/>
          <w:highlight w:val="none"/>
          <w:lang w:val="en-US" w:eastAsia="zh-CN"/>
        </w:rPr>
      </w:pPr>
      <w:bookmarkStart w:id="67" w:name="_Toc23002"/>
      <w:r>
        <w:rPr>
          <w:rFonts w:hint="eastAsia" w:ascii="Times New Roman" w:hAnsi="Times New Roman" w:eastAsia="宋体" w:cs="Times New Roman"/>
          <w:b/>
          <w:color w:val="auto"/>
          <w:sz w:val="28"/>
          <w:szCs w:val="21"/>
          <w:highlight w:val="none"/>
          <w:lang w:val="en-US" w:eastAsia="zh-CN"/>
        </w:rPr>
        <w:t>商务标评审细则（90分）</w:t>
      </w:r>
      <w:bookmarkEnd w:id="67"/>
    </w:p>
    <w:tbl>
      <w:tblPr>
        <w:tblStyle w:val="24"/>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986"/>
        <w:gridCol w:w="1771"/>
        <w:gridCol w:w="5580"/>
      </w:tblGrid>
      <w:tr w14:paraId="5F10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jc w:val="center"/>
        </w:trPr>
        <w:tc>
          <w:tcPr>
            <w:tcW w:w="779" w:type="dxa"/>
            <w:noWrap w:val="0"/>
            <w:vAlign w:val="center"/>
          </w:tcPr>
          <w:p w14:paraId="0008D52F">
            <w:pPr>
              <w:keepNext w:val="0"/>
              <w:keepLines w:val="0"/>
              <w:suppressLineNumbers w:val="0"/>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序号</w:t>
            </w:r>
          </w:p>
        </w:tc>
        <w:tc>
          <w:tcPr>
            <w:tcW w:w="2757" w:type="dxa"/>
            <w:gridSpan w:val="2"/>
            <w:noWrap w:val="0"/>
            <w:vAlign w:val="center"/>
          </w:tcPr>
          <w:p w14:paraId="59B08037">
            <w:pPr>
              <w:keepNext w:val="0"/>
              <w:keepLines w:val="0"/>
              <w:suppressLineNumbers w:val="0"/>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审查因素</w:t>
            </w:r>
          </w:p>
        </w:tc>
        <w:tc>
          <w:tcPr>
            <w:tcW w:w="5580" w:type="dxa"/>
            <w:noWrap w:val="0"/>
            <w:vAlign w:val="center"/>
          </w:tcPr>
          <w:p w14:paraId="6F9EB369">
            <w:pPr>
              <w:keepNext w:val="0"/>
              <w:keepLines w:val="0"/>
              <w:suppressLineNumbers w:val="0"/>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审查内容</w:t>
            </w:r>
          </w:p>
        </w:tc>
      </w:tr>
      <w:tr w14:paraId="786E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79" w:type="dxa"/>
            <w:vMerge w:val="restart"/>
            <w:noWrap w:val="0"/>
            <w:vAlign w:val="center"/>
          </w:tcPr>
          <w:p w14:paraId="622F6EE8">
            <w:pPr>
              <w:keepNext w:val="0"/>
              <w:keepLines w:val="0"/>
              <w:suppressLineNumbers w:val="0"/>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1</w:t>
            </w:r>
          </w:p>
        </w:tc>
        <w:tc>
          <w:tcPr>
            <w:tcW w:w="986" w:type="dxa"/>
            <w:vMerge w:val="restart"/>
            <w:noWrap w:val="0"/>
            <w:vAlign w:val="center"/>
          </w:tcPr>
          <w:p w14:paraId="7E7A6D1C">
            <w:pPr>
              <w:keepNext w:val="0"/>
              <w:keepLines w:val="0"/>
              <w:suppressLineNumbers w:val="0"/>
              <w:spacing w:before="0" w:beforeAutospacing="0" w:after="0" w:afterAutospacing="0" w:line="320" w:lineRule="atLeast"/>
              <w:ind w:left="0" w:right="0"/>
              <w:jc w:val="center"/>
              <w:rPr>
                <w:rFonts w:hint="eastAsia" w:ascii="宋体" w:cs="仿宋_GB2312"/>
                <w:color w:val="auto"/>
                <w:szCs w:val="21"/>
                <w:highlight w:val="none"/>
                <w:lang w:val="zh-CN"/>
              </w:rPr>
            </w:pPr>
            <w:r>
              <w:rPr>
                <w:rFonts w:hint="eastAsia" w:ascii="宋体" w:hAnsi="宋体" w:cs="宋体"/>
                <w:color w:val="auto"/>
                <w:szCs w:val="21"/>
                <w:highlight w:val="none"/>
              </w:rPr>
              <w:t>形式评审标准</w:t>
            </w:r>
          </w:p>
        </w:tc>
        <w:tc>
          <w:tcPr>
            <w:tcW w:w="1771" w:type="dxa"/>
            <w:noWrap w:val="0"/>
            <w:vAlign w:val="center"/>
          </w:tcPr>
          <w:p w14:paraId="3993C3CD">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投标函签字盖章</w:t>
            </w:r>
          </w:p>
        </w:tc>
        <w:tc>
          <w:tcPr>
            <w:tcW w:w="5580" w:type="dxa"/>
            <w:noWrap w:val="0"/>
            <w:vAlign w:val="center"/>
          </w:tcPr>
          <w:p w14:paraId="380C853D">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auto"/>
                <w:szCs w:val="21"/>
                <w:highlight w:val="none"/>
                <w:lang w:val="zh-CN"/>
              </w:rPr>
            </w:pPr>
            <w:r>
              <w:rPr>
                <w:rFonts w:hint="eastAsia" w:ascii="宋体" w:hAnsi="宋体" w:cs="宋体"/>
                <w:color w:val="auto"/>
                <w:szCs w:val="21"/>
                <w:highlight w:val="none"/>
              </w:rPr>
              <w:t>有投标人及其法定代表人签章。</w:t>
            </w:r>
          </w:p>
        </w:tc>
      </w:tr>
      <w:tr w14:paraId="43EE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779" w:type="dxa"/>
            <w:vMerge w:val="continue"/>
            <w:noWrap w:val="0"/>
            <w:vAlign w:val="center"/>
          </w:tcPr>
          <w:p w14:paraId="13C3B11F">
            <w:pPr>
              <w:keepNext w:val="0"/>
              <w:keepLines w:val="0"/>
              <w:suppressLineNumbers w:val="0"/>
              <w:spacing w:before="0" w:beforeAutospacing="0" w:after="0" w:afterAutospacing="0" w:line="320" w:lineRule="atLeast"/>
              <w:ind w:left="0" w:right="0"/>
              <w:rPr>
                <w:rFonts w:hint="default"/>
                <w:color w:val="auto"/>
                <w:highlight w:val="none"/>
              </w:rPr>
            </w:pPr>
          </w:p>
        </w:tc>
        <w:tc>
          <w:tcPr>
            <w:tcW w:w="986" w:type="dxa"/>
            <w:vMerge w:val="continue"/>
            <w:noWrap w:val="0"/>
            <w:vAlign w:val="center"/>
          </w:tcPr>
          <w:p w14:paraId="6339533E">
            <w:pPr>
              <w:keepNext w:val="0"/>
              <w:keepLines w:val="0"/>
              <w:suppressLineNumbers w:val="0"/>
              <w:spacing w:before="0" w:beforeAutospacing="0" w:after="0" w:afterAutospacing="0" w:line="320" w:lineRule="atLeast"/>
              <w:ind w:left="0" w:right="0"/>
              <w:rPr>
                <w:rFonts w:hint="default"/>
                <w:color w:val="auto"/>
                <w:highlight w:val="none"/>
              </w:rPr>
            </w:pPr>
          </w:p>
        </w:tc>
        <w:tc>
          <w:tcPr>
            <w:tcW w:w="1771" w:type="dxa"/>
            <w:noWrap w:val="0"/>
            <w:vAlign w:val="center"/>
          </w:tcPr>
          <w:p w14:paraId="045B0925">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投标文件格式</w:t>
            </w:r>
          </w:p>
        </w:tc>
        <w:tc>
          <w:tcPr>
            <w:tcW w:w="5580" w:type="dxa"/>
            <w:noWrap w:val="0"/>
            <w:vAlign w:val="center"/>
          </w:tcPr>
          <w:p w14:paraId="33C9A905">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auto"/>
                <w:szCs w:val="21"/>
                <w:highlight w:val="none"/>
              </w:rPr>
            </w:pPr>
            <w:r>
              <w:rPr>
                <w:rFonts w:hint="eastAsia" w:ascii="宋体" w:hAnsi="宋体" w:cs="宋体"/>
                <w:color w:val="auto"/>
                <w:szCs w:val="21"/>
                <w:highlight w:val="none"/>
              </w:rPr>
              <w:t>符合“投标文件格式”的要求。</w:t>
            </w:r>
          </w:p>
        </w:tc>
      </w:tr>
      <w:tr w14:paraId="011C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779" w:type="dxa"/>
            <w:vMerge w:val="continue"/>
            <w:noWrap w:val="0"/>
            <w:vAlign w:val="center"/>
          </w:tcPr>
          <w:p w14:paraId="509D4FDD">
            <w:pPr>
              <w:keepNext w:val="0"/>
              <w:keepLines w:val="0"/>
              <w:suppressLineNumbers w:val="0"/>
              <w:spacing w:before="0" w:beforeAutospacing="0" w:after="0" w:afterAutospacing="0" w:line="320" w:lineRule="atLeast"/>
              <w:ind w:left="0" w:right="0"/>
              <w:rPr>
                <w:rFonts w:hint="default"/>
                <w:color w:val="auto"/>
                <w:highlight w:val="none"/>
              </w:rPr>
            </w:pPr>
          </w:p>
        </w:tc>
        <w:tc>
          <w:tcPr>
            <w:tcW w:w="986" w:type="dxa"/>
            <w:vMerge w:val="continue"/>
            <w:noWrap w:val="0"/>
            <w:vAlign w:val="center"/>
          </w:tcPr>
          <w:p w14:paraId="42E05628">
            <w:pPr>
              <w:keepNext w:val="0"/>
              <w:keepLines w:val="0"/>
              <w:suppressLineNumbers w:val="0"/>
              <w:spacing w:before="0" w:beforeAutospacing="0" w:after="0" w:afterAutospacing="0" w:line="320" w:lineRule="atLeast"/>
              <w:ind w:left="0" w:right="0"/>
              <w:rPr>
                <w:rFonts w:hint="default"/>
                <w:color w:val="auto"/>
                <w:highlight w:val="none"/>
              </w:rPr>
            </w:pPr>
          </w:p>
        </w:tc>
        <w:tc>
          <w:tcPr>
            <w:tcW w:w="1771" w:type="dxa"/>
            <w:noWrap w:val="0"/>
            <w:vAlign w:val="center"/>
          </w:tcPr>
          <w:p w14:paraId="45A776D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商务标签字盖章</w:t>
            </w:r>
          </w:p>
        </w:tc>
        <w:tc>
          <w:tcPr>
            <w:tcW w:w="5580" w:type="dxa"/>
            <w:noWrap w:val="0"/>
            <w:vAlign w:val="center"/>
          </w:tcPr>
          <w:p w14:paraId="3D2CDBC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auto"/>
                <w:szCs w:val="21"/>
                <w:highlight w:val="none"/>
              </w:rPr>
            </w:pPr>
            <w:r>
              <w:rPr>
                <w:rFonts w:hint="eastAsia" w:ascii="宋体" w:hAnsi="宋体" w:cs="宋体"/>
                <w:color w:val="auto"/>
                <w:szCs w:val="21"/>
                <w:highlight w:val="none"/>
              </w:rPr>
              <w:t>按投标文件格式要求</w:t>
            </w:r>
            <w:r>
              <w:rPr>
                <w:rFonts w:hint="eastAsia" w:ascii="宋体" w:hAnsi="宋体" w:cs="宋体"/>
                <w:color w:val="auto"/>
                <w:szCs w:val="21"/>
                <w:highlight w:val="none"/>
                <w:lang w:val="en-US" w:eastAsia="zh-CN"/>
              </w:rPr>
              <w:t>签字盖章</w:t>
            </w:r>
            <w:r>
              <w:rPr>
                <w:rFonts w:hint="eastAsia" w:ascii="宋体" w:hAnsi="宋体" w:cs="宋体"/>
                <w:color w:val="auto"/>
                <w:szCs w:val="21"/>
                <w:highlight w:val="none"/>
              </w:rPr>
              <w:t>。</w:t>
            </w:r>
          </w:p>
        </w:tc>
      </w:tr>
      <w:tr w14:paraId="6088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9" w:type="dxa"/>
            <w:vMerge w:val="continue"/>
            <w:noWrap w:val="0"/>
            <w:vAlign w:val="center"/>
          </w:tcPr>
          <w:p w14:paraId="53AF86C8">
            <w:pPr>
              <w:keepNext w:val="0"/>
              <w:keepLines w:val="0"/>
              <w:suppressLineNumbers w:val="0"/>
              <w:spacing w:before="0" w:beforeAutospacing="0" w:after="0" w:afterAutospacing="0" w:line="320" w:lineRule="atLeast"/>
              <w:ind w:left="0" w:right="0"/>
              <w:rPr>
                <w:rFonts w:hint="default"/>
                <w:color w:val="auto"/>
                <w:highlight w:val="none"/>
              </w:rPr>
            </w:pPr>
          </w:p>
        </w:tc>
        <w:tc>
          <w:tcPr>
            <w:tcW w:w="986" w:type="dxa"/>
            <w:vMerge w:val="continue"/>
            <w:noWrap w:val="0"/>
            <w:vAlign w:val="center"/>
          </w:tcPr>
          <w:p w14:paraId="767CDC9A">
            <w:pPr>
              <w:keepNext w:val="0"/>
              <w:keepLines w:val="0"/>
              <w:suppressLineNumbers w:val="0"/>
              <w:spacing w:before="0" w:beforeAutospacing="0" w:after="0" w:afterAutospacing="0" w:line="320" w:lineRule="atLeast"/>
              <w:ind w:left="0" w:right="0"/>
              <w:rPr>
                <w:rFonts w:hint="default"/>
                <w:color w:val="auto"/>
                <w:highlight w:val="none"/>
              </w:rPr>
            </w:pPr>
          </w:p>
        </w:tc>
        <w:tc>
          <w:tcPr>
            <w:tcW w:w="1771" w:type="dxa"/>
            <w:noWrap w:val="0"/>
            <w:vAlign w:val="center"/>
          </w:tcPr>
          <w:p w14:paraId="17AA5B68">
            <w:pPr>
              <w:keepNext w:val="0"/>
              <w:keepLines w:val="0"/>
              <w:suppressLineNumbers w:val="0"/>
              <w:adjustRightInd w:val="0"/>
              <w:snapToGrid w:val="0"/>
              <w:spacing w:before="0" w:beforeAutospacing="0" w:after="0" w:afterAutospacing="0" w:line="560" w:lineRule="exact"/>
              <w:ind w:left="0" w:right="0"/>
              <w:rPr>
                <w:rFonts w:hint="eastAsia" w:ascii="宋体"/>
                <w:color w:val="auto"/>
                <w:szCs w:val="21"/>
                <w:highlight w:val="none"/>
              </w:rPr>
            </w:pPr>
            <w:r>
              <w:rPr>
                <w:rFonts w:hint="eastAsia" w:ascii="宋体" w:hAnsi="宋体" w:cs="宋体"/>
                <w:color w:val="auto"/>
                <w:szCs w:val="21"/>
                <w:highlight w:val="none"/>
              </w:rPr>
              <w:t>报价唯一</w:t>
            </w:r>
          </w:p>
        </w:tc>
        <w:tc>
          <w:tcPr>
            <w:tcW w:w="5580" w:type="dxa"/>
            <w:noWrap w:val="0"/>
            <w:vAlign w:val="center"/>
          </w:tcPr>
          <w:p w14:paraId="55D74A6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auto"/>
                <w:szCs w:val="21"/>
                <w:highlight w:val="none"/>
                <w:lang w:val="zh-CN"/>
              </w:rPr>
            </w:pPr>
            <w:r>
              <w:rPr>
                <w:rFonts w:hint="eastAsia" w:ascii="宋体" w:hAnsi="宋体" w:cs="宋体"/>
                <w:color w:val="auto"/>
                <w:szCs w:val="21"/>
                <w:highlight w:val="none"/>
              </w:rPr>
              <w:t>只能有一个报价。</w:t>
            </w:r>
          </w:p>
        </w:tc>
      </w:tr>
      <w:tr w14:paraId="3697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779" w:type="dxa"/>
            <w:vMerge w:val="restart"/>
            <w:noWrap w:val="0"/>
            <w:vAlign w:val="center"/>
          </w:tcPr>
          <w:p w14:paraId="24971957">
            <w:pPr>
              <w:keepNext w:val="0"/>
              <w:keepLines w:val="0"/>
              <w:suppressLineNumbers w:val="0"/>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2</w:t>
            </w:r>
          </w:p>
        </w:tc>
        <w:tc>
          <w:tcPr>
            <w:tcW w:w="986" w:type="dxa"/>
            <w:vMerge w:val="restart"/>
            <w:noWrap w:val="0"/>
            <w:vAlign w:val="center"/>
          </w:tcPr>
          <w:p w14:paraId="7EE8A412">
            <w:pPr>
              <w:keepNext w:val="0"/>
              <w:keepLines w:val="0"/>
              <w:suppressLineNumbers w:val="0"/>
              <w:adjustRightInd w:val="0"/>
              <w:snapToGrid w:val="0"/>
              <w:spacing w:before="0" w:beforeAutospacing="0" w:after="0" w:afterAutospacing="0" w:line="560" w:lineRule="exact"/>
              <w:ind w:left="0" w:right="0"/>
              <w:jc w:val="center"/>
              <w:rPr>
                <w:rFonts w:hint="eastAsia" w:ascii="宋体" w:cs="仿宋_GB2312"/>
                <w:color w:val="auto"/>
                <w:szCs w:val="21"/>
                <w:highlight w:val="none"/>
                <w:lang w:val="zh-CN"/>
              </w:rPr>
            </w:pPr>
            <w:r>
              <w:rPr>
                <w:rFonts w:hint="eastAsia" w:ascii="宋体" w:hAnsi="宋体" w:cs="宋体"/>
                <w:color w:val="auto"/>
                <w:szCs w:val="21"/>
                <w:highlight w:val="none"/>
              </w:rPr>
              <w:t>响应性评审标准</w:t>
            </w:r>
          </w:p>
        </w:tc>
        <w:tc>
          <w:tcPr>
            <w:tcW w:w="1771" w:type="dxa"/>
            <w:noWrap w:val="0"/>
            <w:vAlign w:val="center"/>
          </w:tcPr>
          <w:p w14:paraId="7A6CE330">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期限</w:t>
            </w:r>
          </w:p>
        </w:tc>
        <w:tc>
          <w:tcPr>
            <w:tcW w:w="5580" w:type="dxa"/>
            <w:noWrap w:val="0"/>
            <w:vAlign w:val="center"/>
          </w:tcPr>
          <w:p w14:paraId="218F6AB7">
            <w:pPr>
              <w:keepNext w:val="0"/>
              <w:keepLines w:val="0"/>
              <w:suppressLineNumbers w:val="0"/>
              <w:adjustRightInd w:val="0"/>
              <w:snapToGrid w:val="0"/>
              <w:spacing w:before="0" w:beforeAutospacing="0" w:after="0" w:afterAutospacing="0" w:line="560" w:lineRule="exact"/>
              <w:ind w:left="0" w:right="0"/>
              <w:rPr>
                <w:rFonts w:hint="eastAsia" w:ascii="宋体" w:cs="宋体"/>
                <w:color w:val="auto"/>
                <w:szCs w:val="21"/>
                <w:highlight w:val="none"/>
              </w:rPr>
            </w:pPr>
            <w:r>
              <w:rPr>
                <w:rFonts w:hint="eastAsia" w:ascii="宋体" w:hAnsi="宋体" w:cs="宋体"/>
                <w:color w:val="auto"/>
                <w:szCs w:val="21"/>
                <w:highlight w:val="none"/>
              </w:rPr>
              <w:t>符合投标须知前附表规定。</w:t>
            </w:r>
          </w:p>
        </w:tc>
      </w:tr>
      <w:tr w14:paraId="1468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9" w:type="dxa"/>
            <w:vMerge w:val="continue"/>
            <w:noWrap w:val="0"/>
            <w:vAlign w:val="center"/>
          </w:tcPr>
          <w:p w14:paraId="26AD6A20">
            <w:pPr>
              <w:keepNext w:val="0"/>
              <w:keepLines w:val="0"/>
              <w:suppressLineNumbers w:val="0"/>
              <w:spacing w:before="0" w:beforeAutospacing="0" w:after="0" w:afterAutospacing="0" w:line="320" w:lineRule="atLeast"/>
              <w:ind w:left="0" w:right="0"/>
              <w:rPr>
                <w:rFonts w:hint="default"/>
                <w:color w:val="auto"/>
                <w:highlight w:val="none"/>
              </w:rPr>
            </w:pPr>
          </w:p>
        </w:tc>
        <w:tc>
          <w:tcPr>
            <w:tcW w:w="986" w:type="dxa"/>
            <w:vMerge w:val="continue"/>
            <w:noWrap w:val="0"/>
            <w:vAlign w:val="center"/>
          </w:tcPr>
          <w:p w14:paraId="35617B88">
            <w:pPr>
              <w:keepNext w:val="0"/>
              <w:keepLines w:val="0"/>
              <w:suppressLineNumbers w:val="0"/>
              <w:spacing w:before="0" w:beforeAutospacing="0" w:after="0" w:afterAutospacing="0" w:line="320" w:lineRule="atLeast"/>
              <w:ind w:left="0" w:right="0"/>
              <w:rPr>
                <w:rFonts w:hint="default"/>
                <w:color w:val="auto"/>
                <w:highlight w:val="none"/>
              </w:rPr>
            </w:pPr>
          </w:p>
        </w:tc>
        <w:tc>
          <w:tcPr>
            <w:tcW w:w="1771" w:type="dxa"/>
            <w:noWrap w:val="0"/>
            <w:vAlign w:val="center"/>
          </w:tcPr>
          <w:p w14:paraId="7CC49FF6">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投标有效期</w:t>
            </w:r>
          </w:p>
        </w:tc>
        <w:tc>
          <w:tcPr>
            <w:tcW w:w="5580" w:type="dxa"/>
            <w:noWrap w:val="0"/>
            <w:vAlign w:val="center"/>
          </w:tcPr>
          <w:p w14:paraId="461C57E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符合投标须知前附表规定。</w:t>
            </w:r>
          </w:p>
        </w:tc>
      </w:tr>
      <w:tr w14:paraId="2CA9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9" w:type="dxa"/>
            <w:vMerge w:val="continue"/>
            <w:noWrap w:val="0"/>
            <w:vAlign w:val="center"/>
          </w:tcPr>
          <w:p w14:paraId="6B9D73F3">
            <w:pPr>
              <w:keepNext w:val="0"/>
              <w:keepLines w:val="0"/>
              <w:suppressLineNumbers w:val="0"/>
              <w:spacing w:before="0" w:beforeAutospacing="0" w:after="0" w:afterAutospacing="0" w:line="320" w:lineRule="atLeast"/>
              <w:ind w:left="0" w:right="0"/>
              <w:rPr>
                <w:rFonts w:hint="default"/>
                <w:color w:val="auto"/>
                <w:highlight w:val="none"/>
              </w:rPr>
            </w:pPr>
          </w:p>
        </w:tc>
        <w:tc>
          <w:tcPr>
            <w:tcW w:w="986" w:type="dxa"/>
            <w:vMerge w:val="continue"/>
            <w:noWrap w:val="0"/>
            <w:vAlign w:val="center"/>
          </w:tcPr>
          <w:p w14:paraId="5C5DCACB">
            <w:pPr>
              <w:keepNext w:val="0"/>
              <w:keepLines w:val="0"/>
              <w:suppressLineNumbers w:val="0"/>
              <w:spacing w:before="0" w:beforeAutospacing="0" w:after="0" w:afterAutospacing="0" w:line="320" w:lineRule="atLeast"/>
              <w:ind w:left="0" w:right="0"/>
              <w:rPr>
                <w:rFonts w:hint="default"/>
                <w:color w:val="auto"/>
                <w:highlight w:val="none"/>
              </w:rPr>
            </w:pPr>
          </w:p>
        </w:tc>
        <w:tc>
          <w:tcPr>
            <w:tcW w:w="1771" w:type="dxa"/>
            <w:noWrap w:val="0"/>
            <w:vAlign w:val="center"/>
          </w:tcPr>
          <w:p w14:paraId="6BA9B35F">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投标报价评审</w:t>
            </w:r>
          </w:p>
        </w:tc>
        <w:tc>
          <w:tcPr>
            <w:tcW w:w="5580" w:type="dxa"/>
            <w:noWrap w:val="0"/>
            <w:vAlign w:val="center"/>
          </w:tcPr>
          <w:p w14:paraId="053F8054">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auto"/>
                <w:szCs w:val="21"/>
                <w:highlight w:val="none"/>
              </w:rPr>
            </w:pPr>
            <w:r>
              <w:rPr>
                <w:rFonts w:hint="eastAsia" w:ascii="宋体" w:hAnsi="宋体" w:cs="宋体"/>
                <w:color w:val="auto"/>
                <w:spacing w:val="-6"/>
                <w:szCs w:val="21"/>
                <w:highlight w:val="none"/>
              </w:rPr>
              <w:t>不得高于最高投标限价。</w:t>
            </w:r>
          </w:p>
        </w:tc>
      </w:tr>
      <w:tr w14:paraId="414B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779" w:type="dxa"/>
            <w:noWrap w:val="0"/>
            <w:vAlign w:val="center"/>
          </w:tcPr>
          <w:p w14:paraId="40AF3359">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3</w:t>
            </w:r>
          </w:p>
        </w:tc>
        <w:tc>
          <w:tcPr>
            <w:tcW w:w="2757" w:type="dxa"/>
            <w:gridSpan w:val="2"/>
            <w:noWrap w:val="0"/>
            <w:vAlign w:val="center"/>
          </w:tcPr>
          <w:p w14:paraId="032914CF">
            <w:pPr>
              <w:keepNext w:val="0"/>
              <w:keepLines w:val="0"/>
              <w:suppressLineNumbers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rPr>
              <w:t>分）</w:t>
            </w:r>
          </w:p>
        </w:tc>
        <w:tc>
          <w:tcPr>
            <w:tcW w:w="5580" w:type="dxa"/>
            <w:noWrap w:val="0"/>
            <w:vAlign w:val="center"/>
          </w:tcPr>
          <w:p w14:paraId="2C940F72">
            <w:pPr>
              <w:keepNext w:val="0"/>
              <w:keepLines w:val="0"/>
              <w:widowControl w:val="0"/>
              <w:suppressLineNumbers w:val="0"/>
              <w:tabs>
                <w:tab w:val="left" w:pos="1080"/>
              </w:tabs>
              <w:spacing w:before="0" w:beforeAutospacing="0" w:after="0" w:afterAutospacing="0" w:line="44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（1）各投标人的投标报价不得高于招标人设置的最高限价，否则，其投标文件按无效标处理；</w:t>
            </w:r>
          </w:p>
          <w:p w14:paraId="78F5CEE0">
            <w:pPr>
              <w:keepNext w:val="0"/>
              <w:keepLines w:val="0"/>
              <w:widowControl w:val="0"/>
              <w:suppressLineNumbers w:val="0"/>
              <w:tabs>
                <w:tab w:val="left" w:pos="1080"/>
              </w:tabs>
              <w:spacing w:before="0" w:beforeAutospacing="0" w:after="0" w:afterAutospacing="0" w:line="44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（2）评标基准值=所有有效投标人的有效报价的算术平均值（小数点后保留两位小数，小数点后第三位四舍五入）。</w:t>
            </w:r>
          </w:p>
          <w:p w14:paraId="594A518F">
            <w:pPr>
              <w:keepNext w:val="0"/>
              <w:keepLines w:val="0"/>
              <w:widowControl w:val="0"/>
              <w:suppressLineNumbers w:val="0"/>
              <w:tabs>
                <w:tab w:val="left" w:pos="1080"/>
              </w:tabs>
              <w:spacing w:before="0" w:beforeAutospacing="0" w:after="0" w:afterAutospacing="0" w:line="44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（3）各投标人的有效报价与评标基准值相比，相等的得</w:t>
            </w:r>
            <w:r>
              <w:rPr>
                <w:rFonts w:hint="eastAsia" w:ascii="宋体" w:hAnsi="宋体" w:cs="宋体"/>
                <w:color w:val="auto"/>
                <w:szCs w:val="21"/>
                <w:highlight w:val="none"/>
                <w:lang w:val="en-US" w:eastAsia="zh-CN"/>
              </w:rPr>
              <w:t>90</w:t>
            </w:r>
            <w:r>
              <w:rPr>
                <w:rFonts w:hint="eastAsia" w:ascii="宋体" w:hAnsi="宋体" w:cs="宋体"/>
                <w:color w:val="auto"/>
                <w:szCs w:val="21"/>
                <w:highlight w:val="none"/>
              </w:rPr>
              <w:t>分；每增加1%扣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分；每减少1%扣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分；扣完为止，不足1%时按插入法计算，百分数取二位小数，小数点后第三位四舍五入。</w:t>
            </w:r>
          </w:p>
          <w:p w14:paraId="481B123B">
            <w:pPr>
              <w:pStyle w:val="2"/>
              <w:adjustRightInd w:val="0"/>
              <w:snapToGrid w:val="0"/>
              <w:spacing w:after="0" w:line="560" w:lineRule="exact"/>
              <w:ind w:left="0" w:leftChars="0" w:firstLine="422" w:firstLineChars="0"/>
              <w:jc w:val="left"/>
              <w:rPr>
                <w:rFonts w:hint="eastAsia" w:ascii="宋体" w:hAnsi="宋体" w:cs="宋体"/>
                <w:color w:val="auto"/>
                <w:szCs w:val="21"/>
                <w:highlight w:val="none"/>
              </w:rPr>
            </w:pPr>
            <w:r>
              <w:rPr>
                <w:rFonts w:hint="eastAsia" w:ascii="宋体" w:hAnsi="宋体" w:cs="宋体"/>
                <w:color w:val="auto"/>
                <w:szCs w:val="21"/>
                <w:highlight w:val="none"/>
              </w:rPr>
              <w:t>本项分值由评标委员会计算。</w:t>
            </w:r>
          </w:p>
          <w:p w14:paraId="4410D699">
            <w:pPr>
              <w:keepNext w:val="0"/>
              <w:keepLines w:val="0"/>
              <w:suppressLineNumbers w:val="0"/>
              <w:spacing w:before="0" w:beforeAutospacing="0" w:after="0" w:afterAutospacing="0" w:line="440" w:lineRule="exact"/>
              <w:ind w:left="15" w:right="0" w:hanging="14" w:hangingChars="7"/>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计算示例：假设评标基准值为80000，投标人甲的报价为85000、投标人乙的报价为80000元，投标人丙的报价为72000，计算各投标人得分如下（得分取两位小数，小数点后第三位四舍五入）：</w:t>
            </w:r>
          </w:p>
          <w:p w14:paraId="65A4C156">
            <w:pPr>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投标人甲商务标得分=90-（85000-80000）/80000*100*2=77.5分；</w:t>
            </w:r>
          </w:p>
          <w:p w14:paraId="7F985A60">
            <w:pPr>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投标人乙商务标得分=90分；</w:t>
            </w:r>
          </w:p>
          <w:p w14:paraId="2D2B5F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bidi="ar-SA"/>
              </w:rPr>
              <w:t>投标人丙商务标得分=90+（720000-800000）/800000*100*1=80.00分。</w:t>
            </w:r>
          </w:p>
        </w:tc>
      </w:tr>
    </w:tbl>
    <w:p w14:paraId="7FD3BCEF">
      <w:pPr>
        <w:spacing w:line="440" w:lineRule="exact"/>
        <w:ind w:firstLine="422" w:firstLineChars="200"/>
        <w:rPr>
          <w:rFonts w:ascii="黑体" w:hAnsi="黑体" w:eastAsia="黑体" w:cs="黑体"/>
          <w:b/>
          <w:color w:val="auto"/>
          <w:szCs w:val="21"/>
          <w:highlight w:val="none"/>
        </w:rPr>
      </w:pPr>
      <w:r>
        <w:rPr>
          <w:rFonts w:hint="eastAsia" w:ascii="黑体" w:hAnsi="黑体" w:eastAsia="黑体" w:cs="黑体"/>
          <w:b/>
          <w:color w:val="auto"/>
          <w:szCs w:val="21"/>
          <w:highlight w:val="none"/>
        </w:rPr>
        <w:t>商务标评审表注：</w:t>
      </w:r>
    </w:p>
    <w:p w14:paraId="41DA008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（1）投标人总报价如超过最高投标限价，</w:t>
      </w:r>
      <w:r>
        <w:rPr>
          <w:rFonts w:hint="eastAsia" w:ascii="宋体" w:hAnsi="宋体" w:cs="宋体"/>
          <w:b/>
          <w:bCs/>
          <w:color w:val="auto"/>
          <w:kern w:val="0"/>
          <w:szCs w:val="21"/>
          <w:highlight w:val="none"/>
        </w:rPr>
        <w:t>否则商务标按无效标处理</w:t>
      </w:r>
      <w:r>
        <w:rPr>
          <w:rFonts w:hint="eastAsia" w:ascii="宋体" w:hAnsi="宋体" w:cs="宋体"/>
          <w:color w:val="auto"/>
          <w:szCs w:val="21"/>
          <w:highlight w:val="none"/>
        </w:rPr>
        <w:t xml:space="preserve">。 </w:t>
      </w:r>
    </w:p>
    <w:p w14:paraId="0146846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（2）只有通过详细评审的有效投标人才能参加商务报价评分。</w:t>
      </w:r>
    </w:p>
    <w:p w14:paraId="4A64EF1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（3）本表所称投标报价是指按招标文件规定修正后的投标总报价（多算投标报价、多报费用不扣减）。</w:t>
      </w:r>
    </w:p>
    <w:p w14:paraId="33BEB998">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1.</w:t>
      </w:r>
      <w:r>
        <w:rPr>
          <w:rFonts w:hint="eastAsia" w:asciiTheme="majorEastAsia" w:hAnsiTheme="majorEastAsia" w:eastAsiaTheme="majorEastAsia" w:cstheme="majorEastAsia"/>
          <w:b/>
          <w:color w:val="auto"/>
          <w:szCs w:val="21"/>
          <w:highlight w:val="none"/>
        </w:rPr>
        <w:t>本次评标采用综合评</w:t>
      </w:r>
      <w:r>
        <w:rPr>
          <w:rFonts w:hint="eastAsia" w:asciiTheme="majorEastAsia" w:hAnsiTheme="majorEastAsia" w:eastAsiaTheme="majorEastAsia" w:cstheme="majorEastAsia"/>
          <w:b/>
          <w:color w:val="auto"/>
          <w:szCs w:val="21"/>
          <w:highlight w:val="none"/>
          <w:lang w:val="en-US" w:eastAsia="zh-CN"/>
        </w:rPr>
        <w:t>估</w:t>
      </w:r>
      <w:r>
        <w:rPr>
          <w:rFonts w:hint="eastAsia" w:asciiTheme="majorEastAsia" w:hAnsiTheme="majorEastAsia" w:eastAsiaTheme="majorEastAsia" w:cstheme="majorEastAsia"/>
          <w:b/>
          <w:color w:val="auto"/>
          <w:szCs w:val="21"/>
          <w:highlight w:val="none"/>
        </w:rPr>
        <w:t>法</w:t>
      </w:r>
    </w:p>
    <w:p w14:paraId="1F7CFD10">
      <w:pPr>
        <w:spacing w:line="440" w:lineRule="exact"/>
        <w:ind w:firstLine="315" w:firstLineChars="15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采用综合评估法，评标委员会按照本章规定的评分标准进行打分，并按总得分由高到低顺序推荐3名中标候选人，并标明排序。得分最高的为第一中标候选人，第二高的为第二中标候选人，以此类推三名中标候选人。如总得分相等，以投标报价低的优先，投标报价仍相等，由评标委员会或招标人随机抽取确定排名，不得并列。</w:t>
      </w:r>
    </w:p>
    <w:p w14:paraId="3BDC53A5">
      <w:pPr>
        <w:spacing w:line="440" w:lineRule="exact"/>
        <w:ind w:firstLine="316" w:firstLineChars="150"/>
        <w:jc w:val="left"/>
        <w:rPr>
          <w:rFonts w:hint="eastAsia" w:ascii="宋体"/>
          <w:b/>
          <w:color w:val="auto"/>
          <w:szCs w:val="21"/>
          <w:highlight w:val="none"/>
        </w:rPr>
      </w:pPr>
      <w:r>
        <w:rPr>
          <w:rFonts w:hint="eastAsia" w:ascii="宋体" w:hAnsi="Times New Roman" w:eastAsia="宋体" w:cs="Times New Roman"/>
          <w:b/>
          <w:color w:val="auto"/>
          <w:szCs w:val="21"/>
          <w:highlight w:val="none"/>
          <w:lang w:val="en-US" w:eastAsia="zh-CN"/>
        </w:rPr>
        <w:t>2．评标委员会的职责</w:t>
      </w:r>
    </w:p>
    <w:p w14:paraId="07AFFB50">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2.1</w:t>
      </w:r>
      <w:r>
        <w:rPr>
          <w:rFonts w:hint="eastAsia" w:ascii="宋体" w:hAnsi="宋体" w:eastAsia="宋体" w:cs="宋体"/>
          <w:color w:val="auto"/>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150B6442">
      <w:pPr>
        <w:spacing w:line="440" w:lineRule="exact"/>
        <w:ind w:firstLine="315" w:firstLineChars="150"/>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lang w:val="en-US" w:eastAsia="zh-CN"/>
        </w:rPr>
        <w:t>2.2</w:t>
      </w:r>
      <w:r>
        <w:rPr>
          <w:rFonts w:hint="eastAsia" w:ascii="宋体" w:hAnsi="宋体" w:eastAsia="宋体" w:cs="宋体"/>
          <w:color w:val="auto"/>
          <w:highlight w:val="none"/>
        </w:rPr>
        <w:t>评标委员会应加</w:t>
      </w:r>
      <w:r>
        <w:rPr>
          <w:rFonts w:hint="eastAsia" w:ascii="Times New Roman" w:hAnsi="Times New Roman" w:eastAsia="宋体" w:cs="Times New Roman"/>
          <w:color w:val="auto"/>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004CB2C8">
      <w:pPr>
        <w:numPr>
          <w:ilvl w:val="0"/>
          <w:numId w:val="2"/>
        </w:numPr>
        <w:spacing w:line="440" w:lineRule="exact"/>
        <w:ind w:firstLine="316" w:firstLineChars="150"/>
        <w:jc w:val="left"/>
        <w:rPr>
          <w:rFonts w:hint="eastAsia" w:ascii="宋体" w:hAnsi="Times New Roman" w:eastAsia="宋体" w:cs="Times New Roman"/>
          <w:b/>
          <w:color w:val="auto"/>
          <w:szCs w:val="21"/>
          <w:highlight w:val="none"/>
          <w:lang w:val="en-US" w:eastAsia="zh-CN"/>
        </w:rPr>
      </w:pPr>
      <w:r>
        <w:rPr>
          <w:rFonts w:hint="eastAsia" w:ascii="宋体" w:hAnsi="Times New Roman" w:eastAsia="宋体" w:cs="Times New Roman"/>
          <w:b/>
          <w:color w:val="auto"/>
          <w:szCs w:val="21"/>
          <w:highlight w:val="none"/>
          <w:lang w:val="en-US" w:eastAsia="zh-CN"/>
        </w:rPr>
        <w:t>评标程序</w:t>
      </w:r>
    </w:p>
    <w:p w14:paraId="1A8404BA">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评标先做准备工作，再进行</w:t>
      </w:r>
      <w:r>
        <w:rPr>
          <w:rFonts w:hint="eastAsia" w:ascii="宋体" w:hAnsi="宋体" w:eastAsia="宋体" w:cs="宋体"/>
          <w:color w:val="auto"/>
          <w:highlight w:val="none"/>
          <w:lang w:val="en-US" w:eastAsia="zh-CN"/>
        </w:rPr>
        <w:t>资格审查</w:t>
      </w:r>
      <w:r>
        <w:rPr>
          <w:rFonts w:hint="eastAsia" w:ascii="宋体" w:hAnsi="宋体" w:eastAsia="宋体" w:cs="宋体"/>
          <w:color w:val="auto"/>
          <w:highlight w:val="none"/>
        </w:rPr>
        <w:t>，然后进行</w:t>
      </w:r>
      <w:r>
        <w:rPr>
          <w:rFonts w:hint="eastAsia" w:ascii="宋体" w:hAnsi="宋体" w:eastAsia="宋体" w:cs="宋体"/>
          <w:color w:val="auto"/>
          <w:highlight w:val="none"/>
          <w:lang w:val="en-US" w:eastAsia="zh-CN"/>
        </w:rPr>
        <w:t>投标文件</w:t>
      </w:r>
      <w:r>
        <w:rPr>
          <w:rFonts w:hint="eastAsia" w:ascii="宋体" w:hAnsi="宋体" w:eastAsia="宋体" w:cs="宋体"/>
          <w:color w:val="auto"/>
          <w:highlight w:val="none"/>
        </w:rPr>
        <w:t>评审。</w:t>
      </w:r>
    </w:p>
    <w:p w14:paraId="11032A75">
      <w:pPr>
        <w:spacing w:line="440" w:lineRule="exact"/>
        <w:ind w:firstLine="315" w:firstLineChars="150"/>
        <w:jc w:val="left"/>
        <w:rPr>
          <w:rFonts w:hint="eastAsia" w:ascii="宋体" w:hAnsi="宋体" w:eastAsia="宋体" w:cs="宋体"/>
          <w:color w:val="auto"/>
          <w:highlight w:val="none"/>
        </w:rPr>
      </w:pPr>
      <w:bookmarkStart w:id="68" w:name="_Toc95223402"/>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评标准备工作</w:t>
      </w:r>
      <w:bookmarkEnd w:id="68"/>
    </w:p>
    <w:p w14:paraId="5B09C485">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评标委员会熟悉评标工作情况：</w:t>
      </w:r>
    </w:p>
    <w:p w14:paraId="3AD1D72A">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（1）阅读由招标人或者其委</w:t>
      </w:r>
      <w:bookmarkStart w:id="69" w:name="_Toc60061499"/>
      <w:bookmarkStart w:id="70" w:name="_Toc15058916"/>
      <w:r>
        <w:rPr>
          <w:rFonts w:hint="eastAsia" w:ascii="宋体" w:hAnsi="宋体" w:eastAsia="宋体" w:cs="宋体"/>
          <w:color w:val="auto"/>
          <w:highlight w:val="none"/>
        </w:rPr>
        <w:t>托的代理机构编</w:t>
      </w:r>
      <w:bookmarkEnd w:id="69"/>
      <w:bookmarkEnd w:id="70"/>
      <w:r>
        <w:rPr>
          <w:rFonts w:hint="eastAsia" w:ascii="宋体" w:hAnsi="宋体" w:eastAsia="宋体" w:cs="宋体"/>
          <w:color w:val="auto"/>
          <w:highlight w:val="none"/>
        </w:rPr>
        <w:t>制的招标项目情况材料。</w:t>
      </w:r>
    </w:p>
    <w:p w14:paraId="076804C9">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（2）阅读、研究招标文件和相关评标资料，获取评标所需要的重要信息和数据，至少应了解和熟悉以下内容：招标项目的范围和性质，招标文件规定的主要技术要求、标准和商务条款。</w:t>
      </w:r>
    </w:p>
    <w:p w14:paraId="69087221">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（3）熟悉招标文件规定的评标标准和评标方法及在评标过程中需要考虑的相关因素。</w:t>
      </w:r>
    </w:p>
    <w:p w14:paraId="5BFAD840">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（4）核对评标工作用表。</w:t>
      </w:r>
    </w:p>
    <w:p w14:paraId="24F8E540">
      <w:pPr>
        <w:spacing w:line="440" w:lineRule="exact"/>
        <w:ind w:firstLine="315" w:firstLineChars="150"/>
        <w:jc w:val="left"/>
        <w:rPr>
          <w:rFonts w:hint="eastAsia" w:ascii="宋体" w:hAnsi="宋体" w:eastAsia="宋体" w:cs="宋体"/>
          <w:color w:val="auto"/>
          <w:highlight w:val="none"/>
        </w:rPr>
      </w:pPr>
      <w:bookmarkStart w:id="71" w:name="_Toc60061500"/>
      <w:bookmarkStart w:id="72" w:name="_Toc15058917"/>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推荐中标候</w:t>
      </w:r>
      <w:bookmarkEnd w:id="71"/>
      <w:bookmarkEnd w:id="72"/>
      <w:r>
        <w:rPr>
          <w:rFonts w:hint="eastAsia" w:ascii="宋体" w:hAnsi="宋体" w:eastAsia="宋体" w:cs="宋体"/>
          <w:color w:val="auto"/>
          <w:highlight w:val="none"/>
        </w:rPr>
        <w:t>选人</w:t>
      </w:r>
    </w:p>
    <w:p w14:paraId="44540D8E">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资格审查</w:t>
      </w:r>
      <w:r>
        <w:rPr>
          <w:rFonts w:hint="eastAsia" w:ascii="宋体" w:hAnsi="宋体" w:cs="宋体"/>
          <w:color w:val="auto"/>
          <w:szCs w:val="21"/>
          <w:highlight w:val="none"/>
        </w:rPr>
        <w:t>、</w:t>
      </w:r>
      <w:bookmarkStart w:id="73" w:name="_Toc15058918"/>
      <w:bookmarkStart w:id="74" w:name="_Toc60061501"/>
      <w:r>
        <w:rPr>
          <w:rFonts w:hint="eastAsia" w:ascii="宋体" w:hAnsi="宋体" w:cs="宋体"/>
          <w:color w:val="auto"/>
          <w:szCs w:val="21"/>
          <w:highlight w:val="none"/>
          <w:lang w:val="en-US" w:eastAsia="zh-CN"/>
        </w:rPr>
        <w:t>投标文件</w:t>
      </w:r>
      <w:r>
        <w:rPr>
          <w:rFonts w:hint="eastAsia" w:ascii="宋体" w:hAnsi="宋体" w:cs="宋体"/>
          <w:color w:val="auto"/>
          <w:szCs w:val="21"/>
          <w:highlight w:val="none"/>
        </w:rPr>
        <w:t>评审</w:t>
      </w:r>
      <w:bookmarkEnd w:id="73"/>
      <w:bookmarkEnd w:id="74"/>
      <w:r>
        <w:rPr>
          <w:rFonts w:hint="eastAsia" w:ascii="宋体" w:hAnsi="宋体" w:cs="宋体"/>
          <w:color w:val="auto"/>
          <w:szCs w:val="21"/>
          <w:highlight w:val="none"/>
        </w:rPr>
        <w:t>后，推荐中标候选人，并标明排序。</w:t>
      </w:r>
    </w:p>
    <w:p w14:paraId="76583B71">
      <w:pPr>
        <w:numPr>
          <w:ilvl w:val="0"/>
          <w:numId w:val="2"/>
        </w:numPr>
        <w:spacing w:line="440" w:lineRule="exact"/>
        <w:ind w:firstLine="316" w:firstLineChars="150"/>
        <w:jc w:val="left"/>
        <w:rPr>
          <w:rFonts w:hint="eastAsia" w:ascii="宋体" w:hAnsi="Times New Roman" w:eastAsia="宋体" w:cs="Times New Roman"/>
          <w:b/>
          <w:color w:val="auto"/>
          <w:szCs w:val="21"/>
          <w:highlight w:val="none"/>
          <w:lang w:val="en-US" w:eastAsia="zh-CN"/>
        </w:rPr>
      </w:pPr>
      <w:bookmarkStart w:id="75" w:name="_Toc95223405"/>
      <w:r>
        <w:rPr>
          <w:rFonts w:hint="eastAsia" w:ascii="宋体" w:hAnsi="Times New Roman" w:eastAsia="宋体" w:cs="Times New Roman"/>
          <w:b/>
          <w:color w:val="auto"/>
          <w:szCs w:val="21"/>
          <w:highlight w:val="none"/>
          <w:lang w:val="en-US" w:eastAsia="zh-CN"/>
        </w:rPr>
        <w:t>评审内容</w:t>
      </w:r>
      <w:bookmarkEnd w:id="75"/>
    </w:p>
    <w:p w14:paraId="08EA181C">
      <w:pPr>
        <w:spacing w:line="440" w:lineRule="exact"/>
        <w:ind w:firstLine="315" w:firstLineChars="150"/>
        <w:jc w:val="left"/>
        <w:rPr>
          <w:rFonts w:hint="eastAsia" w:ascii="宋体" w:hAnsi="宋体" w:eastAsia="宋体" w:cs="宋体"/>
          <w:color w:val="auto"/>
          <w:szCs w:val="21"/>
          <w:highlight w:val="none"/>
        </w:rPr>
      </w:pPr>
      <w:bookmarkStart w:id="76" w:name="_Toc95223407"/>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1投标文件</w:t>
      </w:r>
      <w:r>
        <w:rPr>
          <w:rFonts w:hint="eastAsia" w:ascii="宋体" w:hAnsi="宋体" w:eastAsia="宋体" w:cs="宋体"/>
          <w:color w:val="auto"/>
          <w:szCs w:val="21"/>
          <w:highlight w:val="none"/>
        </w:rPr>
        <w:t>评审</w:t>
      </w:r>
      <w:bookmarkEnd w:id="76"/>
    </w:p>
    <w:p w14:paraId="3968C9AC">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只有通过</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的投标才能够进入本阶段评审。</w:t>
      </w:r>
    </w:p>
    <w:p w14:paraId="51C53208">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w:t>
      </w:r>
      <w:bookmarkStart w:id="77" w:name="_Toc15058921"/>
      <w:bookmarkStart w:id="78" w:name="_Toc60061504"/>
      <w:r>
        <w:rPr>
          <w:rFonts w:hint="eastAsia" w:ascii="宋体" w:hAnsi="宋体" w:eastAsia="宋体" w:cs="宋体"/>
          <w:color w:val="auto"/>
          <w:szCs w:val="21"/>
          <w:highlight w:val="none"/>
        </w:rPr>
        <w:t>形式性评审标准：</w:t>
      </w:r>
      <w:bookmarkEnd w:id="77"/>
      <w:bookmarkEnd w:id="78"/>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评审表。</w:t>
      </w:r>
    </w:p>
    <w:p w14:paraId="30A9B758">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.2响应性评审标准：见</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评审表。</w:t>
      </w:r>
    </w:p>
    <w:p w14:paraId="32355E4E">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评标委员会依据上述标准对投标文件进行初步评审。有一项不符合评审标准的，作无效投标处理。</w:t>
      </w:r>
    </w:p>
    <w:p w14:paraId="3C685F0B">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.3详细评审标准：见</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评审表。</w:t>
      </w:r>
    </w:p>
    <w:p w14:paraId="4212DC3D">
      <w:pPr>
        <w:spacing w:line="440" w:lineRule="exact"/>
        <w:ind w:firstLine="527" w:firstLineChars="250"/>
        <w:jc w:val="left"/>
        <w:rPr>
          <w:rFonts w:hint="eastAsia" w:ascii="宋体" w:hAnsi="Times New Roman" w:eastAsia="宋体" w:cs="Times New Roman"/>
          <w:b/>
          <w:color w:val="auto"/>
          <w:szCs w:val="21"/>
          <w:highlight w:val="none"/>
          <w:lang w:val="en-US" w:eastAsia="zh-CN"/>
        </w:rPr>
      </w:pPr>
      <w:bookmarkStart w:id="79" w:name="_Hlk61815781"/>
      <w:r>
        <w:rPr>
          <w:rFonts w:hint="eastAsia" w:ascii="宋体" w:hAnsi="Times New Roman" w:eastAsia="宋体" w:cs="Times New Roman"/>
          <w:b/>
          <w:color w:val="auto"/>
          <w:szCs w:val="21"/>
          <w:highlight w:val="none"/>
          <w:lang w:val="en-US" w:eastAsia="zh-CN"/>
        </w:rPr>
        <w:t>5. 无效投标条款</w:t>
      </w:r>
    </w:p>
    <w:p w14:paraId="42A3F4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50C94DE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（2）调整或修正投标文件的投标报价，调整或修正的价格经投标人书面确认后具有约束力。投标人不接受修正价格的，其投标将被拒绝。</w:t>
      </w:r>
    </w:p>
    <w:p w14:paraId="7767B2B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）投标人有串通投标、视为串通投标、弄虚作假、行贿等违法行为。</w:t>
      </w:r>
    </w:p>
    <w:p w14:paraId="4CA9B1C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）投标文件没有对招标文件的实质性要求和条件作出响应。</w:t>
      </w:r>
    </w:p>
    <w:p w14:paraId="222EBE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）未按规定的格式填写导致实质性内容不全以及实质上不响应，或者关键字迹模糊、无法辨认</w:t>
      </w:r>
      <w:r>
        <w:rPr>
          <w:rFonts w:hint="eastAsia" w:ascii="宋体" w:hAnsi="宋体" w:eastAsia="宋体" w:cs="宋体"/>
          <w:color w:val="auto"/>
          <w:szCs w:val="21"/>
          <w:highlight w:val="none"/>
          <w:lang w:eastAsia="zh-CN"/>
        </w:rPr>
        <w:t>。</w:t>
      </w:r>
    </w:p>
    <w:p w14:paraId="14870BF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）同一投标人提交两个以上不同的投标文件或者投标报价，但招标文件规定提交备选投标的除外。</w:t>
      </w:r>
    </w:p>
    <w:p w14:paraId="6D2095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）投标文件中存在招标人不能接受的其他实质性条件。</w:t>
      </w:r>
    </w:p>
    <w:p w14:paraId="74275C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5631A4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）投标人单方面出现其他投标人材料。</w:t>
      </w:r>
    </w:p>
    <w:p w14:paraId="72471EE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）法律、法规规定的其他情形。</w:t>
      </w:r>
    </w:p>
    <w:bookmarkEnd w:id="79"/>
    <w:p w14:paraId="10F4941F">
      <w:pPr>
        <w:spacing w:line="440" w:lineRule="exact"/>
        <w:ind w:firstLine="422" w:firstLineChars="200"/>
        <w:jc w:val="left"/>
        <w:rPr>
          <w:rFonts w:hint="eastAsia" w:ascii="宋体" w:hAnsi="Times New Roman" w:eastAsia="宋体" w:cs="Times New Roman"/>
          <w:b/>
          <w:color w:val="auto"/>
          <w:szCs w:val="21"/>
          <w:highlight w:val="none"/>
          <w:lang w:val="en-US" w:eastAsia="zh-CN"/>
        </w:rPr>
      </w:pPr>
      <w:bookmarkStart w:id="80" w:name="_Toc95223439"/>
      <w:r>
        <w:rPr>
          <w:rFonts w:hint="eastAsia" w:ascii="宋体" w:hAnsi="Times New Roman" w:eastAsia="宋体" w:cs="Times New Roman"/>
          <w:b/>
          <w:color w:val="auto"/>
          <w:szCs w:val="21"/>
          <w:highlight w:val="none"/>
          <w:lang w:val="en-US" w:eastAsia="zh-CN"/>
        </w:rPr>
        <w:t>6.投标文件的澄清和补正</w:t>
      </w:r>
      <w:bookmarkEnd w:id="80"/>
    </w:p>
    <w:p w14:paraId="1110636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0B483DF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6.2澄清、说明和补正不得改变投标文件的实质性内容（算术性错误修正的除外）。投标人的书面澄清、说明和补正属于投标文件的组成部分。</w:t>
      </w:r>
    </w:p>
    <w:p w14:paraId="75D324F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6.3评标委员会对投标人提交的澄清、说明和补正有疑问的，可以要求投标人进一步澄清、说明或补正、直至满足评标委员会的要求。</w:t>
      </w:r>
    </w:p>
    <w:p w14:paraId="5D7A979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15BAC92C">
      <w:pPr>
        <w:spacing w:line="400" w:lineRule="exact"/>
        <w:ind w:firstLine="525" w:firstLineChars="250"/>
        <w:rPr>
          <w:rFonts w:hint="eastAsia" w:ascii="宋体"/>
          <w:color w:val="auto"/>
          <w:szCs w:val="21"/>
          <w:highlight w:val="none"/>
        </w:rPr>
      </w:pPr>
      <w:r>
        <w:rPr>
          <w:rFonts w:hint="eastAsia" w:ascii="宋体"/>
          <w:color w:val="auto"/>
          <w:szCs w:val="21"/>
          <w:highlight w:val="none"/>
          <w:lang w:val="en-US" w:eastAsia="zh-CN"/>
        </w:rPr>
        <w:t>6.4</w:t>
      </w:r>
      <w:r>
        <w:rPr>
          <w:rFonts w:hint="eastAsia" w:ascii="宋体"/>
          <w:color w:val="auto"/>
          <w:szCs w:val="21"/>
          <w:highlight w:val="none"/>
        </w:rPr>
        <w:t>评委会修正错误的原则：</w:t>
      </w:r>
    </w:p>
    <w:p w14:paraId="151E8A2C">
      <w:pPr>
        <w:spacing w:line="400" w:lineRule="exact"/>
        <w:ind w:firstLine="525" w:firstLineChars="250"/>
        <w:rPr>
          <w:rFonts w:hint="eastAsia" w:ascii="宋体"/>
          <w:color w:val="auto"/>
          <w:szCs w:val="21"/>
          <w:highlight w:val="none"/>
        </w:rPr>
      </w:pP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FAC522D">
      <w:pPr>
        <w:spacing w:line="400" w:lineRule="exact"/>
        <w:ind w:firstLine="525" w:firstLineChars="250"/>
        <w:rPr>
          <w:rFonts w:hint="eastAsia" w:ascii="宋体"/>
          <w:color w:val="auto"/>
          <w:szCs w:val="21"/>
          <w:highlight w:val="none"/>
        </w:rPr>
      </w:pP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.2如果单价与数量的乘积和总价不一致，以单价为准，修正总价及开标一览表；当单价小数点有明显的错位时，评委会将以总价为准，并修正其单价。</w:t>
      </w:r>
    </w:p>
    <w:p w14:paraId="203B3257">
      <w:pPr>
        <w:spacing w:line="400" w:lineRule="exact"/>
        <w:ind w:firstLine="403" w:firstLineChars="192"/>
        <w:rPr>
          <w:rFonts w:hint="eastAsia"/>
          <w:color w:val="auto"/>
          <w:highlight w:val="none"/>
        </w:rPr>
      </w:pPr>
      <w:r>
        <w:rPr>
          <w:rFonts w:hint="eastAsia" w:ascii="宋体"/>
          <w:color w:val="auto"/>
          <w:szCs w:val="21"/>
          <w:highlight w:val="none"/>
        </w:rPr>
        <w:t xml:space="preserve"> </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auto"/>
          <w:szCs w:val="21"/>
          <w:highlight w:val="none"/>
          <w:lang w:eastAsia="zh-CN"/>
        </w:rPr>
        <w:t>投标人在系统中</w:t>
      </w:r>
      <w:r>
        <w:rPr>
          <w:rFonts w:hint="eastAsia" w:ascii="宋体"/>
          <w:color w:val="auto"/>
          <w:szCs w:val="21"/>
          <w:highlight w:val="none"/>
        </w:rPr>
        <w:t>确认。</w:t>
      </w:r>
      <w:r>
        <w:rPr>
          <w:rFonts w:hint="eastAsia" w:ascii="宋体"/>
          <w:b/>
          <w:bCs/>
          <w:color w:val="auto"/>
          <w:szCs w:val="21"/>
          <w:highlight w:val="none"/>
        </w:rPr>
        <w:t>投标人拒绝对投标文件出现的错漏按上述原则进行修正、澄清、说明，评标委员会应当否决其投标。</w:t>
      </w:r>
    </w:p>
    <w:p w14:paraId="648476DE">
      <w:pPr>
        <w:spacing w:line="440" w:lineRule="exact"/>
        <w:ind w:firstLine="527" w:firstLineChars="250"/>
        <w:jc w:val="left"/>
        <w:rPr>
          <w:rFonts w:hint="eastAsia" w:ascii="宋体" w:hAnsi="Times New Roman" w:eastAsia="宋体" w:cs="Times New Roman"/>
          <w:b/>
          <w:color w:val="auto"/>
          <w:szCs w:val="21"/>
          <w:highlight w:val="none"/>
          <w:lang w:val="en-US" w:eastAsia="zh-CN"/>
        </w:rPr>
      </w:pPr>
      <w:bookmarkStart w:id="81" w:name="_Toc95223441"/>
      <w:r>
        <w:rPr>
          <w:rFonts w:hint="eastAsia" w:ascii="宋体" w:hAnsi="Times New Roman" w:eastAsia="宋体" w:cs="Times New Roman"/>
          <w:b/>
          <w:color w:val="auto"/>
          <w:szCs w:val="21"/>
          <w:highlight w:val="none"/>
          <w:lang w:val="en-US" w:eastAsia="zh-CN"/>
        </w:rPr>
        <w:t>7.评审结果</w:t>
      </w:r>
      <w:bookmarkEnd w:id="81"/>
    </w:p>
    <w:p w14:paraId="22811B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.1除第二章“投标人须知”及其前附表授权直接确定中标人外，评标委员会按照总得分由高到低顺序推荐中标候选人。</w:t>
      </w:r>
    </w:p>
    <w:p w14:paraId="2A38ED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.2评标委员会完成评标后，应当向招标人提交书面评标报告。评标报告应当如实记载以下内容：</w:t>
      </w:r>
    </w:p>
    <w:p w14:paraId="582D7FF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6AE23D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6BC3134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5D43E3D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5696AB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（5）否决投标情况说明。</w:t>
      </w:r>
    </w:p>
    <w:p w14:paraId="27621E6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w:t>
      </w:r>
    </w:p>
    <w:p w14:paraId="28C4861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（7）评标情况一览表。</w:t>
      </w:r>
    </w:p>
    <w:p w14:paraId="5886936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（8）经评审的投标人排序。</w:t>
      </w:r>
    </w:p>
    <w:p w14:paraId="669656D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（9）推荐的中标候选人名单与签订合同前要处理的事宜。</w:t>
      </w:r>
    </w:p>
    <w:p w14:paraId="1B5C44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（10）澄清、说明、补正事项纪要。</w:t>
      </w:r>
    </w:p>
    <w:p w14:paraId="3B108A0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495CFF5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269A686">
      <w:pPr>
        <w:spacing w:line="440" w:lineRule="exact"/>
        <w:ind w:firstLine="422" w:firstLineChars="200"/>
        <w:jc w:val="left"/>
        <w:rPr>
          <w:rFonts w:hint="eastAsia" w:ascii="宋体" w:hAnsi="Times New Roman" w:eastAsia="宋体" w:cs="Times New Roman"/>
          <w:b/>
          <w:color w:val="auto"/>
          <w:szCs w:val="21"/>
          <w:highlight w:val="none"/>
          <w:lang w:val="en-US" w:eastAsia="zh-CN"/>
        </w:rPr>
      </w:pPr>
      <w:bookmarkStart w:id="82" w:name="_Toc95223442"/>
      <w:r>
        <w:rPr>
          <w:rFonts w:hint="eastAsia" w:ascii="宋体" w:hAnsi="Times New Roman" w:eastAsia="宋体" w:cs="Times New Roman"/>
          <w:b/>
          <w:color w:val="auto"/>
          <w:szCs w:val="21"/>
          <w:highlight w:val="none"/>
          <w:lang w:val="en-US" w:eastAsia="zh-CN"/>
        </w:rPr>
        <w:t>8.其他</w:t>
      </w:r>
      <w:bookmarkEnd w:id="82"/>
    </w:p>
    <w:p w14:paraId="09157772">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lang w:val="en-US" w:eastAsia="zh-CN"/>
        </w:rPr>
        <w:t>8.1</w:t>
      </w:r>
      <w:r>
        <w:rPr>
          <w:rFonts w:hint="eastAsia" w:ascii="宋体" w:hAnsi="宋体" w:eastAsia="宋体" w:cs="宋体"/>
          <w:color w:val="auto"/>
          <w:szCs w:val="21"/>
          <w:highlight w:val="none"/>
        </w:rPr>
        <w:t>投标人提供的与投标文件有关的各类证书、证明、文件、资料等的真实性、合法性由投标人负全责。</w:t>
      </w:r>
    </w:p>
    <w:p w14:paraId="60ADE413">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15183C49">
      <w:pPr>
        <w:numPr>
          <w:ilvl w:val="0"/>
          <w:numId w:val="3"/>
        </w:num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采购需求和服务要求</w:t>
      </w:r>
    </w:p>
    <w:p w14:paraId="0260F4C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color w:val="auto"/>
          <w:szCs w:val="21"/>
          <w:highlight w:val="none"/>
          <w:lang w:val="en-US" w:eastAsia="zh-CN"/>
        </w:rPr>
      </w:pPr>
      <w:bookmarkStart w:id="83" w:name="_Toc9248_WPSOffice_Level2"/>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招标范围</w:t>
      </w:r>
    </w:p>
    <w:bookmarkEnd w:id="83"/>
    <w:p w14:paraId="3E48BF7B">
      <w:pPr>
        <w:pageBreakBefore w:val="0"/>
        <w:kinsoku/>
        <w:wordWrap/>
        <w:overflowPunct/>
        <w:topLinePunct w:val="0"/>
        <w:autoSpaceDE/>
        <w:autoSpaceDN/>
        <w:bidi w:val="0"/>
        <w:snapToGrid/>
        <w:spacing w:line="500" w:lineRule="exact"/>
        <w:ind w:left="0" w:leftChars="0"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对安徽省琅琊山旅游发展有限公司及子公司(安徽省琅琊山商贸发展有限公司、安徽省琅耶山健身休闲有限公司)2024年-2026年财务报表及财务收支进行审计。</w:t>
      </w:r>
      <w:r>
        <w:rPr>
          <w:rFonts w:hint="eastAsia" w:ascii="仿宋" w:hAnsi="仿宋" w:eastAsia="仿宋" w:cs="Times New Roman"/>
          <w:color w:val="auto"/>
          <w:sz w:val="28"/>
          <w:szCs w:val="28"/>
          <w:highlight w:val="none"/>
          <w:lang w:val="en-US" w:eastAsia="zh-CN"/>
        </w:rPr>
        <w:t>本次审计需全面梳理账面情况，重点关注公益性资产、长账龄往来款（5年以上）,同时需就在审计过程中发现的会计核算、财务管理、内部控制等情况进行核查。2024年度安徽省琅琊山旅游发展有限公司资产总额133201万元，凭证约120本，安徽省琅琊山商贸发展有限公司资产总额783万元，凭证约52本，安徽省琅耶山健身休闲有限公司资产总额278万元，凭证约15本。2025年、2026年以当年所产生凭证为准。</w:t>
      </w:r>
    </w:p>
    <w:p w14:paraId="2838DC1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二、服务期限</w:t>
      </w:r>
    </w:p>
    <w:p w14:paraId="24B67D9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u w:val="none" w:color="auto"/>
          <w:lang w:val="en-US" w:eastAsia="zh-CN"/>
        </w:rPr>
      </w:pPr>
      <w:r>
        <w:rPr>
          <w:rFonts w:hint="eastAsia" w:ascii="仿宋" w:hAnsi="仿宋" w:eastAsia="仿宋" w:cs="仿宋"/>
          <w:color w:val="auto"/>
          <w:sz w:val="28"/>
          <w:szCs w:val="28"/>
          <w:highlight w:val="none"/>
          <w:u w:val="none" w:color="auto"/>
          <w:lang w:val="en-US" w:eastAsia="zh-CN"/>
        </w:rPr>
        <w:t>中标人进场后30日内完成2024年度财务报表及财务收支审计工作。2025年、2026年的每年3月30日前完成前一年度财务报表及财务收支审计工作。最终提供正式审计报告1式4份。</w:t>
      </w:r>
    </w:p>
    <w:p w14:paraId="2E98BE1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三、服务要求</w:t>
      </w:r>
    </w:p>
    <w:p w14:paraId="29642A7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1、中标人不得在成交后将成交项目转包给其他企业法人或自然人，否则招标人有权中止合同。</w:t>
      </w:r>
    </w:p>
    <w:p w14:paraId="7B6EF2A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2、中标人及其从业人员应为招标人保守秘密。</w:t>
      </w:r>
    </w:p>
    <w:p w14:paraId="639081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eastAsia="zh-CN"/>
        </w:rPr>
      </w:pPr>
    </w:p>
    <w:p w14:paraId="78D3FCC3">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14:paraId="168ABEC9">
      <w:pPr>
        <w:keepNext w:val="0"/>
        <w:keepLines w:val="0"/>
        <w:pageBreakBefore w:val="0"/>
        <w:kinsoku/>
        <w:wordWrap/>
        <w:overflowPunct/>
        <w:topLinePunct w:val="0"/>
        <w:autoSpaceDN/>
        <w:bidi w:val="0"/>
        <w:adjustRightInd/>
        <w:spacing w:line="420" w:lineRule="exact"/>
        <w:jc w:val="center"/>
        <w:textAlignment w:val="auto"/>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第六章  合同条款及格式</w:t>
      </w:r>
    </w:p>
    <w:p w14:paraId="43672C63">
      <w:pPr>
        <w:keepNext w:val="0"/>
        <w:keepLines w:val="0"/>
        <w:pageBreakBefore w:val="0"/>
        <w:kinsoku/>
        <w:wordWrap/>
        <w:overflowPunct/>
        <w:topLinePunct w:val="0"/>
        <w:autoSpaceDE/>
        <w:autoSpaceDN/>
        <w:bidi w:val="0"/>
        <w:adjustRightInd/>
        <w:spacing w:line="420" w:lineRule="exact"/>
        <w:ind w:left="360"/>
        <w:jc w:val="center"/>
        <w:textAlignment w:val="auto"/>
        <w:rPr>
          <w:rFonts w:hint="eastAsia" w:ascii="宋体" w:hAnsi="宋体" w:eastAsia="宋体" w:cs="宋体"/>
          <w:color w:val="auto"/>
          <w:sz w:val="21"/>
          <w:szCs w:val="21"/>
          <w:highlight w:val="none"/>
        </w:rPr>
      </w:pPr>
      <w:bookmarkStart w:id="84" w:name="_Toc23785_WPSOffice_Level2"/>
      <w:r>
        <w:rPr>
          <w:rFonts w:hint="eastAsia" w:ascii="宋体" w:hAnsi="宋体" w:eastAsia="宋体" w:cs="宋体"/>
          <w:b/>
          <w:color w:val="auto"/>
          <w:sz w:val="21"/>
          <w:szCs w:val="21"/>
          <w:highlight w:val="none"/>
        </w:rPr>
        <w:t>本合同模板仅供参考，具体内容以实际签订合同为准</w:t>
      </w:r>
      <w:bookmarkEnd w:id="84"/>
    </w:p>
    <w:p w14:paraId="5EDAE85F">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委托</w:t>
      </w:r>
      <w:r>
        <w:rPr>
          <w:rFonts w:hint="eastAsia" w:ascii="宋体" w:hAnsi="宋体" w:eastAsia="宋体" w:cs="宋体"/>
          <w:color w:val="auto"/>
          <w:sz w:val="21"/>
          <w:szCs w:val="21"/>
          <w:highlight w:val="none"/>
        </w:rPr>
        <w:t>方（甲方）：</w:t>
      </w:r>
    </w:p>
    <w:p w14:paraId="23E790D9">
      <w:pPr>
        <w:keepNext w:val="0"/>
        <w:keepLines w:val="0"/>
        <w:pageBreakBefore w:val="0"/>
        <w:widowControl w:val="0"/>
        <w:tabs>
          <w:tab w:val="left" w:pos="720"/>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p>
    <w:p w14:paraId="7664DB84">
      <w:pPr>
        <w:keepNext w:val="0"/>
        <w:keepLines w:val="0"/>
        <w:pageBreakBefore w:val="0"/>
        <w:widowControl w:val="0"/>
        <w:tabs>
          <w:tab w:val="left" w:pos="1080"/>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                 </w:t>
      </w:r>
    </w:p>
    <w:p w14:paraId="5D49A2A6">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电话： </w:t>
      </w:r>
    </w:p>
    <w:p w14:paraId="4227997A">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A115A89">
      <w:pPr>
        <w:keepNext w:val="0"/>
        <w:keepLines w:val="0"/>
        <w:pageBreakBefore w:val="0"/>
        <w:widowControl w:val="0"/>
        <w:tabs>
          <w:tab w:val="left" w:pos="720"/>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受托</w:t>
      </w:r>
      <w:r>
        <w:rPr>
          <w:rFonts w:hint="eastAsia" w:ascii="宋体" w:hAnsi="宋体" w:eastAsia="宋体" w:cs="宋体"/>
          <w:color w:val="auto"/>
          <w:sz w:val="21"/>
          <w:szCs w:val="21"/>
          <w:highlight w:val="none"/>
        </w:rPr>
        <w:t xml:space="preserve">方（乙方）：       </w:t>
      </w:r>
    </w:p>
    <w:p w14:paraId="78AA4312">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p>
    <w:p w14:paraId="4649C688">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69500645">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电话：                </w:t>
      </w:r>
    </w:p>
    <w:p w14:paraId="1F5C4933">
      <w:pPr>
        <w:keepNext w:val="0"/>
        <w:keepLines w:val="0"/>
        <w:pageBreakBefore w:val="0"/>
        <w:widowControl w:val="0"/>
        <w:tabs>
          <w:tab w:val="left" w:pos="1029"/>
        </w:tabs>
        <w:kinsoku/>
        <w:wordWrap/>
        <w:overflowPunct/>
        <w:topLinePunct w:val="0"/>
        <w:autoSpaceDE/>
        <w:autoSpaceDN/>
        <w:bidi w:val="0"/>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96EABA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甲方因业务发展需要，通过公开</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确定乙方为</w:t>
      </w:r>
      <w:r>
        <w:rPr>
          <w:rFonts w:hint="eastAsia" w:ascii="宋体" w:hAnsi="宋体" w:eastAsia="宋体" w:cs="宋体"/>
          <w:color w:val="auto"/>
          <w:sz w:val="21"/>
          <w:szCs w:val="21"/>
          <w:highlight w:val="none"/>
          <w:lang w:val="en-US" w:eastAsia="zh-CN"/>
        </w:rPr>
        <w:t>安徽省琅琊山旅游发展有限公司及子公司(安徽省琅琊山商贸发展有限公司、安徽省琅耶山健身休闲有限公司）2024年-2026年财务报表及财务收支审计项目服务</w:t>
      </w:r>
      <w:r>
        <w:rPr>
          <w:rFonts w:hint="eastAsia" w:ascii="宋体" w:hAnsi="宋体" w:eastAsia="宋体" w:cs="宋体"/>
          <w:color w:val="auto"/>
          <w:sz w:val="21"/>
          <w:szCs w:val="21"/>
          <w:highlight w:val="none"/>
        </w:rPr>
        <w:t>，经双方平等友好协商，达成如下协议：</w:t>
      </w:r>
    </w:p>
    <w:p w14:paraId="233BDC59">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1.合同文件的优先次序</w:t>
      </w:r>
    </w:p>
    <w:p w14:paraId="75CE253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1.1下列文件一起构成合同文件</w:t>
      </w:r>
    </w:p>
    <w:p w14:paraId="388864C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（1）合同协议书及各种合同附件（含评审期间和合同澄清过程中的澄清文件和补充资料）；</w:t>
      </w:r>
    </w:p>
    <w:p w14:paraId="39A39A8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通知书；</w:t>
      </w:r>
    </w:p>
    <w:p w14:paraId="66CACB2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文件及</w:t>
      </w:r>
      <w:r>
        <w:rPr>
          <w:rFonts w:hint="eastAsia" w:ascii="宋体" w:hAnsi="宋体" w:eastAsia="宋体" w:cs="宋体"/>
          <w:color w:val="auto"/>
          <w:sz w:val="21"/>
          <w:szCs w:val="21"/>
          <w:highlight w:val="none"/>
          <w:lang w:val="en-US" w:eastAsia="zh-CN"/>
        </w:rPr>
        <w:t>澄清答疑（如有）</w:t>
      </w:r>
      <w:r>
        <w:rPr>
          <w:rFonts w:hint="eastAsia" w:ascii="宋体" w:hAnsi="宋体" w:eastAsia="宋体" w:cs="宋体"/>
          <w:color w:val="auto"/>
          <w:sz w:val="21"/>
          <w:szCs w:val="21"/>
          <w:highlight w:val="none"/>
        </w:rPr>
        <w:t>；</w:t>
      </w:r>
    </w:p>
    <w:p w14:paraId="16AE61E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投标文件</w:t>
      </w:r>
      <w:r>
        <w:rPr>
          <w:rFonts w:hint="eastAsia" w:ascii="宋体" w:hAnsi="宋体" w:eastAsia="宋体" w:cs="宋体"/>
          <w:color w:val="auto"/>
          <w:sz w:val="21"/>
          <w:szCs w:val="21"/>
          <w:highlight w:val="none"/>
        </w:rPr>
        <w:t>；</w:t>
      </w:r>
    </w:p>
    <w:p w14:paraId="120C922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（5）其他合同文件。</w:t>
      </w:r>
    </w:p>
    <w:p w14:paraId="3B0EAAED">
      <w:pPr>
        <w:pStyle w:val="53"/>
        <w:keepNext w:val="0"/>
        <w:keepLines w:val="0"/>
        <w:pageBreakBefore w:val="0"/>
        <w:widowControl w:val="0"/>
        <w:kinsoku/>
        <w:wordWrap/>
        <w:overflowPunct/>
        <w:topLinePunct w:val="0"/>
        <w:autoSpaceDE/>
        <w:autoSpaceDN/>
        <w:bidi w:val="0"/>
        <w:spacing w:line="400" w:lineRule="exact"/>
        <w:ind w:firstLine="403" w:firstLineChars="19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1.2上述文件互相补充和解释，如有不明确或不一致之处，以上述次序在先者为准；同一次序的文件以时间在后的为准。</w:t>
      </w:r>
    </w:p>
    <w:p w14:paraId="16866C38">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2.</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接受甲方委托，按国家有关标准，提供</w:t>
      </w:r>
      <w:r>
        <w:rPr>
          <w:rFonts w:hint="eastAsia" w:ascii="宋体" w:hAnsi="宋体" w:cs="宋体"/>
          <w:color w:val="auto"/>
          <w:sz w:val="21"/>
          <w:szCs w:val="21"/>
          <w:highlight w:val="none"/>
          <w:lang w:val="en-US" w:eastAsia="zh-CN"/>
        </w:rPr>
        <w:t>安徽省琅琊山旅游发展有限公司及子公司(安徽省琅琊山商贸发展有限公司、安徽省琅耶山健身休闲有限公司）财务报表审计服务</w:t>
      </w:r>
      <w:r>
        <w:rPr>
          <w:rFonts w:hint="eastAsia" w:ascii="宋体" w:hAnsi="宋体" w:eastAsia="宋体" w:cs="宋体"/>
          <w:color w:val="auto"/>
          <w:sz w:val="21"/>
          <w:szCs w:val="21"/>
          <w:highlight w:val="none"/>
          <w:lang w:val="en-US" w:eastAsia="zh-CN"/>
        </w:rPr>
        <w:t>。</w:t>
      </w:r>
    </w:p>
    <w:p w14:paraId="7947C503">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3.合同期限</w:t>
      </w:r>
      <w:r>
        <w:rPr>
          <w:rFonts w:hint="eastAsia" w:ascii="宋体" w:hAnsi="宋体" w:eastAsia="宋体" w:cs="宋体"/>
          <w:color w:val="auto"/>
          <w:sz w:val="21"/>
          <w:szCs w:val="21"/>
          <w:highlight w:val="none"/>
        </w:rPr>
        <w:t>：</w:t>
      </w:r>
    </w:p>
    <w:p w14:paraId="33DF3522">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4.乙方的服务范围及工作内容</w:t>
      </w:r>
    </w:p>
    <w:p w14:paraId="6FBA627D">
      <w:pPr>
        <w:pageBreakBefore w:val="0"/>
        <w:kinsoku/>
        <w:wordWrap/>
        <w:overflowPunct/>
        <w:topLinePunct w:val="0"/>
        <w:autoSpaceDE/>
        <w:autoSpaceDN/>
        <w:bidi w:val="0"/>
        <w:snapToGrid/>
        <w:spacing w:line="500" w:lineRule="exact"/>
        <w:ind w:left="0" w:leftChars="0"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对安徽省琅琊山旅游发展有限公司及子公司(安徽省琅琊山商贸发展有限公司、安徽省琅耶山健身休闲有限公司)2024年-2026年财务报表及财务收支进行审计。</w:t>
      </w:r>
      <w:r>
        <w:rPr>
          <w:rFonts w:hint="eastAsia" w:ascii="仿宋" w:hAnsi="仿宋" w:eastAsia="仿宋" w:cs="Times New Roman"/>
          <w:color w:val="auto"/>
          <w:sz w:val="28"/>
          <w:szCs w:val="28"/>
          <w:highlight w:val="none"/>
          <w:lang w:val="en-US" w:eastAsia="zh-CN"/>
        </w:rPr>
        <w:t>本次审计需全面梳理账面情况，重点关注公益性资产、长账龄往来款（5年以上）,同时需就在审计过程中发现的会计核算、财务管理、内部控制等情况进行核查。2024年度安徽省琅琊山旅游发展有限公司资产总额133201万元，凭证约120本，安徽省琅琊山商贸发展有限公司资产总额783万元，凭证约52本，安徽省琅耶山健身休闲有限公司资产总额278万元，凭证约15本。2025年、2026年以当年所产生凭证为准。</w:t>
      </w:r>
    </w:p>
    <w:p w14:paraId="7C90128D">
      <w:pPr>
        <w:keepNext w:val="0"/>
        <w:keepLines w:val="0"/>
        <w:pageBreakBefore w:val="0"/>
        <w:widowControl w:val="0"/>
        <w:numPr>
          <w:ilvl w:val="0"/>
          <w:numId w:val="0"/>
        </w:numPr>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5.甲方</w:t>
      </w:r>
      <w:r>
        <w:rPr>
          <w:rFonts w:hint="eastAsia" w:ascii="宋体" w:hAnsi="宋体" w:eastAsia="宋体" w:cs="宋体"/>
          <w:b/>
          <w:color w:val="auto"/>
          <w:sz w:val="21"/>
          <w:szCs w:val="21"/>
          <w:highlight w:val="none"/>
          <w:lang w:eastAsia="zh-CN"/>
        </w:rPr>
        <w:t>权利</w:t>
      </w:r>
      <w:r>
        <w:rPr>
          <w:rFonts w:hint="eastAsia" w:ascii="宋体" w:hAnsi="宋体" w:eastAsia="宋体" w:cs="宋体"/>
          <w:b/>
          <w:color w:val="auto"/>
          <w:sz w:val="21"/>
          <w:szCs w:val="21"/>
          <w:highlight w:val="none"/>
        </w:rPr>
        <w:t>义务</w:t>
      </w:r>
    </w:p>
    <w:p w14:paraId="4D348FA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w:t>
      </w:r>
      <w:r>
        <w:rPr>
          <w:rFonts w:hint="eastAsia" w:ascii="宋体" w:hAnsi="宋体" w:eastAsia="宋体" w:cs="宋体"/>
          <w:bCs/>
          <w:color w:val="auto"/>
          <w:sz w:val="21"/>
          <w:szCs w:val="21"/>
          <w:highlight w:val="none"/>
          <w:lang w:val="en-US" w:eastAsia="zh-CN"/>
        </w:rPr>
        <w:t>甲方及时为</w:t>
      </w:r>
      <w:r>
        <w:rPr>
          <w:rFonts w:hint="eastAsia" w:ascii="宋体" w:hAnsi="宋体" w:eastAsia="宋体" w:cs="宋体"/>
          <w:bCs/>
          <w:color w:val="auto"/>
          <w:sz w:val="21"/>
          <w:szCs w:val="21"/>
          <w:highlight w:val="none"/>
        </w:rPr>
        <w:t>乙方</w:t>
      </w:r>
      <w:r>
        <w:rPr>
          <w:rFonts w:hint="eastAsia" w:ascii="宋体" w:hAnsi="宋体" w:eastAsia="宋体" w:cs="宋体"/>
          <w:bCs/>
          <w:color w:val="auto"/>
          <w:sz w:val="21"/>
          <w:szCs w:val="21"/>
          <w:highlight w:val="none"/>
          <w:lang w:val="en-US" w:eastAsia="zh-CN"/>
        </w:rPr>
        <w:t>提供与财务报表审计有关的所有记录、文件和所其他与财务报表审计所需的全部资料，并保证所提供资料的真实性和完整性；</w:t>
      </w:r>
    </w:p>
    <w:p w14:paraId="3822899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需要乙方出席的会议、谈判、座谈等，甲方应尽早提前通知乙方并提交前述活动的必要书面文件，告知前述活动的内容等；</w:t>
      </w:r>
    </w:p>
    <w:p w14:paraId="3EB14D3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甲方应根据本合同及时支付服务费用。</w:t>
      </w:r>
    </w:p>
    <w:p w14:paraId="1A3E93E6">
      <w:pPr>
        <w:pStyle w:val="2"/>
        <w:ind w:left="0" w:leftChars="0" w:firstLine="420" w:firstLineChars="200"/>
        <w:rPr>
          <w:rFonts w:hint="eastAsia" w:eastAsia="宋体"/>
          <w:color w:val="auto"/>
          <w:highlight w:val="none"/>
          <w:lang w:eastAsia="zh-CN"/>
        </w:rPr>
      </w:pPr>
      <w:r>
        <w:rPr>
          <w:rFonts w:hint="eastAsia"/>
          <w:color w:val="auto"/>
          <w:highlight w:val="none"/>
          <w:lang w:val="en-US" w:eastAsia="zh-CN"/>
        </w:rPr>
        <w:t>5.4</w:t>
      </w:r>
      <w:r>
        <w:rPr>
          <w:rFonts w:hint="eastAsia"/>
          <w:color w:val="auto"/>
          <w:highlight w:val="none"/>
        </w:rPr>
        <w:t>若履约期间</w:t>
      </w:r>
      <w:r>
        <w:rPr>
          <w:rFonts w:hint="eastAsia" w:ascii="宋体" w:hAnsi="宋体" w:eastAsia="宋体" w:cs="宋体"/>
          <w:b/>
          <w:color w:val="auto"/>
          <w:sz w:val="21"/>
          <w:szCs w:val="21"/>
          <w:highlight w:val="none"/>
        </w:rPr>
        <w:t>乙方</w:t>
      </w:r>
      <w:r>
        <w:rPr>
          <w:rFonts w:hint="eastAsia"/>
          <w:color w:val="auto"/>
          <w:highlight w:val="none"/>
        </w:rPr>
        <w:t>出具的审计报表无法达到</w:t>
      </w:r>
      <w:r>
        <w:rPr>
          <w:rFonts w:hint="eastAsia" w:ascii="宋体" w:hAnsi="宋体" w:eastAsia="宋体" w:cs="宋体"/>
          <w:bCs/>
          <w:color w:val="auto"/>
          <w:sz w:val="21"/>
          <w:szCs w:val="21"/>
          <w:highlight w:val="none"/>
          <w:lang w:val="en-US" w:eastAsia="zh-CN"/>
        </w:rPr>
        <w:t>甲方</w:t>
      </w:r>
      <w:r>
        <w:rPr>
          <w:rFonts w:hint="eastAsia"/>
          <w:color w:val="auto"/>
          <w:highlight w:val="none"/>
        </w:rPr>
        <w:t>要求，</w:t>
      </w:r>
      <w:r>
        <w:rPr>
          <w:rFonts w:hint="eastAsia" w:ascii="宋体" w:hAnsi="宋体" w:eastAsia="宋体" w:cs="宋体"/>
          <w:bCs/>
          <w:color w:val="auto"/>
          <w:sz w:val="21"/>
          <w:szCs w:val="21"/>
          <w:highlight w:val="none"/>
          <w:lang w:val="en-US" w:eastAsia="zh-CN"/>
        </w:rPr>
        <w:t>甲方</w:t>
      </w:r>
      <w:r>
        <w:rPr>
          <w:rFonts w:hint="eastAsia"/>
          <w:color w:val="auto"/>
          <w:highlight w:val="none"/>
        </w:rPr>
        <w:t>可以中止合同</w:t>
      </w:r>
      <w:r>
        <w:rPr>
          <w:rFonts w:hint="eastAsia"/>
          <w:color w:val="auto"/>
          <w:highlight w:val="none"/>
          <w:lang w:eastAsia="zh-CN"/>
        </w:rPr>
        <w:t>。</w:t>
      </w:r>
    </w:p>
    <w:p w14:paraId="1893D29E">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6.乙方权利义务</w:t>
      </w:r>
    </w:p>
    <w:p w14:paraId="6469348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36"/>
          <w:sz w:val="21"/>
          <w:szCs w:val="21"/>
          <w:highlight w:val="none"/>
        </w:rPr>
        <w:t>6.1乙方</w:t>
      </w:r>
      <w:r>
        <w:rPr>
          <w:rFonts w:hint="eastAsia" w:ascii="宋体" w:hAnsi="宋体" w:eastAsia="宋体" w:cs="宋体"/>
          <w:bCs/>
          <w:color w:val="auto"/>
          <w:kern w:val="36"/>
          <w:sz w:val="21"/>
          <w:szCs w:val="21"/>
          <w:highlight w:val="none"/>
          <w:lang w:val="en-US" w:eastAsia="zh-CN"/>
        </w:rPr>
        <w:t>按国家有关标准</w:t>
      </w:r>
      <w:r>
        <w:rPr>
          <w:rFonts w:hint="eastAsia" w:ascii="宋体" w:hAnsi="宋体" w:eastAsia="宋体" w:cs="宋体"/>
          <w:bCs/>
          <w:color w:val="auto"/>
          <w:kern w:val="36"/>
          <w:sz w:val="21"/>
          <w:szCs w:val="21"/>
          <w:highlight w:val="none"/>
        </w:rPr>
        <w:t>，</w:t>
      </w:r>
      <w:r>
        <w:rPr>
          <w:rFonts w:hint="eastAsia" w:ascii="宋体" w:hAnsi="宋体" w:eastAsia="宋体" w:cs="宋体"/>
          <w:color w:val="auto"/>
          <w:sz w:val="21"/>
          <w:szCs w:val="21"/>
          <w:highlight w:val="none"/>
          <w:lang w:val="en-US" w:eastAsia="zh-CN"/>
        </w:rPr>
        <w:t>提供</w:t>
      </w:r>
      <w:r>
        <w:rPr>
          <w:rFonts w:hint="eastAsia" w:ascii="宋体" w:hAnsi="宋体" w:cs="宋体"/>
          <w:color w:val="auto"/>
          <w:sz w:val="21"/>
          <w:szCs w:val="21"/>
          <w:highlight w:val="none"/>
          <w:lang w:val="en-US" w:eastAsia="zh-CN"/>
        </w:rPr>
        <w:t>安徽省琅琊山旅游发展有限公司及子公司(安徽省琅琊山商贸发展有限公司、安徽省琅耶山健身休闲有限公司）财务报表审计服务</w:t>
      </w:r>
      <w:r>
        <w:rPr>
          <w:rFonts w:hint="eastAsia" w:ascii="宋体" w:hAnsi="宋体" w:eastAsia="宋体" w:cs="宋体"/>
          <w:color w:val="auto"/>
          <w:sz w:val="21"/>
          <w:szCs w:val="21"/>
          <w:highlight w:val="none"/>
          <w:lang w:val="en-US" w:eastAsia="zh-CN"/>
        </w:rPr>
        <w:t>。</w:t>
      </w:r>
    </w:p>
    <w:p w14:paraId="1AF5D8A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6.2</w:t>
      </w:r>
      <w:r>
        <w:rPr>
          <w:rFonts w:hint="eastAsia" w:ascii="宋体" w:hAnsi="宋体" w:eastAsia="宋体" w:cs="宋体"/>
          <w:bCs/>
          <w:color w:val="auto"/>
          <w:kern w:val="36"/>
          <w:sz w:val="21"/>
          <w:szCs w:val="21"/>
          <w:highlight w:val="none"/>
        </w:rPr>
        <w:t>乙方</w:t>
      </w:r>
      <w:r>
        <w:rPr>
          <w:rFonts w:hint="eastAsia" w:ascii="宋体" w:hAnsi="宋体" w:eastAsia="宋体" w:cs="宋体"/>
          <w:bCs/>
          <w:color w:val="auto"/>
          <w:kern w:val="36"/>
          <w:sz w:val="21"/>
          <w:szCs w:val="21"/>
          <w:highlight w:val="none"/>
          <w:lang w:val="en-US" w:eastAsia="zh-CN"/>
        </w:rPr>
        <w:t>按照规定遵守法律法规及相关制度规定，遵守职业规范和道德执行本合同工作，</w:t>
      </w:r>
      <w:r>
        <w:rPr>
          <w:rFonts w:hint="eastAsia" w:ascii="宋体" w:hAnsi="宋体" w:eastAsia="宋体" w:cs="宋体"/>
          <w:bCs/>
          <w:color w:val="auto"/>
          <w:sz w:val="21"/>
          <w:szCs w:val="21"/>
          <w:highlight w:val="none"/>
          <w:lang w:val="en-US" w:eastAsia="zh-CN"/>
        </w:rPr>
        <w:t>在执行过程中，</w:t>
      </w:r>
      <w:r>
        <w:rPr>
          <w:rFonts w:hint="eastAsia" w:ascii="宋体" w:hAnsi="宋体" w:eastAsia="宋体" w:cs="宋体"/>
          <w:bCs/>
          <w:color w:val="auto"/>
          <w:kern w:val="36"/>
          <w:sz w:val="21"/>
          <w:szCs w:val="21"/>
          <w:highlight w:val="none"/>
        </w:rPr>
        <w:t>乙方</w:t>
      </w:r>
      <w:r>
        <w:rPr>
          <w:rFonts w:hint="eastAsia" w:ascii="宋体" w:hAnsi="宋体" w:eastAsia="宋体" w:cs="宋体"/>
          <w:bCs/>
          <w:color w:val="auto"/>
          <w:kern w:val="36"/>
          <w:sz w:val="21"/>
          <w:szCs w:val="21"/>
          <w:highlight w:val="none"/>
          <w:lang w:val="en-US" w:eastAsia="zh-CN"/>
        </w:rPr>
        <w:t>需要运用职业判断，保持职业态度。</w:t>
      </w:r>
    </w:p>
    <w:p w14:paraId="04BBDE4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6.3</w:t>
      </w:r>
      <w:r>
        <w:rPr>
          <w:rFonts w:hint="eastAsia" w:ascii="宋体" w:hAnsi="宋体" w:eastAsia="宋体" w:cs="宋体"/>
          <w:bCs/>
          <w:color w:val="auto"/>
          <w:kern w:val="36"/>
          <w:sz w:val="21"/>
          <w:szCs w:val="21"/>
          <w:highlight w:val="none"/>
        </w:rPr>
        <w:t>乙方</w:t>
      </w:r>
      <w:r>
        <w:rPr>
          <w:rFonts w:hint="eastAsia" w:ascii="宋体" w:hAnsi="宋体" w:eastAsia="宋体" w:cs="宋体"/>
          <w:bCs/>
          <w:color w:val="auto"/>
          <w:sz w:val="21"/>
          <w:szCs w:val="21"/>
          <w:highlight w:val="none"/>
          <w:lang w:val="en-US" w:eastAsia="zh-CN"/>
        </w:rPr>
        <w:t>在服务过程中发现甲方在会计核算、项目资金及内部控制方面有缺陷的，应及时报告甲方</w:t>
      </w:r>
      <w:r>
        <w:rPr>
          <w:rFonts w:hint="eastAsia" w:ascii="宋体" w:hAnsi="宋体" w:eastAsia="宋体" w:cs="宋体"/>
          <w:bCs/>
          <w:color w:val="auto"/>
          <w:sz w:val="21"/>
          <w:szCs w:val="21"/>
          <w:highlight w:val="none"/>
        </w:rPr>
        <w:t>。</w:t>
      </w:r>
    </w:p>
    <w:p w14:paraId="28206FA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w:t>
      </w:r>
      <w:r>
        <w:rPr>
          <w:rFonts w:hint="eastAsia" w:ascii="宋体" w:hAnsi="宋体" w:eastAsia="宋体" w:cs="宋体"/>
          <w:bCs/>
          <w:color w:val="auto"/>
          <w:sz w:val="21"/>
          <w:szCs w:val="21"/>
          <w:highlight w:val="none"/>
        </w:rPr>
        <w:t>乙方</w:t>
      </w:r>
      <w:r>
        <w:rPr>
          <w:rFonts w:hint="eastAsia" w:ascii="宋体" w:hAnsi="宋体" w:eastAsia="宋体" w:cs="宋体"/>
          <w:bCs/>
          <w:color w:val="auto"/>
          <w:sz w:val="21"/>
          <w:szCs w:val="21"/>
          <w:highlight w:val="none"/>
          <w:lang w:val="en-US" w:eastAsia="zh-CN"/>
        </w:rPr>
        <w:t>须委派胜任项目服务要求的专业人员，并根据甲方的要求，提供高效、优质的服务，并确保本合同的约定的专业人员专职服务于本项目</w:t>
      </w:r>
      <w:r>
        <w:rPr>
          <w:rFonts w:hint="eastAsia" w:ascii="宋体" w:hAnsi="宋体" w:eastAsia="宋体" w:cs="宋体"/>
          <w:bCs/>
          <w:color w:val="auto"/>
          <w:sz w:val="21"/>
          <w:szCs w:val="21"/>
          <w:highlight w:val="none"/>
        </w:rPr>
        <w:t>。</w:t>
      </w:r>
    </w:p>
    <w:p w14:paraId="4289781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6.5按照约定时间制定工程财务报表审计方案，保证其真实性、合法性。出具基本建设项目财务报表审计报表、财务报表审计说明书，对所提交的资料负责，并配合完成主管部门审核通过。</w:t>
      </w:r>
    </w:p>
    <w:p w14:paraId="09BE7EB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对在工作过程中出现的遗漏和错误自行修改和补充，甲方不再另行支付费用；因</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遗漏和错误造成甲方损失的，由</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承担全部责任和费用</w:t>
      </w:r>
      <w:r>
        <w:rPr>
          <w:rFonts w:hint="eastAsia" w:ascii="宋体" w:hAnsi="宋体" w:eastAsia="宋体" w:cs="宋体"/>
          <w:color w:val="auto"/>
          <w:sz w:val="21"/>
          <w:szCs w:val="21"/>
          <w:highlight w:val="none"/>
        </w:rPr>
        <w:t>。</w:t>
      </w:r>
    </w:p>
    <w:p w14:paraId="2D4B27E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乙方应</w:t>
      </w:r>
      <w:r>
        <w:rPr>
          <w:rFonts w:hint="eastAsia" w:ascii="宋体" w:hAnsi="宋体" w:eastAsia="宋体" w:cs="宋体"/>
          <w:bCs/>
          <w:color w:val="auto"/>
          <w:sz w:val="21"/>
          <w:szCs w:val="21"/>
          <w:highlight w:val="none"/>
          <w:lang w:val="en-US" w:eastAsia="zh-CN"/>
        </w:rPr>
        <w:t>理解甲方有权限根据政府要求及进度情况对服务期限做合理调整，服务期调整后</w:t>
      </w:r>
      <w:r>
        <w:rPr>
          <w:rFonts w:hint="eastAsia" w:ascii="宋体" w:hAnsi="宋体" w:eastAsia="宋体" w:cs="宋体"/>
          <w:bCs/>
          <w:color w:val="auto"/>
          <w:sz w:val="21"/>
          <w:szCs w:val="21"/>
          <w:highlight w:val="none"/>
        </w:rPr>
        <w:t>乙方</w:t>
      </w:r>
      <w:r>
        <w:rPr>
          <w:rFonts w:hint="eastAsia" w:ascii="宋体" w:hAnsi="宋体" w:eastAsia="宋体" w:cs="宋体"/>
          <w:bCs/>
          <w:color w:val="auto"/>
          <w:sz w:val="21"/>
          <w:szCs w:val="21"/>
          <w:highlight w:val="none"/>
          <w:lang w:val="en-US" w:eastAsia="zh-CN"/>
        </w:rPr>
        <w:t>不得以任何理由要求增加费用，</w:t>
      </w:r>
      <w:r>
        <w:rPr>
          <w:rFonts w:hint="eastAsia" w:ascii="宋体" w:hAnsi="宋体" w:eastAsia="宋体" w:cs="宋体"/>
          <w:bCs/>
          <w:color w:val="auto"/>
          <w:sz w:val="21"/>
          <w:szCs w:val="21"/>
          <w:highlight w:val="none"/>
        </w:rPr>
        <w:t>乙方</w:t>
      </w:r>
      <w:r>
        <w:rPr>
          <w:rFonts w:hint="eastAsia" w:ascii="宋体" w:hAnsi="宋体" w:eastAsia="宋体" w:cs="宋体"/>
          <w:bCs/>
          <w:color w:val="auto"/>
          <w:sz w:val="21"/>
          <w:szCs w:val="21"/>
          <w:highlight w:val="none"/>
          <w:lang w:val="en-US" w:eastAsia="zh-CN"/>
        </w:rPr>
        <w:t>应充分考虑并承诺承担因服务期限调整所发生的相关费用</w:t>
      </w:r>
      <w:r>
        <w:rPr>
          <w:rFonts w:hint="eastAsia" w:ascii="宋体" w:hAnsi="宋体" w:eastAsia="宋体" w:cs="宋体"/>
          <w:bCs/>
          <w:color w:val="auto"/>
          <w:sz w:val="21"/>
          <w:szCs w:val="21"/>
          <w:highlight w:val="none"/>
        </w:rPr>
        <w:t>。</w:t>
      </w:r>
    </w:p>
    <w:p w14:paraId="561D840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乙方应严格遵守</w:t>
      </w:r>
      <w:r>
        <w:rPr>
          <w:rFonts w:hint="eastAsia" w:ascii="宋体" w:hAnsi="宋体" w:eastAsia="宋体" w:cs="宋体"/>
          <w:bCs/>
          <w:color w:val="auto"/>
          <w:sz w:val="21"/>
          <w:szCs w:val="21"/>
          <w:highlight w:val="none"/>
          <w:lang w:val="en-US" w:eastAsia="zh-CN"/>
        </w:rPr>
        <w:t>会计</w:t>
      </w:r>
      <w:r>
        <w:rPr>
          <w:rFonts w:hint="eastAsia" w:ascii="宋体" w:hAnsi="宋体" w:eastAsia="宋体" w:cs="宋体"/>
          <w:bCs/>
          <w:color w:val="auto"/>
          <w:sz w:val="21"/>
          <w:szCs w:val="21"/>
          <w:highlight w:val="none"/>
        </w:rPr>
        <w:t>师职业道德及执业规范，保守对在承办委托事务过程中所接触或掌握的一切信息予以保密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未经甲方同意，不得将甲方提供的任何信息透露给第三方。</w:t>
      </w:r>
    </w:p>
    <w:p w14:paraId="702CBFF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r>
        <w:rPr>
          <w:rFonts w:hint="eastAsia" w:ascii="宋体" w:hAnsi="宋体" w:eastAsia="宋体" w:cs="宋体"/>
          <w:bCs/>
          <w:color w:val="auto"/>
          <w:sz w:val="21"/>
          <w:szCs w:val="21"/>
          <w:highlight w:val="none"/>
          <w:lang w:val="en-US" w:eastAsia="zh-CN"/>
        </w:rPr>
        <w:t>9</w:t>
      </w:r>
      <w:r>
        <w:rPr>
          <w:rFonts w:hint="eastAsia" w:ascii="宋体" w:hAnsi="宋体" w:eastAsia="宋体" w:cs="宋体"/>
          <w:bCs/>
          <w:color w:val="auto"/>
          <w:sz w:val="21"/>
          <w:szCs w:val="21"/>
          <w:highlight w:val="none"/>
        </w:rPr>
        <w:t>乙方</w:t>
      </w:r>
      <w:r>
        <w:rPr>
          <w:rFonts w:hint="eastAsia" w:ascii="宋体" w:hAnsi="宋体" w:eastAsia="宋体" w:cs="宋体"/>
          <w:bCs/>
          <w:color w:val="auto"/>
          <w:sz w:val="21"/>
          <w:szCs w:val="21"/>
          <w:highlight w:val="none"/>
          <w:lang w:val="en-US" w:eastAsia="zh-CN"/>
        </w:rPr>
        <w:t>应将所作的涉及财务报表审计的所有资料及底稿（包括电子版）全部移交甲方。</w:t>
      </w:r>
    </w:p>
    <w:p w14:paraId="7F787FA3">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7.服务费用及支付</w:t>
      </w:r>
    </w:p>
    <w:p w14:paraId="621DB7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7.1本合同服务费用及支付方式</w:t>
      </w:r>
    </w:p>
    <w:p w14:paraId="3FF282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7.1.1本合同中，甲方应支付乙方服务费含税价共计人民币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其中安徽省琅琊山旅游发展有限公司财务报表及财务收支审计费为：</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安徽省琅琊山商贸发展有限公司财务报表及财务收支审计费为：</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安徽省琅耶山健身休闲有限公司财务报表及财务收支审计费为：</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上述服务费乙方均需要向甲方提交合同计量申请相关材料和请款报告，经甲方审批同意后，甲方通知乙方开具增值税专用发票。</w:t>
      </w:r>
    </w:p>
    <w:p w14:paraId="2F6F4762">
      <w:pPr>
        <w:pStyle w:val="10"/>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7.2上述费用包括了</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过程中发生其他所有费用（包括但不限于税费、交通费、食宿费、差旅费等），除此之外，乙方不得向甲方另行收取任何费用。</w:t>
      </w:r>
    </w:p>
    <w:p w14:paraId="4E0BE523">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8.保密条款</w:t>
      </w:r>
    </w:p>
    <w:p w14:paraId="5976F27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针对乙方在</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过程及完成</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委托事项过程中所知悉或持有的甲方及与甲方相关的商业秘密、技术秘密、法律信息等应负保密义务，具体约定如下：</w:t>
      </w:r>
    </w:p>
    <w:p w14:paraId="161448B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8.1</w:t>
      </w:r>
      <w:r>
        <w:rPr>
          <w:rFonts w:hint="eastAsia" w:ascii="宋体" w:hAnsi="宋体" w:eastAsia="宋体" w:cs="宋体"/>
          <w:b/>
          <w:bCs/>
          <w:color w:val="auto"/>
          <w:sz w:val="21"/>
          <w:szCs w:val="21"/>
          <w:highlight w:val="none"/>
        </w:rPr>
        <w:t>保密事项范围</w:t>
      </w:r>
    </w:p>
    <w:p w14:paraId="5A7DAB7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保密事项范围包括：乙方在接受咨询委托过程中接触到的甲方提供或告知的尚未为公众所知悉的商业秘密、技术秘密、法律信息等。</w:t>
      </w:r>
    </w:p>
    <w:p w14:paraId="5FEFDBE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8.2保密事项排除范围：</w:t>
      </w:r>
    </w:p>
    <w:p w14:paraId="3B48A3F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需保密的信息范围不含以下内容：</w:t>
      </w:r>
    </w:p>
    <w:p w14:paraId="7A957CD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8.2.1本合同签订时，已经为公众所知的信息；</w:t>
      </w:r>
    </w:p>
    <w:p w14:paraId="1E27CDF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8.2.2本合同签订后，非因归责于乙方的责任事由而为公众所知的信息；</w:t>
      </w:r>
    </w:p>
    <w:p w14:paraId="0CFC845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8.2.3根据法律规定及政府有关部门要求需公开的信息和资料；</w:t>
      </w:r>
    </w:p>
    <w:p w14:paraId="4357A96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8.2.4经甲方事先书面同意予以公开的信息。</w:t>
      </w:r>
    </w:p>
    <w:p w14:paraId="1691D63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8.3</w:t>
      </w:r>
      <w:r>
        <w:rPr>
          <w:rFonts w:hint="eastAsia" w:ascii="宋体" w:hAnsi="宋体" w:eastAsia="宋体" w:cs="宋体"/>
          <w:bCs/>
          <w:color w:val="auto"/>
          <w:sz w:val="21"/>
          <w:szCs w:val="21"/>
          <w:highlight w:val="none"/>
        </w:rPr>
        <w:t>承担保密义务的人员范围</w:t>
      </w:r>
    </w:p>
    <w:p w14:paraId="0A9963D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承担保密义务的人员范围包括：乙方在接受咨询委托事项过程中，派出的经办人员以及其他因工作关系而可能获悉保密事项的人员。</w:t>
      </w:r>
    </w:p>
    <w:p w14:paraId="7D5DC5B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8.4</w:t>
      </w:r>
      <w:r>
        <w:rPr>
          <w:rFonts w:hint="eastAsia" w:ascii="宋体" w:hAnsi="宋体" w:eastAsia="宋体" w:cs="宋体"/>
          <w:bCs/>
          <w:color w:val="auto"/>
          <w:sz w:val="21"/>
          <w:szCs w:val="21"/>
          <w:highlight w:val="none"/>
        </w:rPr>
        <w:t>保密信息的使用</w:t>
      </w:r>
    </w:p>
    <w:p w14:paraId="61188C0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乙方对保密事项的使用只限于与甲方委托业务有关的目的加以使用，而不得为任何其他目的加以利用。</w:t>
      </w:r>
    </w:p>
    <w:p w14:paraId="778E7F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8.5</w:t>
      </w:r>
      <w:r>
        <w:rPr>
          <w:rFonts w:hint="eastAsia" w:ascii="宋体" w:hAnsi="宋体" w:eastAsia="宋体" w:cs="宋体"/>
          <w:bCs/>
          <w:color w:val="auto"/>
          <w:sz w:val="21"/>
          <w:szCs w:val="21"/>
          <w:highlight w:val="none"/>
        </w:rPr>
        <w:t>保密义务的具体内容</w:t>
      </w:r>
    </w:p>
    <w:p w14:paraId="56727D1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8.5.1乙方应本着谨慎、诚实的态度，采取任何必要、合理的措施，维护在咨询委托过程中知悉或者持有的任何属于甲方或与甲方相关的保密事项，以保持其机密性。</w:t>
      </w:r>
    </w:p>
    <w:p w14:paraId="3072EA49">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8.5.2乙方必须遵守甲方规定的任何成文或不成文的保密规章、制度，履行与其工作岗位相应的保密职责。</w:t>
      </w:r>
    </w:p>
    <w:p w14:paraId="086FC16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8.5.3除了完成委托事项的需要之外，乙方承诺，未经甲方同意，不得以泄露、公布、发布、出版、传授、转让或者其他任何方式使任何第三方知悉属于甲方或者与甲方相关保密事项，也不得在履行职务之外使用这些秘密信息。</w:t>
      </w:r>
    </w:p>
    <w:p w14:paraId="5BB5A537">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8.6赔偿责任</w:t>
      </w:r>
    </w:p>
    <w:p w14:paraId="69D59E4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乙方不履行本保密条款、过失或故意泄露其知悉的甲方保密事项或者在擅自协议约定的工作内容之外使用甲方保密事项从而甲方造成损失的，乙方应承担相应的赔偿责任。</w:t>
      </w:r>
    </w:p>
    <w:p w14:paraId="3AE6A51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8.7期限</w:t>
      </w:r>
    </w:p>
    <w:p w14:paraId="335CF2F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乙方承担保密义务自其知悉相应的保密事项之日起，且其保密义务不因本合同的终止而终止。</w:t>
      </w:r>
    </w:p>
    <w:p w14:paraId="4E3FABF0">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9.违约责任</w:t>
      </w:r>
    </w:p>
    <w:p w14:paraId="5311E0D1">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9.1甲方未按合同约定支付服务费的，乙方有权暂停工作，由于甲方原因造成超过30日不支付的，乙方有权单方解除合同，并有权要求甲方支付已经提供服务期间的费用。</w:t>
      </w:r>
    </w:p>
    <w:p w14:paraId="23DD831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9.2</w:t>
      </w:r>
      <w:r>
        <w:rPr>
          <w:rFonts w:hint="eastAsia" w:ascii="宋体" w:hAnsi="宋体" w:eastAsia="宋体" w:cs="宋体"/>
          <w:bCs/>
          <w:color w:val="auto"/>
          <w:sz w:val="21"/>
          <w:szCs w:val="21"/>
          <w:highlight w:val="none"/>
        </w:rPr>
        <w:t>合同签订后，甲方无正当理由提前解除合同的，已经支付的服务费不予退还，</w:t>
      </w:r>
      <w:r>
        <w:rPr>
          <w:rFonts w:hint="eastAsia" w:ascii="宋体" w:hAnsi="宋体" w:eastAsia="宋体" w:cs="宋体"/>
          <w:bCs/>
          <w:color w:val="auto"/>
          <w:sz w:val="21"/>
          <w:szCs w:val="21"/>
          <w:highlight w:val="none"/>
          <w:lang w:val="en-US" w:eastAsia="zh-CN"/>
        </w:rPr>
        <w:t>甲</w:t>
      </w:r>
      <w:r>
        <w:rPr>
          <w:rFonts w:hint="eastAsia" w:ascii="宋体" w:hAnsi="宋体" w:eastAsia="宋体" w:cs="宋体"/>
          <w:bCs/>
          <w:color w:val="auto"/>
          <w:sz w:val="21"/>
          <w:szCs w:val="21"/>
          <w:highlight w:val="none"/>
        </w:rPr>
        <w:t>方承担由此造成的相关损失；乙方无正当理由拒绝为甲方提供服务的、对甲方委托的工作出现重大偏差或误判的、不服从甲方工作安排两次及以上的、不按约定时限完成相应工作两次及以上的，甲方有权解除合同，</w:t>
      </w:r>
      <w:r>
        <w:rPr>
          <w:rFonts w:hint="eastAsia" w:ascii="宋体" w:hAnsi="宋体" w:eastAsia="宋体" w:cs="宋体"/>
          <w:bCs/>
          <w:color w:val="auto"/>
          <w:sz w:val="21"/>
          <w:szCs w:val="21"/>
          <w:highlight w:val="none"/>
        </w:rPr>
        <w:t>并要求退还未服务期间的费用，并要求乙方承担由此造成的相关损失。</w:t>
      </w:r>
    </w:p>
    <w:p w14:paraId="0B84586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9.3乙方不履行或不适当履行服务职责，甲方有权扣除乙方的</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费余款；造成甲方经济损失的，依法予以赔偿。</w:t>
      </w:r>
    </w:p>
    <w:p w14:paraId="7D3DCE6A">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10.其他约定</w:t>
      </w:r>
    </w:p>
    <w:p w14:paraId="7B37848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10.1本合同未尽事宜，双方另行以书面形式商定；如协商未能解决争议，任何一方均可提交甲方所在地人民法院处理，产生的律师费、诉讼费由责任方承担。</w:t>
      </w:r>
    </w:p>
    <w:p w14:paraId="3D0A4A2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10.2本合同正本一式两份，双方各执一份；副本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份，均具有同等法律效力。本合同自双方代表签字、单位盖章之日起生效。</w:t>
      </w:r>
    </w:p>
    <w:p w14:paraId="66FC01D2">
      <w:pPr>
        <w:keepNext w:val="0"/>
        <w:keepLines w:val="0"/>
        <w:pageBreakBefore w:val="0"/>
        <w:widowControl w:val="0"/>
        <w:kinsoku/>
        <w:wordWrap/>
        <w:overflowPunct/>
        <w:topLinePunct w:val="0"/>
        <w:autoSpaceDE/>
        <w:autoSpaceDN/>
        <w:bidi w:val="0"/>
        <w:spacing w:line="400" w:lineRule="exact"/>
        <w:ind w:hanging="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01975B20">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（本页签章页）</w:t>
      </w:r>
    </w:p>
    <w:p w14:paraId="1987A267">
      <w:pPr>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2"/>
        <w:rPr>
          <w:rFonts w:hint="eastAsia" w:ascii="宋体" w:hAnsi="宋体" w:eastAsia="宋体" w:cs="宋体"/>
          <w:color w:val="auto"/>
          <w:sz w:val="21"/>
          <w:szCs w:val="21"/>
          <w:highlight w:val="none"/>
        </w:rPr>
      </w:pPr>
    </w:p>
    <w:tbl>
      <w:tblPr>
        <w:tblStyle w:val="24"/>
        <w:tblW w:w="0" w:type="auto"/>
        <w:tblInd w:w="0" w:type="dxa"/>
        <w:tblLayout w:type="autofit"/>
        <w:tblCellMar>
          <w:top w:w="0" w:type="dxa"/>
          <w:left w:w="108" w:type="dxa"/>
          <w:bottom w:w="0" w:type="dxa"/>
          <w:right w:w="108" w:type="dxa"/>
        </w:tblCellMar>
      </w:tblPr>
      <w:tblGrid>
        <w:gridCol w:w="4261"/>
        <w:gridCol w:w="4261"/>
      </w:tblGrid>
      <w:tr w14:paraId="77E2089A">
        <w:tc>
          <w:tcPr>
            <w:tcW w:w="4717" w:type="dxa"/>
            <w:noWrap w:val="0"/>
            <w:vAlign w:val="top"/>
          </w:tcPr>
          <w:p w14:paraId="414A19A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 </w:t>
            </w:r>
          </w:p>
        </w:tc>
        <w:tc>
          <w:tcPr>
            <w:tcW w:w="4718" w:type="dxa"/>
            <w:noWrap w:val="0"/>
            <w:vAlign w:val="top"/>
          </w:tcPr>
          <w:p w14:paraId="5388429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乙方：</w:t>
            </w:r>
          </w:p>
        </w:tc>
      </w:tr>
      <w:tr w14:paraId="6D926DCE">
        <w:tblPrEx>
          <w:tblCellMar>
            <w:top w:w="0" w:type="dxa"/>
            <w:left w:w="108" w:type="dxa"/>
            <w:bottom w:w="0" w:type="dxa"/>
            <w:right w:w="108" w:type="dxa"/>
          </w:tblCellMar>
        </w:tblPrEx>
        <w:tc>
          <w:tcPr>
            <w:tcW w:w="4717" w:type="dxa"/>
            <w:noWrap w:val="0"/>
            <w:vAlign w:val="top"/>
          </w:tcPr>
          <w:p w14:paraId="672A58F2">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718" w:type="dxa"/>
            <w:noWrap w:val="0"/>
            <w:vAlign w:val="top"/>
          </w:tcPr>
          <w:p w14:paraId="121CBF36">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负责人：</w:t>
            </w:r>
          </w:p>
        </w:tc>
      </w:tr>
      <w:tr w14:paraId="2BBC766A">
        <w:tblPrEx>
          <w:tblCellMar>
            <w:top w:w="0" w:type="dxa"/>
            <w:left w:w="108" w:type="dxa"/>
            <w:bottom w:w="0" w:type="dxa"/>
            <w:right w:w="108" w:type="dxa"/>
          </w:tblCellMar>
        </w:tblPrEx>
        <w:tc>
          <w:tcPr>
            <w:tcW w:w="4717" w:type="dxa"/>
            <w:noWrap w:val="0"/>
            <w:vAlign w:val="top"/>
          </w:tcPr>
          <w:p w14:paraId="58F8B26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c>
          <w:tcPr>
            <w:tcW w:w="4718" w:type="dxa"/>
            <w:noWrap w:val="0"/>
            <w:vAlign w:val="top"/>
          </w:tcPr>
          <w:p w14:paraId="359E5FE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r>
      <w:tr w14:paraId="3317C3AC">
        <w:tblPrEx>
          <w:tblCellMar>
            <w:top w:w="0" w:type="dxa"/>
            <w:left w:w="108" w:type="dxa"/>
            <w:bottom w:w="0" w:type="dxa"/>
            <w:right w:w="108" w:type="dxa"/>
          </w:tblCellMar>
        </w:tblPrEx>
        <w:tc>
          <w:tcPr>
            <w:tcW w:w="4717" w:type="dxa"/>
            <w:noWrap w:val="0"/>
            <w:vAlign w:val="top"/>
          </w:tcPr>
          <w:p w14:paraId="729BEEB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tc>
        <w:tc>
          <w:tcPr>
            <w:tcW w:w="4718" w:type="dxa"/>
            <w:noWrap w:val="0"/>
            <w:vAlign w:val="top"/>
          </w:tcPr>
          <w:p w14:paraId="79612EF5">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tc>
      </w:tr>
      <w:tr w14:paraId="6884D78D">
        <w:tblPrEx>
          <w:tblCellMar>
            <w:top w:w="0" w:type="dxa"/>
            <w:left w:w="108" w:type="dxa"/>
            <w:bottom w:w="0" w:type="dxa"/>
            <w:right w:w="108" w:type="dxa"/>
          </w:tblCellMar>
        </w:tblPrEx>
        <w:tc>
          <w:tcPr>
            <w:tcW w:w="4717" w:type="dxa"/>
            <w:noWrap w:val="0"/>
            <w:vAlign w:val="top"/>
          </w:tcPr>
          <w:p w14:paraId="0D3DC2A6">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4718" w:type="dxa"/>
            <w:noWrap w:val="0"/>
            <w:vAlign w:val="top"/>
          </w:tcPr>
          <w:p w14:paraId="7CE1C45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r>
      <w:tr w14:paraId="1BF6252C">
        <w:tblPrEx>
          <w:tblCellMar>
            <w:top w:w="0" w:type="dxa"/>
            <w:left w:w="108" w:type="dxa"/>
            <w:bottom w:w="0" w:type="dxa"/>
            <w:right w:w="108" w:type="dxa"/>
          </w:tblCellMar>
        </w:tblPrEx>
        <w:tc>
          <w:tcPr>
            <w:tcW w:w="4717" w:type="dxa"/>
            <w:noWrap w:val="0"/>
            <w:vAlign w:val="top"/>
          </w:tcPr>
          <w:p w14:paraId="6F90E4C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4718" w:type="dxa"/>
            <w:noWrap w:val="0"/>
            <w:vAlign w:val="top"/>
          </w:tcPr>
          <w:p w14:paraId="5152FE6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r>
      <w:tr w14:paraId="7514BEAC">
        <w:tblPrEx>
          <w:tblCellMar>
            <w:top w:w="0" w:type="dxa"/>
            <w:left w:w="108" w:type="dxa"/>
            <w:bottom w:w="0" w:type="dxa"/>
            <w:right w:w="108" w:type="dxa"/>
          </w:tblCellMar>
        </w:tblPrEx>
        <w:tc>
          <w:tcPr>
            <w:tcW w:w="4717" w:type="dxa"/>
            <w:noWrap w:val="0"/>
            <w:vAlign w:val="top"/>
          </w:tcPr>
          <w:p w14:paraId="1CF92CC5">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4718" w:type="dxa"/>
            <w:noWrap w:val="0"/>
            <w:vAlign w:val="top"/>
          </w:tcPr>
          <w:p w14:paraId="60ABD91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开户银行：</w:t>
            </w:r>
          </w:p>
        </w:tc>
      </w:tr>
      <w:tr w14:paraId="45ACD408">
        <w:tblPrEx>
          <w:tblCellMar>
            <w:top w:w="0" w:type="dxa"/>
            <w:left w:w="108" w:type="dxa"/>
            <w:bottom w:w="0" w:type="dxa"/>
            <w:right w:w="108" w:type="dxa"/>
          </w:tblCellMar>
        </w:tblPrEx>
        <w:tc>
          <w:tcPr>
            <w:tcW w:w="4717" w:type="dxa"/>
            <w:noWrap w:val="0"/>
            <w:vAlign w:val="top"/>
          </w:tcPr>
          <w:p w14:paraId="184966C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4718" w:type="dxa"/>
            <w:noWrap w:val="0"/>
            <w:vAlign w:val="top"/>
          </w:tcPr>
          <w:p w14:paraId="5915AD9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r>
      <w:tr w14:paraId="796D01E3">
        <w:tblPrEx>
          <w:tblCellMar>
            <w:top w:w="0" w:type="dxa"/>
            <w:left w:w="108" w:type="dxa"/>
            <w:bottom w:w="0" w:type="dxa"/>
            <w:right w:w="108" w:type="dxa"/>
          </w:tblCellMar>
        </w:tblPrEx>
        <w:tc>
          <w:tcPr>
            <w:tcW w:w="4717" w:type="dxa"/>
            <w:noWrap w:val="0"/>
            <w:vAlign w:val="top"/>
          </w:tcPr>
          <w:p w14:paraId="334B18C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签订日期： 年 月 日</w:t>
            </w:r>
          </w:p>
        </w:tc>
        <w:tc>
          <w:tcPr>
            <w:tcW w:w="4718" w:type="dxa"/>
            <w:noWrap w:val="0"/>
            <w:vAlign w:val="top"/>
          </w:tcPr>
          <w:p w14:paraId="097EDA25">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签订日期： 年 月 日</w:t>
            </w:r>
          </w:p>
        </w:tc>
      </w:tr>
      <w:tr w14:paraId="59031F90">
        <w:tblPrEx>
          <w:tblCellMar>
            <w:top w:w="0" w:type="dxa"/>
            <w:left w:w="108" w:type="dxa"/>
            <w:bottom w:w="0" w:type="dxa"/>
            <w:right w:w="108" w:type="dxa"/>
          </w:tblCellMar>
        </w:tblPrEx>
        <w:tc>
          <w:tcPr>
            <w:tcW w:w="4717" w:type="dxa"/>
            <w:noWrap w:val="0"/>
            <w:vAlign w:val="top"/>
          </w:tcPr>
          <w:p w14:paraId="0D665455">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合同签订地：</w:t>
            </w:r>
          </w:p>
        </w:tc>
        <w:tc>
          <w:tcPr>
            <w:tcW w:w="4718" w:type="dxa"/>
            <w:noWrap w:val="0"/>
            <w:vAlign w:val="top"/>
          </w:tcPr>
          <w:p w14:paraId="53092432">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p>
        </w:tc>
      </w:tr>
    </w:tbl>
    <w:p w14:paraId="39C79A4E">
      <w:pPr>
        <w:rPr>
          <w:color w:val="auto"/>
          <w:highlight w:val="none"/>
        </w:rPr>
      </w:pPr>
    </w:p>
    <w:p w14:paraId="51F49E6B">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第七章 投标文件格式</w:t>
      </w:r>
    </w:p>
    <w:p w14:paraId="54F32493">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p>
    <w:p w14:paraId="15A94414">
      <w:pPr>
        <w:keepNext w:val="0"/>
        <w:keepLines w:val="0"/>
        <w:widowControl/>
        <w:suppressLineNumbers w:val="0"/>
        <w:spacing w:before="0" w:beforeAutospacing="0" w:after="0" w:afterAutospacing="0" w:line="357" w:lineRule="atLeast"/>
        <w:ind w:left="0" w:right="0"/>
        <w:jc w:val="right"/>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正本/副本</w:t>
      </w:r>
    </w:p>
    <w:p w14:paraId="02A3F4EE">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bookmarkStart w:id="85" w:name="_Toc21573"/>
      <w:bookmarkEnd w:id="85"/>
    </w:p>
    <w:p w14:paraId="19E0F7DF">
      <w:pPr>
        <w:keepNext w:val="0"/>
        <w:keepLines w:val="0"/>
        <w:widowControl/>
        <w:suppressLineNumbers w:val="0"/>
        <w:spacing w:before="0" w:beforeAutospacing="0" w:after="0" w:afterAutospacing="0" w:line="357" w:lineRule="atLeast"/>
        <w:ind w:left="0" w:right="0"/>
        <w:jc w:val="center"/>
        <w:outlineLvl w:val="1"/>
        <w:rPr>
          <w:rFonts w:hint="eastAsia" w:asciiTheme="majorEastAsia" w:hAnsiTheme="majorEastAsia" w:eastAsiaTheme="majorEastAsia" w:cstheme="majorEastAsia"/>
          <w:b/>
          <w:bCs w:val="0"/>
          <w:color w:val="auto"/>
          <w:sz w:val="44"/>
          <w:szCs w:val="44"/>
          <w:highlight w:val="none"/>
          <w:lang w:val="en-US"/>
        </w:rPr>
      </w:pPr>
      <w:bookmarkStart w:id="86" w:name="_Toc128_WPSOffice_Level1"/>
      <w:r>
        <w:rPr>
          <w:rFonts w:hint="eastAsia" w:asciiTheme="majorEastAsia" w:hAnsiTheme="majorEastAsia" w:eastAsiaTheme="majorEastAsia" w:cstheme="majorEastAsia"/>
          <w:b/>
          <w:bCs w:val="0"/>
          <w:color w:val="auto"/>
          <w:kern w:val="0"/>
          <w:sz w:val="44"/>
          <w:szCs w:val="44"/>
          <w:highlight w:val="none"/>
          <w:u w:color="000000"/>
          <w:lang w:val="en-US" w:eastAsia="zh-CN" w:bidi="ar"/>
        </w:rPr>
        <w:t>投 标 文 件</w:t>
      </w:r>
      <w:bookmarkEnd w:id="86"/>
    </w:p>
    <w:p w14:paraId="25E1172B">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44"/>
          <w:szCs w:val="44"/>
          <w:highlight w:val="none"/>
          <w:lang w:val="en-US"/>
        </w:rPr>
      </w:pPr>
      <w:bookmarkStart w:id="87" w:name="_Toc19336_WPSOffice_Level2"/>
      <w:bookmarkEnd w:id="87"/>
      <w:r>
        <w:rPr>
          <w:rFonts w:hint="eastAsia" w:asciiTheme="majorEastAsia" w:hAnsiTheme="majorEastAsia" w:eastAsiaTheme="majorEastAsia" w:cstheme="majorEastAsia"/>
          <w:color w:val="auto"/>
          <w:kern w:val="0"/>
          <w:sz w:val="44"/>
          <w:szCs w:val="44"/>
          <w:highlight w:val="none"/>
          <w:u w:color="000000"/>
          <w:lang w:val="en-US" w:eastAsia="zh-CN" w:bidi="ar"/>
        </w:rPr>
        <w:t xml:space="preserve"> </w:t>
      </w:r>
    </w:p>
    <w:p w14:paraId="32DD5700">
      <w:pPr>
        <w:keepNext w:val="0"/>
        <w:keepLines w:val="0"/>
        <w:widowControl/>
        <w:suppressLineNumbers w:val="0"/>
        <w:spacing w:before="0" w:beforeAutospacing="0" w:after="0" w:afterAutospacing="0" w:line="357" w:lineRule="atLeast"/>
        <w:ind w:left="0" w:right="0" w:firstLine="3000" w:firstLineChars="1000"/>
        <w:jc w:val="both"/>
        <w:rPr>
          <w:rFonts w:hint="eastAsia" w:asciiTheme="majorEastAsia" w:hAnsiTheme="majorEastAsia" w:eastAsiaTheme="majorEastAsia" w:cstheme="majorEastAsia"/>
          <w:color w:val="auto"/>
          <w:sz w:val="30"/>
          <w:szCs w:val="30"/>
          <w:highlight w:val="none"/>
          <w:lang w:val="en-US"/>
        </w:rPr>
      </w:pPr>
      <w:bookmarkStart w:id="88" w:name="_Toc7180_WPSOffice_Level3"/>
      <w:bookmarkEnd w:id="88"/>
      <w:r>
        <w:rPr>
          <w:rFonts w:hint="eastAsia" w:asciiTheme="majorEastAsia" w:hAnsiTheme="majorEastAsia" w:eastAsiaTheme="majorEastAsia" w:cstheme="majorEastAsia"/>
          <w:color w:val="auto"/>
          <w:kern w:val="0"/>
          <w:sz w:val="30"/>
          <w:szCs w:val="30"/>
          <w:highlight w:val="none"/>
          <w:u w:color="000000"/>
          <w:lang w:val="en-US" w:eastAsia="zh-CN" w:bidi="ar"/>
        </w:rPr>
        <w:t>项目名称：</w:t>
      </w:r>
    </w:p>
    <w:p w14:paraId="25FBED2E">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3CF333DD">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13897C19">
      <w:pPr>
        <w:pStyle w:val="2"/>
        <w:widowControl/>
        <w:spacing w:before="0" w:beforeAutospacing="0" w:after="120" w:afterAutospacing="0"/>
        <w:ind w:leftChars="200" w:right="0" w:firstLine="560"/>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sz w:val="28"/>
          <w:szCs w:val="28"/>
          <w:highlight w:val="none"/>
          <w:lang w:val="en-US"/>
        </w:rPr>
        <w:t xml:space="preserve"> </w:t>
      </w:r>
    </w:p>
    <w:p w14:paraId="3981465D">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0024872">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14:paraId="11A632BA">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u w:val="singl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投标人：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（盖单位章）</w:t>
      </w:r>
    </w:p>
    <w:p w14:paraId="4E764A8A">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 xml:space="preserve"> </w:t>
      </w:r>
    </w:p>
    <w:p w14:paraId="12ACD4F8">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r>
        <w:rPr>
          <w:rFonts w:hint="eastAsia" w:asciiTheme="majorEastAsia" w:hAnsiTheme="majorEastAsia" w:eastAsiaTheme="majorEastAsia" w:cstheme="majorEastAsia"/>
          <w:color w:val="auto"/>
          <w:kern w:val="0"/>
          <w:sz w:val="32"/>
          <w:szCs w:val="32"/>
          <w:highlight w:val="none"/>
          <w:u w:color="000000"/>
          <w:lang w:val="en-US" w:eastAsia="zh-CN" w:bidi="ar"/>
        </w:rPr>
        <w:t>法定代表人或授权委托人：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（签字或盖章）</w:t>
      </w:r>
    </w:p>
    <w:p w14:paraId="6F76F2B1">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p>
    <w:p w14:paraId="3B5C84F6">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年</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月</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日</w:t>
      </w:r>
    </w:p>
    <w:p w14:paraId="2E3D34B2">
      <w:pPr>
        <w:keepNext w:val="0"/>
        <w:keepLines w:val="0"/>
        <w:widowControl/>
        <w:suppressLineNumbers w:val="0"/>
        <w:spacing w:before="0" w:beforeAutospacing="0" w:after="0" w:afterAutospacing="0" w:line="640" w:lineRule="exact"/>
        <w:ind w:left="0" w:right="0"/>
        <w:jc w:val="center"/>
        <w:rPr>
          <w:rFonts w:hint="eastAsia" w:asciiTheme="majorEastAsia" w:hAnsiTheme="majorEastAsia" w:eastAsiaTheme="majorEastAsia" w:cstheme="majorEastAsia"/>
          <w:b/>
          <w:bCs w:val="0"/>
          <w:color w:val="auto"/>
          <w:sz w:val="44"/>
          <w:szCs w:val="44"/>
          <w:highlight w:val="none"/>
          <w:lang w:val="en-US"/>
        </w:rPr>
      </w:pPr>
      <w:r>
        <w:rPr>
          <w:rFonts w:hint="eastAsia" w:asciiTheme="majorEastAsia" w:hAnsiTheme="majorEastAsia" w:eastAsiaTheme="majorEastAsia" w:cstheme="majorEastAsia"/>
          <w:b/>
          <w:bCs w:val="0"/>
          <w:color w:val="auto"/>
          <w:kern w:val="0"/>
          <w:sz w:val="44"/>
          <w:szCs w:val="44"/>
          <w:highlight w:val="none"/>
          <w:lang w:val="en-US" w:eastAsia="zh-CN" w:bidi="ar"/>
        </w:rPr>
        <w:br w:type="page"/>
      </w:r>
      <w:bookmarkStart w:id="89" w:name="_Toc14710_WPSOffice_Level1"/>
      <w:bookmarkEnd w:id="89"/>
      <w:r>
        <w:rPr>
          <w:rFonts w:hint="eastAsia" w:asciiTheme="majorEastAsia" w:hAnsiTheme="majorEastAsia" w:eastAsiaTheme="majorEastAsia" w:cstheme="majorEastAsia"/>
          <w:b/>
          <w:bCs w:val="0"/>
          <w:color w:val="auto"/>
          <w:kern w:val="0"/>
          <w:sz w:val="44"/>
          <w:szCs w:val="44"/>
          <w:highlight w:val="none"/>
          <w:u w:color="000000"/>
          <w:lang w:val="en-US" w:eastAsia="zh-CN" w:bidi="ar"/>
        </w:rPr>
        <w:t>目   录</w:t>
      </w:r>
    </w:p>
    <w:p w14:paraId="34F40ACC">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14:paraId="6205F139">
      <w:pPr>
        <w:keepNext w:val="0"/>
        <w:keepLines w:val="0"/>
        <w:widowControl/>
        <w:suppressLineNumbers w:val="0"/>
        <w:spacing w:before="0" w:beforeAutospacing="0" w:after="0" w:afterAutospacing="0" w:line="400" w:lineRule="exact"/>
        <w:ind w:left="0" w:right="0" w:firstLine="562" w:firstLineChars="200"/>
        <w:jc w:val="both"/>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14:paraId="3C87CE1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rPr>
      </w:pPr>
      <w:r>
        <w:rPr>
          <w:rFonts w:hint="eastAsia" w:ascii="宋体"/>
          <w:color w:val="auto"/>
          <w:szCs w:val="21"/>
          <w:highlight w:val="none"/>
        </w:rPr>
        <w:t>（1）法人代表人身份证明及其有效身份证（或法人代表授权委托书及其有效身份证）（格式见附件）；</w:t>
      </w:r>
    </w:p>
    <w:p w14:paraId="550D620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eastAsia="zh-CN"/>
        </w:rPr>
      </w:pPr>
      <w:r>
        <w:rPr>
          <w:rFonts w:hint="eastAsia" w:ascii="宋体"/>
          <w:color w:val="auto"/>
          <w:szCs w:val="21"/>
          <w:highlight w:val="none"/>
        </w:rPr>
        <w:t>（2）</w:t>
      </w:r>
      <w:r>
        <w:rPr>
          <w:rFonts w:hint="eastAsia" w:ascii="宋体" w:hAnsi="Times New Roman" w:eastAsia="宋体" w:cs="Times New Roman"/>
          <w:color w:val="auto"/>
          <w:szCs w:val="21"/>
          <w:highlight w:val="none"/>
        </w:rPr>
        <w:t>投标人有效的</w:t>
      </w:r>
      <w:r>
        <w:rPr>
          <w:rFonts w:hint="eastAsia" w:ascii="宋体"/>
          <w:color w:val="auto"/>
          <w:szCs w:val="21"/>
          <w:highlight w:val="none"/>
        </w:rPr>
        <w:t>营业执照、税务登记证、组织机构代码证（或三合一证书），如投标人为分支机构的，还须总公司</w:t>
      </w:r>
      <w:r>
        <w:rPr>
          <w:rFonts w:hint="eastAsia" w:ascii="宋体" w:hAnsi="Times New Roman" w:eastAsia="宋体" w:cs="Times New Roman"/>
          <w:color w:val="auto"/>
          <w:szCs w:val="21"/>
          <w:highlight w:val="none"/>
        </w:rPr>
        <w:t>的</w:t>
      </w:r>
      <w:r>
        <w:rPr>
          <w:rFonts w:hint="eastAsia" w:ascii="宋体"/>
          <w:color w:val="auto"/>
          <w:szCs w:val="21"/>
          <w:highlight w:val="none"/>
        </w:rPr>
        <w:t>营业执照、税务登记证、组织机构代码证（或三合一证书）</w:t>
      </w:r>
      <w:r>
        <w:rPr>
          <w:rFonts w:hint="eastAsia" w:ascii="宋体" w:hAnsi="Times New Roman" w:eastAsia="宋体" w:cs="Times New Roman"/>
          <w:color w:val="auto"/>
          <w:szCs w:val="21"/>
          <w:highlight w:val="none"/>
        </w:rPr>
        <w:t>；</w:t>
      </w:r>
    </w:p>
    <w:p w14:paraId="21F4396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w:t>
      </w:r>
      <w:r>
        <w:rPr>
          <w:rFonts w:hint="eastAsia" w:ascii="宋体" w:hAnsi="宋体" w:eastAsia="宋体" w:cs="宋体"/>
          <w:color w:val="auto"/>
          <w:sz w:val="21"/>
          <w:szCs w:val="21"/>
          <w:highlight w:val="none"/>
          <w:lang w:val="en-US" w:eastAsia="zh-CN"/>
        </w:rPr>
        <w:t>投标人有效的</w:t>
      </w:r>
      <w:r>
        <w:rPr>
          <w:rFonts w:hint="eastAsia" w:ascii="宋体" w:hAnsi="宋体" w:eastAsia="宋体" w:cs="Times New Roman"/>
          <w:color w:val="auto"/>
          <w:szCs w:val="21"/>
          <w:highlight w:val="none"/>
          <w:lang w:val="en-US" w:eastAsia="zh-CN"/>
        </w:rPr>
        <w:t>会计师事务所执业证书</w:t>
      </w:r>
      <w:r>
        <w:rPr>
          <w:rFonts w:hint="eastAsia" w:ascii="宋体" w:hAnsi="Times New Roman" w:eastAsia="宋体" w:cs="Times New Roman"/>
          <w:color w:val="auto"/>
          <w:szCs w:val="21"/>
          <w:highlight w:val="none"/>
          <w:lang w:val="en-US" w:eastAsia="zh-CN"/>
        </w:rPr>
        <w:t>；</w:t>
      </w:r>
    </w:p>
    <w:p w14:paraId="6CF638C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4）</w:t>
      </w:r>
      <w:r>
        <w:rPr>
          <w:rFonts w:hint="eastAsia" w:ascii="宋体" w:hAnsi="宋体" w:eastAsia="宋体" w:cs="Times New Roman"/>
          <w:color w:val="auto"/>
          <w:szCs w:val="21"/>
          <w:highlight w:val="none"/>
          <w:lang w:val="en-US" w:eastAsia="zh-CN"/>
        </w:rPr>
        <w:t>投标人拟派项目负责人须具有注册在本单位的注册会计师（执业）资格；</w:t>
      </w:r>
    </w:p>
    <w:p w14:paraId="65253A2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eastAsia="zh-CN"/>
        </w:rPr>
      </w:pPr>
      <w:r>
        <w:rPr>
          <w:rFonts w:hint="eastAsia" w:ascii="宋体"/>
          <w:color w:val="auto"/>
          <w:szCs w:val="21"/>
          <w:highlight w:val="none"/>
          <w:lang w:eastAsia="zh-CN"/>
        </w:rPr>
        <w:t>（</w:t>
      </w:r>
      <w:r>
        <w:rPr>
          <w:rFonts w:hint="eastAsia" w:ascii="宋体"/>
          <w:color w:val="auto"/>
          <w:szCs w:val="21"/>
          <w:highlight w:val="none"/>
          <w:lang w:val="en-US" w:eastAsia="zh-CN"/>
        </w:rPr>
        <w:t>5）</w:t>
      </w:r>
      <w:r>
        <w:rPr>
          <w:rFonts w:hint="eastAsia" w:ascii="宋体"/>
          <w:color w:val="auto"/>
          <w:szCs w:val="21"/>
          <w:highlight w:val="none"/>
        </w:rPr>
        <w:t>诚信投标承诺书（格式见附件）</w:t>
      </w:r>
      <w:r>
        <w:rPr>
          <w:rFonts w:hint="eastAsia" w:ascii="宋体"/>
          <w:color w:val="auto"/>
          <w:szCs w:val="21"/>
          <w:highlight w:val="none"/>
          <w:lang w:eastAsia="zh-CN"/>
        </w:rPr>
        <w:t>；</w:t>
      </w:r>
    </w:p>
    <w:p w14:paraId="290E930A">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t>（6）服务承诺书（格式见附件）；</w:t>
      </w:r>
    </w:p>
    <w:p w14:paraId="1ABA7B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t>（7）开标一览表（格式见附件）；</w:t>
      </w:r>
    </w:p>
    <w:p w14:paraId="231106B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t>（8）投标函（格式见附件）；</w:t>
      </w:r>
    </w:p>
    <w:p w14:paraId="4BE77C15">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t>（9）资信评审细则所须材料（如有）；</w:t>
      </w:r>
    </w:p>
    <w:p w14:paraId="2295139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t>（10）投标人认为需要提供的其他证明材料。</w:t>
      </w:r>
    </w:p>
    <w:p w14:paraId="71C0B728">
      <w:pPr>
        <w:pStyle w:val="2"/>
        <w:rPr>
          <w:rFonts w:hint="eastAsia"/>
          <w:color w:val="auto"/>
          <w:highlight w:val="none"/>
          <w:lang w:val="en-US" w:eastAsia="zh-CN"/>
        </w:rPr>
      </w:pPr>
    </w:p>
    <w:p w14:paraId="115BC9E9">
      <w:pPr>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br w:type="page"/>
      </w:r>
    </w:p>
    <w:p w14:paraId="322B9AD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Times New Roman" w:hAnsi="Times New Roman" w:eastAsia="宋体" w:cs="Times New Roman"/>
          <w:b/>
          <w:bCs w:val="0"/>
          <w:color w:val="auto"/>
          <w:kern w:val="0"/>
          <w:sz w:val="28"/>
          <w:szCs w:val="28"/>
          <w:highlight w:val="none"/>
          <w:u w:color="000000"/>
          <w:lang w:val="en-US" w:eastAsia="zh-CN" w:bidi="ar"/>
        </w:rPr>
        <w:t>1</w:t>
      </w:r>
    </w:p>
    <w:p w14:paraId="55C7FEC8">
      <w:pPr>
        <w:pStyle w:val="39"/>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7180079F">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470E2B55">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23849E40">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0BB0CC1">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0FEEBDF8">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0EE2E11D">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hAnsi="Times New Roman" w:eastAsia="宋体" w:cs="Times New Roman"/>
          <w:color w:val="auto"/>
          <w:sz w:val="24"/>
          <w:highlight w:val="none"/>
        </w:rPr>
        <w:t>姓</w:t>
      </w:r>
      <w:r>
        <w:rPr>
          <w:rFonts w:hint="eastAsia" w:ascii="宋体" w:hAnsi="Times New Roman" w:eastAsia="宋体" w:cs="Times New Roman"/>
          <w:color w:val="auto"/>
          <w:sz w:val="24"/>
          <w:highlight w:val="none"/>
          <w:lang w:val="en-US" w:eastAsia="zh-CN"/>
        </w:rPr>
        <w:t xml:space="preserve">   </w:t>
      </w:r>
      <w:r>
        <w:rPr>
          <w:rFonts w:hint="eastAsia" w:ascii="宋体" w:hAnsi="Times New Roman" w:eastAsia="宋体" w:cs="Times New Roman"/>
          <w:color w:val="auto"/>
          <w:sz w:val="24"/>
          <w:highlight w:val="none"/>
        </w:rPr>
        <w:t>名：</w:t>
      </w:r>
      <w:r>
        <w:rPr>
          <w:rFonts w:hint="eastAsia" w:ascii="宋体"/>
          <w:color w:val="auto"/>
          <w:sz w:val="24"/>
          <w:highlight w:val="none"/>
          <w:u w:val="single"/>
        </w:rPr>
        <w:t xml:space="preserve">          </w:t>
      </w:r>
      <w:r>
        <w:rPr>
          <w:rFonts w:hint="eastAsia" w:ascii="宋体" w:hAnsi="Times New Roman" w:eastAsia="宋体" w:cs="Times New Roman"/>
          <w:color w:val="auto"/>
          <w:sz w:val="24"/>
          <w:highlight w:val="none"/>
        </w:rPr>
        <w:t>身份证号码：</w:t>
      </w:r>
      <w:r>
        <w:rPr>
          <w:rFonts w:hint="eastAsia" w:ascii="宋体" w:hAnsi="Times New Roman" w:eastAsia="宋体" w:cs="Times New Roman"/>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lang w:eastAsia="zh-CN"/>
        </w:rPr>
        <w:t>，</w:t>
      </w: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2A03C779">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特此证明。</w:t>
      </w:r>
    </w:p>
    <w:p w14:paraId="6D5CFEA5">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盖</w:t>
      </w:r>
      <w:r>
        <w:rPr>
          <w:rFonts w:hint="eastAsia" w:ascii="宋体"/>
          <w:color w:val="auto"/>
          <w:sz w:val="24"/>
          <w:highlight w:val="none"/>
        </w:rPr>
        <w:t>章）</w:t>
      </w:r>
    </w:p>
    <w:p w14:paraId="2A9EDD8E">
      <w:pPr>
        <w:keepNext w:val="0"/>
        <w:keepLines w:val="0"/>
        <w:pageBreakBefore w:val="0"/>
        <w:kinsoku/>
        <w:wordWrap w:val="0"/>
        <w:overflowPunct/>
        <w:topLinePunct w:val="0"/>
        <w:autoSpaceDE/>
        <w:autoSpaceDN/>
        <w:bidi w:val="0"/>
        <w:adjustRightInd/>
        <w:snapToGrid/>
        <w:spacing w:line="400" w:lineRule="exact"/>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3B2754EB">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p>
    <w:p w14:paraId="10FC1AE7">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65AAFAB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60AE5F9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r>
        <w:rPr>
          <w:rFonts w:hint="eastAsia" w:ascii="宋体"/>
          <w:color w:val="auto"/>
          <w:sz w:val="24"/>
          <w:highlight w:val="none"/>
        </w:rPr>
        <w:t xml:space="preserve">                                </w:t>
      </w:r>
    </w:p>
    <w:p w14:paraId="7DDCE80E">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4"/>
          <w:szCs w:val="24"/>
          <w:highlight w:val="none"/>
          <w:u w:color="000000"/>
          <w:lang w:val="en-US" w:eastAsia="zh-CN" w:bidi="ar"/>
        </w:rPr>
        <w:t>代理人无转委托权，特此委托。</w:t>
      </w:r>
    </w:p>
    <w:p w14:paraId="5C3C7D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2468946A">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D22E09">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color w:val="auto"/>
          <w:sz w:val="24"/>
          <w:szCs w:val="24"/>
          <w:highlight w:val="none"/>
          <w:lang w:val="en-US"/>
        </w:rPr>
      </w:pPr>
    </w:p>
    <w:p w14:paraId="17D6295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 xml:space="preserve"> </w:t>
      </w:r>
    </w:p>
    <w:p w14:paraId="461863D3">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投标人（盖单位章）：</w:t>
      </w:r>
    </w:p>
    <w:p w14:paraId="18FCF528">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法定代表人（身份证号码）：           （签字或盖章）</w:t>
      </w:r>
    </w:p>
    <w:p w14:paraId="7BAC2EA4">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委托代理人（身份证号码）：           （签字或盖章）</w:t>
      </w:r>
    </w:p>
    <w:p w14:paraId="4381A720">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年    月    日</w:t>
      </w:r>
    </w:p>
    <w:p w14:paraId="425528E4">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69817EC3">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4C873332">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Calibri" w:hAnsi="Calibri" w:eastAsia="宋体" w:cs="Calibri"/>
          <w:b/>
          <w:bCs w:val="0"/>
          <w:color w:val="auto"/>
          <w:kern w:val="0"/>
          <w:sz w:val="28"/>
          <w:szCs w:val="28"/>
          <w:highlight w:val="none"/>
          <w:u w:color="000000"/>
          <w:lang w:val="en-US" w:eastAsia="zh-CN" w:bidi="ar"/>
        </w:rPr>
        <w:t>2</w:t>
      </w:r>
    </w:p>
    <w:p w14:paraId="26D41692">
      <w:pPr>
        <w:spacing w:line="360" w:lineRule="exact"/>
        <w:ind w:firstLine="413" w:firstLineChars="147"/>
        <w:jc w:val="center"/>
        <w:rPr>
          <w:rFonts w:hint="default" w:ascii="Calibri" w:hAnsi="Calibri" w:cs="Times New Roman"/>
          <w:b/>
          <w:bCs w:val="0"/>
          <w:color w:val="auto"/>
          <w:sz w:val="28"/>
          <w:szCs w:val="28"/>
          <w:highlight w:val="none"/>
          <w:lang w:val="en-US"/>
        </w:rPr>
      </w:pPr>
      <w:r>
        <w:rPr>
          <w:rFonts w:hint="eastAsia"/>
          <w:b/>
          <w:color w:val="auto"/>
          <w:sz w:val="28"/>
          <w:szCs w:val="28"/>
          <w:highlight w:val="none"/>
        </w:rPr>
        <w:t>诚信投标承诺书</w:t>
      </w:r>
    </w:p>
    <w:p w14:paraId="253BE7E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bookmarkStart w:id="90" w:name="_Toc425084385"/>
      <w:bookmarkStart w:id="91" w:name="_Toc451384148"/>
      <w:r>
        <w:rPr>
          <w:rFonts w:hint="eastAsia" w:ascii="宋体" w:hAnsi="宋体"/>
          <w:color w:val="auto"/>
          <w:szCs w:val="21"/>
          <w:highlight w:val="none"/>
        </w:rPr>
        <w:t>一、将遵循公</w:t>
      </w:r>
      <w:bookmarkStart w:id="92" w:name="_Toc506107356"/>
      <w:bookmarkStart w:id="93" w:name="_Toc503196197"/>
      <w:bookmarkStart w:id="94" w:name="_Toc26598"/>
      <w:r>
        <w:rPr>
          <w:rFonts w:hint="eastAsia" w:ascii="宋体" w:hAnsi="宋体"/>
          <w:color w:val="auto"/>
          <w:szCs w:val="21"/>
          <w:highlight w:val="none"/>
        </w:rPr>
        <w:t>开、公正和诚实信用</w:t>
      </w:r>
      <w:bookmarkEnd w:id="92"/>
      <w:bookmarkEnd w:id="93"/>
      <w:r>
        <w:rPr>
          <w:rFonts w:hint="eastAsia" w:ascii="宋体" w:hAnsi="宋体"/>
          <w:color w:val="auto"/>
          <w:szCs w:val="21"/>
          <w:highlight w:val="none"/>
        </w:rPr>
        <w:t>的</w:t>
      </w:r>
      <w:bookmarkEnd w:id="94"/>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14870B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1652E4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259FA2E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939E50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8F424C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没有下列情形： 1、被人民法院列入失信被执行人的；2、我公司及其法定代表人、拟任项目经理（建造师）前三年</w:t>
      </w:r>
      <w:r>
        <w:rPr>
          <w:rFonts w:hint="eastAsia" w:ascii="宋体" w:hAnsi="宋体"/>
          <w:color w:val="auto"/>
          <w:szCs w:val="21"/>
          <w:highlight w:val="none"/>
          <w:lang w:val="en-US" w:eastAsia="zh-CN"/>
        </w:rPr>
        <w:t>有</w:t>
      </w:r>
      <w:r>
        <w:rPr>
          <w:rFonts w:hint="eastAsia" w:ascii="宋体" w:hAnsi="宋体"/>
          <w:color w:val="auto"/>
          <w:szCs w:val="21"/>
          <w:highlight w:val="none"/>
        </w:rPr>
        <w:t>行贿犯罪</w:t>
      </w:r>
      <w:r>
        <w:rPr>
          <w:rFonts w:hint="eastAsia" w:ascii="宋体" w:hAnsi="宋体"/>
          <w:color w:val="auto"/>
          <w:szCs w:val="21"/>
          <w:highlight w:val="none"/>
          <w:lang w:val="en-US" w:eastAsia="zh-CN"/>
        </w:rPr>
        <w:t>行为</w:t>
      </w:r>
      <w:r>
        <w:rPr>
          <w:rFonts w:hint="eastAsia" w:ascii="宋体" w:hAnsi="宋体"/>
          <w:color w:val="auto"/>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52AA04A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73A8830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6B9A1EB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5963CE7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78CD6A7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auto"/>
          <w:szCs w:val="21"/>
          <w:highlight w:val="none"/>
          <w:lang w:eastAsia="zh-CN"/>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auto"/>
          <w:szCs w:val="21"/>
          <w:highlight w:val="none"/>
          <w:lang w:eastAsia="zh-CN"/>
        </w:rPr>
        <w:t>。</w:t>
      </w:r>
    </w:p>
    <w:p w14:paraId="0CA4DF2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2DA065D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w:t>
      </w:r>
    </w:p>
    <w:p w14:paraId="56D2F13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32AD8FE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3ED154B9">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23DB7AE">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br w:type="page"/>
      </w:r>
    </w:p>
    <w:p w14:paraId="612EFD6C">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eastAsia" w:ascii="Calibri" w:hAnsi="Calibri" w:eastAsia="宋体" w:cs="Calibri"/>
          <w:b/>
          <w:bCs w:val="0"/>
          <w:color w:val="auto"/>
          <w:kern w:val="0"/>
          <w:sz w:val="28"/>
          <w:szCs w:val="28"/>
          <w:highlight w:val="none"/>
          <w:u w:color="000000"/>
          <w:lang w:val="en-US" w:eastAsia="zh-CN" w:bidi="ar"/>
        </w:rPr>
        <w:t>3</w:t>
      </w:r>
    </w:p>
    <w:p w14:paraId="4316D2D2">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16F089B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rPr>
        <w:t>服务承诺书</w:t>
      </w:r>
    </w:p>
    <w:p w14:paraId="35B9A9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100F8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本承诺声明：（投标人名称</w:t>
      </w:r>
      <w:r>
        <w:rPr>
          <w:rFonts w:hint="eastAsia" w:ascii="宋体" w:hAnsi="宋体"/>
          <w:color w:val="auto"/>
          <w:sz w:val="24"/>
          <w:highlight w:val="none"/>
          <w:lang w:eastAsia="zh-CN"/>
        </w:rPr>
        <w:t>）</w:t>
      </w:r>
      <w:r>
        <w:rPr>
          <w:rFonts w:hint="eastAsia" w:ascii="宋体" w:hAnsi="宋体"/>
          <w:color w:val="auto"/>
          <w:sz w:val="24"/>
          <w:highlight w:val="none"/>
        </w:rPr>
        <w:t>对本招标文件所有要求完全响应</w:t>
      </w:r>
      <w:r>
        <w:rPr>
          <w:rFonts w:hint="eastAsia" w:ascii="宋体" w:hAnsi="宋体"/>
          <w:color w:val="auto"/>
          <w:sz w:val="24"/>
          <w:highlight w:val="none"/>
          <w:lang w:eastAsia="zh-CN"/>
        </w:rPr>
        <w:t>，</w:t>
      </w:r>
      <w:r>
        <w:rPr>
          <w:rFonts w:hint="eastAsia" w:ascii="宋体" w:hAnsi="宋体"/>
          <w:color w:val="auto"/>
          <w:sz w:val="24"/>
          <w:highlight w:val="none"/>
        </w:rPr>
        <w:t>若有幸中标将严格按照以上承诺进行服务。</w:t>
      </w:r>
      <w:r>
        <w:rPr>
          <w:rFonts w:hint="eastAsia" w:ascii="宋体" w:hAnsi="宋体"/>
          <w:color w:val="auto"/>
          <w:sz w:val="24"/>
          <w:highlight w:val="none"/>
          <w:lang w:val="en-US" w:eastAsia="zh-CN"/>
        </w:rPr>
        <w:t>若发现有偏离且不能按招标人要求调整的，招标人有权终止合同重新招标，我方承担因此产生的所有经济及工期责任。</w:t>
      </w:r>
    </w:p>
    <w:p w14:paraId="0FC3C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特此声明</w:t>
      </w:r>
      <w:r>
        <w:rPr>
          <w:rFonts w:hint="eastAsia" w:ascii="宋体" w:hAnsi="宋体"/>
          <w:color w:val="auto"/>
          <w:sz w:val="24"/>
          <w:highlight w:val="none"/>
          <w:lang w:eastAsia="zh-CN"/>
        </w:rPr>
        <w:t>。</w:t>
      </w:r>
    </w:p>
    <w:p w14:paraId="45D592E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111824B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5D6CDDE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13A9F9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5F14D2F7">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55BB874D">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0D739E7E">
      <w:pPr>
        <w:spacing w:line="400" w:lineRule="exact"/>
        <w:ind w:firstLine="482" w:firstLineChars="200"/>
        <w:rPr>
          <w:rFonts w:ascii="宋体" w:hAnsi="宋体"/>
          <w:b/>
          <w:color w:val="auto"/>
          <w:sz w:val="24"/>
          <w:highlight w:val="none"/>
        </w:rPr>
      </w:pPr>
    </w:p>
    <w:bookmarkEnd w:id="90"/>
    <w:bookmarkEnd w:id="91"/>
    <w:p w14:paraId="66D6134C">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684FD250">
      <w:pPr>
        <w:spacing w:line="400" w:lineRule="exact"/>
        <w:jc w:val="center"/>
        <w:rPr>
          <w:rFonts w:hint="eastAsia"/>
          <w:b/>
          <w:color w:val="auto"/>
          <w:sz w:val="36"/>
          <w:szCs w:val="36"/>
          <w:highlight w:val="none"/>
        </w:rPr>
      </w:pPr>
    </w:p>
    <w:p w14:paraId="4C4DA17A">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附件4</w:t>
      </w:r>
    </w:p>
    <w:p w14:paraId="782D2769">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auto"/>
          <w:sz w:val="32"/>
          <w:szCs w:val="32"/>
          <w:highlight w:val="none"/>
          <w:lang w:val="en-US"/>
        </w:rPr>
      </w:pPr>
      <w:r>
        <w:rPr>
          <w:rFonts w:hint="eastAsia" w:ascii="宋体" w:hAnsi="宋体" w:eastAsia="宋体" w:cs="宋体"/>
          <w:b/>
          <w:bCs w:val="0"/>
          <w:color w:val="auto"/>
          <w:kern w:val="0"/>
          <w:sz w:val="32"/>
          <w:szCs w:val="32"/>
          <w:highlight w:val="none"/>
          <w:u w:color="000000"/>
          <w:lang w:val="en-US" w:eastAsia="zh-CN" w:bidi="ar"/>
        </w:rPr>
        <w:t xml:space="preserve"> </w:t>
      </w:r>
    </w:p>
    <w:p w14:paraId="4F172AD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开标一览表</w:t>
      </w:r>
    </w:p>
    <w:p w14:paraId="1449C2F7">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CA50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B8AD91D">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33B9346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lang w:val="en-US"/>
              </w:rPr>
            </w:pPr>
            <w:r>
              <w:rPr>
                <w:rFonts w:hint="default" w:ascii="Times New Roman" w:hAnsi="Times New Roman" w:eastAsia="宋体" w:cs="Times New Roman"/>
                <w:color w:val="auto"/>
                <w:kern w:val="2"/>
                <w:sz w:val="24"/>
                <w:szCs w:val="24"/>
                <w:highlight w:val="none"/>
                <w:u w:color="000000"/>
                <w:lang w:val="en-US" w:eastAsia="zh-CN" w:bidi="ar"/>
              </w:rPr>
              <w:t xml:space="preserve">         </w:t>
            </w:r>
          </w:p>
        </w:tc>
      </w:tr>
      <w:tr w14:paraId="6E76D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2D5C2AA5">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64150064">
            <w:pPr>
              <w:pStyle w:val="15"/>
              <w:widowControl/>
              <w:spacing w:line="460" w:lineRule="exact"/>
              <w:ind w:left="86" w:leftChars="41"/>
              <w:rPr>
                <w:rFonts w:hint="eastAsia" w:ascii="宋体" w:hAnsi="Arial" w:eastAsia="宋体" w:cs="宋体"/>
                <w:color w:val="auto"/>
                <w:sz w:val="24"/>
                <w:szCs w:val="24"/>
                <w:highlight w:val="none"/>
                <w:lang w:val="en-US"/>
              </w:rPr>
            </w:pPr>
          </w:p>
        </w:tc>
      </w:tr>
      <w:tr w14:paraId="5C940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1D9FBA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2"/>
                <w:sz w:val="24"/>
                <w:szCs w:val="24"/>
                <w:highlight w:val="none"/>
                <w:lang w:val="en-US"/>
              </w:rPr>
            </w:pPr>
            <w:r>
              <w:rPr>
                <w:rFonts w:hint="eastAsia" w:ascii="宋体"/>
                <w:color w:val="auto"/>
                <w:sz w:val="24"/>
                <w:highlight w:val="none"/>
              </w:rPr>
              <w:t>投标</w:t>
            </w:r>
            <w:r>
              <w:rPr>
                <w:rFonts w:hint="eastAsia" w:ascii="宋体"/>
                <w:color w:val="auto"/>
                <w:sz w:val="24"/>
                <w:highlight w:val="none"/>
                <w:lang w:val="en-US" w:eastAsia="zh-CN"/>
              </w:rPr>
              <w:t>报</w:t>
            </w:r>
            <w:r>
              <w:rPr>
                <w:rFonts w:hint="eastAsia" w:ascii="宋体"/>
                <w:color w:val="auto"/>
                <w:sz w:val="24"/>
                <w:highlight w:val="none"/>
              </w:rPr>
              <w:t>价</w:t>
            </w:r>
            <w:r>
              <w:rPr>
                <w:rFonts w:hint="eastAsia" w:ascii="宋体"/>
                <w:color w:val="auto"/>
                <w:sz w:val="24"/>
                <w:highlight w:val="none"/>
                <w:lang w:eastAsia="zh-CN"/>
              </w:rPr>
              <w:t>（</w:t>
            </w:r>
            <w:r>
              <w:rPr>
                <w:rFonts w:hint="eastAsia" w:ascii="宋体"/>
                <w:color w:val="auto"/>
                <w:sz w:val="24"/>
                <w:highlight w:val="none"/>
                <w:lang w:val="en-US" w:eastAsia="zh-CN"/>
              </w:rPr>
              <w:t>元）</w:t>
            </w:r>
            <w:r>
              <w:rPr>
                <w:rFonts w:hint="eastAsia" w:ascii="宋体"/>
                <w:color w:val="auto"/>
                <w:sz w:val="24"/>
                <w:highlight w:val="none"/>
              </w:rPr>
              <w:t>\</w:t>
            </w:r>
            <w:r>
              <w:rPr>
                <w:rFonts w:hint="eastAsia" w:ascii="宋体"/>
                <w:color w:val="auto"/>
                <w:sz w:val="24"/>
                <w:highlight w:val="none"/>
                <w:lang w:val="en-US" w:eastAsia="zh-CN"/>
              </w:rPr>
              <w:t>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A8903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eastAsia" w:ascii="宋体" w:hAnsi="Times New Roman" w:eastAsia="宋体" w:cs="Times New Roman"/>
                <w:color w:val="auto"/>
                <w:sz w:val="24"/>
                <w:highlight w:val="none"/>
                <w:lang w:val="en-US" w:eastAsia="zh-CN"/>
              </w:rPr>
            </w:pPr>
            <w:r>
              <w:rPr>
                <w:rFonts w:hint="eastAsia" w:ascii="宋体" w:hAnsi="Times New Roman" w:eastAsia="宋体" w:cs="Times New Roman"/>
                <w:color w:val="auto"/>
                <w:sz w:val="24"/>
                <w:highlight w:val="none"/>
                <w:lang w:val="en-US" w:eastAsia="zh-CN"/>
              </w:rPr>
              <w:t>投标总报价</w:t>
            </w:r>
            <w:r>
              <w:rPr>
                <w:rFonts w:hint="eastAsia" w:ascii="宋体" w:hAnsi="Times New Roman" w:eastAsia="宋体" w:cs="Times New Roman"/>
                <w:color w:val="auto"/>
                <w:sz w:val="24"/>
                <w:highlight w:val="none"/>
              </w:rPr>
              <w:t>(</w:t>
            </w:r>
            <w:r>
              <w:rPr>
                <w:rFonts w:hint="eastAsia" w:ascii="宋体" w:hAnsi="Times New Roman" w:eastAsia="宋体" w:cs="Times New Roman"/>
                <w:color w:val="auto"/>
                <w:sz w:val="24"/>
                <w:highlight w:val="none"/>
                <w:lang w:val="en-US" w:eastAsia="zh-CN"/>
              </w:rPr>
              <w:t>大</w:t>
            </w:r>
            <w:r>
              <w:rPr>
                <w:rFonts w:hint="eastAsia" w:ascii="宋体" w:hAnsi="Times New Roman" w:eastAsia="宋体" w:cs="Times New Roman"/>
                <w:color w:val="auto"/>
                <w:sz w:val="24"/>
                <w:highlight w:val="none"/>
              </w:rPr>
              <w:t>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w:t>
            </w:r>
            <w:r>
              <w:rPr>
                <w:rFonts w:hint="eastAsia" w:ascii="宋体" w:hAnsi="Times New Roman" w:eastAsia="宋体" w:cs="Times New Roman"/>
                <w:color w:val="auto"/>
                <w:sz w:val="24"/>
                <w:highlight w:val="none"/>
              </w:rPr>
              <w:t>(小写) ：</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元（其中安徽省琅琊山旅游发展有限公司财务报表审计费为：</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元；安徽省琅琊山商贸发展有限公司财务报表审计费为：</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元；安徽省琅耶山健身休闲有限公司：</w:t>
            </w:r>
            <w:r>
              <w:rPr>
                <w:rFonts w:hint="eastAsia" w:ascii="宋体" w:hAnsi="Times New Roman" w:eastAsia="宋体" w:cs="Times New Roman"/>
                <w:color w:val="auto"/>
                <w:sz w:val="24"/>
                <w:highlight w:val="none"/>
                <w:u w:val="single"/>
                <w:lang w:val="en-US" w:eastAsia="zh-CN"/>
              </w:rPr>
              <w:t xml:space="preserve">          </w:t>
            </w:r>
            <w:r>
              <w:rPr>
                <w:rFonts w:hint="eastAsia" w:ascii="宋体" w:hAnsi="Times New Roman" w:eastAsia="宋体" w:cs="Times New Roman"/>
                <w:color w:val="auto"/>
                <w:sz w:val="24"/>
                <w:highlight w:val="none"/>
                <w:lang w:val="en-US" w:eastAsia="zh-CN"/>
              </w:rPr>
              <w:t>元）。</w:t>
            </w:r>
          </w:p>
          <w:p w14:paraId="37F25B58">
            <w:pPr>
              <w:pStyle w:val="9"/>
              <w:ind w:left="0" w:leftChars="0" w:firstLine="0" w:firstLineChars="0"/>
              <w:rPr>
                <w:rFonts w:hint="eastAsia"/>
                <w:color w:val="auto"/>
                <w:highlight w:val="none"/>
                <w:lang w:val="en-US" w:eastAsia="zh-CN"/>
              </w:rPr>
            </w:pPr>
          </w:p>
          <w:p w14:paraId="23409A2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eastAsia" w:ascii="仿宋" w:hAnsi="仿宋" w:eastAsia="仿宋" w:cs="仿宋"/>
                <w:color w:val="auto"/>
                <w:sz w:val="24"/>
                <w:szCs w:val="24"/>
                <w:highlight w:val="none"/>
                <w:u w:val="none" w:color="auto"/>
                <w:lang w:val="en-US" w:eastAsia="zh-CN"/>
              </w:rPr>
            </w:pPr>
            <w:r>
              <w:rPr>
                <w:rFonts w:hint="eastAsia" w:ascii="宋体"/>
                <w:color w:val="auto"/>
                <w:sz w:val="24"/>
                <w:highlight w:val="none"/>
                <w:lang w:val="en-US" w:eastAsia="zh-CN"/>
              </w:rPr>
              <w:t>服务期</w:t>
            </w:r>
            <w:r>
              <w:rPr>
                <w:rFonts w:hint="eastAsia" w:ascii="宋体" w:hAnsi="Times New Roman" w:eastAsia="宋体" w:cs="Times New Roman"/>
                <w:color w:val="auto"/>
                <w:sz w:val="24"/>
                <w:highlight w:val="none"/>
              </w:rPr>
              <w:t>：</w:t>
            </w:r>
            <w:r>
              <w:rPr>
                <w:rFonts w:hint="eastAsia" w:ascii="仿宋" w:hAnsi="仿宋" w:eastAsia="仿宋" w:cs="仿宋"/>
                <w:color w:val="auto"/>
                <w:sz w:val="24"/>
                <w:szCs w:val="24"/>
                <w:highlight w:val="none"/>
                <w:u w:val="none" w:color="auto"/>
                <w:lang w:val="en-US" w:eastAsia="zh-CN"/>
              </w:rPr>
              <w:t>中标人进场后30日内完成2024年度财务报表及财务收支审计工作。2025年、2026年的每年3月30日前完成前一年度财务报表及财务收支审计工作。最终提供正式审计报告1式4份。</w:t>
            </w:r>
          </w:p>
          <w:p w14:paraId="4FC15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color w:val="auto"/>
                <w:kern w:val="2"/>
                <w:sz w:val="24"/>
                <w:szCs w:val="24"/>
                <w:highlight w:val="none"/>
                <w:lang w:val="en-US"/>
              </w:rPr>
            </w:pPr>
          </w:p>
        </w:tc>
      </w:tr>
    </w:tbl>
    <w:p w14:paraId="21E4D713">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p>
    <w:p w14:paraId="44CD549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法定代表人或授权委托人（签字或盖章）：         投标人（盖章）：</w:t>
      </w:r>
    </w:p>
    <w:p w14:paraId="2F2578D1">
      <w:pPr>
        <w:keepNext w:val="0"/>
        <w:keepLines w:val="0"/>
        <w:widowControl/>
        <w:suppressLineNumbers w:val="0"/>
        <w:snapToGrid w:val="0"/>
        <w:spacing w:before="312" w:beforeLines="100" w:beforeAutospacing="0" w:after="312" w:afterLines="100" w:afterAutospacing="0" w:line="360" w:lineRule="auto"/>
        <w:ind w:left="0" w:right="0"/>
        <w:jc w:val="center"/>
        <w:rPr>
          <w:color w:val="auto"/>
          <w:highlight w:val="none"/>
          <w:lang w:val="en-US"/>
        </w:rPr>
      </w:pPr>
      <w:r>
        <w:rPr>
          <w:rFonts w:hint="eastAsia" w:ascii="宋体" w:hAnsi="宋体" w:eastAsia="宋体" w:cs="宋体"/>
          <w:color w:val="auto"/>
          <w:kern w:val="0"/>
          <w:sz w:val="24"/>
          <w:szCs w:val="24"/>
          <w:highlight w:val="none"/>
          <w:u w:color="000000"/>
          <w:lang w:val="en-US" w:eastAsia="zh-CN" w:bidi="ar"/>
        </w:rPr>
        <w:t xml:space="preserve">                                      日  期：    年   月   日 </w:t>
      </w:r>
    </w:p>
    <w:p w14:paraId="08536B36">
      <w:pPr>
        <w:spacing w:line="360" w:lineRule="auto"/>
        <w:rPr>
          <w:rFonts w:hint="eastAsia" w:ascii="宋体" w:hAnsi="宋体" w:eastAsia="宋体" w:cs="宋体"/>
          <w:b/>
          <w:bCs w:val="0"/>
          <w:color w:val="auto"/>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91B008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附件5</w:t>
      </w:r>
    </w:p>
    <w:p w14:paraId="721DBFF2">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36"/>
          <w:szCs w:val="36"/>
          <w:highlight w:val="none"/>
          <w:u w:color="000000"/>
          <w:lang w:val="en-US" w:eastAsia="zh-CN" w:bidi="ar"/>
        </w:rPr>
        <w:t>投  标  函</w:t>
      </w:r>
    </w:p>
    <w:p w14:paraId="651E9B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 xml:space="preserve">)       </w:t>
      </w:r>
      <w:r>
        <w:rPr>
          <w:rFonts w:hint="eastAsia" w:ascii="宋体"/>
          <w:color w:val="auto"/>
          <w:sz w:val="24"/>
          <w:highlight w:val="none"/>
        </w:rPr>
        <w:t xml:space="preserve"> </w:t>
      </w:r>
    </w:p>
    <w:p w14:paraId="655F9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auto"/>
          <w:sz w:val="24"/>
          <w:highlight w:val="none"/>
        </w:rPr>
      </w:pPr>
      <w:r>
        <w:rPr>
          <w:rFonts w:hint="eastAsia" w:ascii="宋体"/>
          <w:color w:val="auto"/>
          <w:sz w:val="24"/>
          <w:highlight w:val="none"/>
        </w:rPr>
        <w:t>1.我们决定参加贵单位组织的“</w:t>
      </w:r>
      <w:r>
        <w:rPr>
          <w:rFonts w:hint="eastAsia" w:ascii="宋体"/>
          <w:color w:val="auto"/>
          <w:sz w:val="24"/>
          <w:highlight w:val="none"/>
          <w:u w:val="single"/>
        </w:rPr>
        <w:t xml:space="preserve"> （项目名称）    </w:t>
      </w:r>
      <w:r>
        <w:rPr>
          <w:rFonts w:hint="eastAsia" w:ascii="宋体"/>
          <w:color w:val="auto"/>
          <w:sz w:val="24"/>
          <w:highlight w:val="none"/>
        </w:rPr>
        <w:t>”的</w:t>
      </w:r>
      <w:r>
        <w:rPr>
          <w:rFonts w:hint="eastAsia" w:ascii="宋体"/>
          <w:color w:val="auto"/>
          <w:sz w:val="24"/>
          <w:highlight w:val="none"/>
          <w:lang w:val="en-US" w:eastAsia="zh-CN"/>
        </w:rPr>
        <w:t>招标</w:t>
      </w:r>
      <w:r>
        <w:rPr>
          <w:rFonts w:hint="eastAsia" w:ascii="宋体"/>
          <w:color w:val="auto"/>
          <w:sz w:val="24"/>
          <w:highlight w:val="none"/>
        </w:rPr>
        <w:t xml:space="preserve">。我方授权 </w:t>
      </w:r>
      <w:r>
        <w:rPr>
          <w:rFonts w:hint="eastAsia" w:ascii="宋体"/>
          <w:color w:val="auto"/>
          <w:sz w:val="24"/>
          <w:highlight w:val="none"/>
          <w:u w:val="single"/>
        </w:rPr>
        <w:t xml:space="preserve">              </w:t>
      </w:r>
      <w:r>
        <w:rPr>
          <w:rFonts w:hint="eastAsia" w:ascii="宋体"/>
          <w:color w:val="auto"/>
          <w:sz w:val="24"/>
          <w:highlight w:val="none"/>
        </w:rPr>
        <w:t>(姓名和职务)代表我方</w:t>
      </w:r>
      <w:r>
        <w:rPr>
          <w:rFonts w:hint="eastAsia" w:ascii="宋体"/>
          <w:color w:val="auto"/>
          <w:sz w:val="24"/>
          <w:highlight w:val="none"/>
          <w:u w:val="single"/>
        </w:rPr>
        <w:t xml:space="preserve">               </w:t>
      </w:r>
      <w:r>
        <w:rPr>
          <w:rFonts w:hint="eastAsia" w:ascii="宋体"/>
          <w:color w:val="auto"/>
          <w:sz w:val="24"/>
          <w:highlight w:val="none"/>
        </w:rPr>
        <w:t>（投标人的名称）全权处理本项目投标的有关事宜。</w:t>
      </w:r>
    </w:p>
    <w:p w14:paraId="4751FF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2.我方愿意按照招标文件规定的各项要求，向</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 xml:space="preserve">提供“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24"/>
          <w:highlight w:val="none"/>
        </w:rPr>
        <w:t>）”项目的服务，我方愿以</w:t>
      </w:r>
      <w:r>
        <w:rPr>
          <w:rFonts w:hint="eastAsia" w:ascii="宋体" w:hAnsi="宋体" w:eastAsia="宋体" w:cs="宋体"/>
          <w:color w:val="auto"/>
          <w:sz w:val="24"/>
          <w:szCs w:val="24"/>
          <w:highlight w:val="none"/>
          <w:lang w:val="en-US" w:eastAsia="zh-CN"/>
        </w:rPr>
        <w:t>投标报价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rPr>
        <w:t>承</w:t>
      </w:r>
      <w:r>
        <w:rPr>
          <w:rFonts w:hint="eastAsia" w:ascii="宋体" w:hAnsi="宋体" w:eastAsia="宋体" w:cs="宋体"/>
          <w:color w:val="auto"/>
          <w:sz w:val="24"/>
          <w:szCs w:val="24"/>
          <w:highlight w:val="none"/>
          <w:lang w:val="en-US" w:eastAsia="zh-CN"/>
        </w:rPr>
        <w:t>包</w:t>
      </w:r>
      <w:r>
        <w:rPr>
          <w:rFonts w:hint="eastAsia" w:ascii="宋体" w:hAnsi="宋体" w:eastAsia="宋体" w:cs="宋体"/>
          <w:color w:val="auto"/>
          <w:sz w:val="24"/>
          <w:szCs w:val="24"/>
          <w:highlight w:val="none"/>
        </w:rPr>
        <w:t>上述</w:t>
      </w:r>
      <w:r>
        <w:rPr>
          <w:rFonts w:hint="eastAsia" w:ascii="宋体" w:hAnsi="宋体" w:eastAsia="宋体" w:cs="宋体"/>
          <w:color w:val="auto"/>
          <w:sz w:val="24"/>
          <w:szCs w:val="24"/>
          <w:highlight w:val="none"/>
          <w:lang w:val="en-US" w:eastAsia="zh-CN"/>
        </w:rPr>
        <w:t>项目</w:t>
      </w:r>
      <w:r>
        <w:rPr>
          <w:rFonts w:hint="eastAsia" w:ascii="宋体" w:hAnsi="Times New Roman" w:eastAsia="宋体" w:cs="Times New Roman"/>
          <w:color w:val="auto"/>
          <w:sz w:val="24"/>
          <w:highlight w:val="none"/>
          <w:lang w:val="en-US" w:eastAsia="zh-CN"/>
        </w:rPr>
        <w:t>服务</w:t>
      </w:r>
      <w:r>
        <w:rPr>
          <w:rFonts w:hint="eastAsia" w:ascii="宋体" w:hAnsi="宋体" w:eastAsia="宋体" w:cs="宋体"/>
          <w:color w:val="auto"/>
          <w:sz w:val="21"/>
          <w:szCs w:val="21"/>
          <w:highlight w:val="none"/>
          <w:lang w:val="en-US" w:eastAsia="zh-CN"/>
        </w:rPr>
        <w:t>。</w:t>
      </w:r>
    </w:p>
    <w:p w14:paraId="615B5F73">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rPr>
      </w:pPr>
      <w:r>
        <w:rPr>
          <w:rFonts w:hint="eastAsia" w:ascii="宋体"/>
          <w:color w:val="auto"/>
          <w:sz w:val="24"/>
          <w:szCs w:val="24"/>
          <w:highlight w:val="none"/>
        </w:rPr>
        <w:t>3.</w:t>
      </w:r>
      <w:r>
        <w:rPr>
          <w:rFonts w:hint="eastAsia" w:ascii="宋体" w:hAnsi="宋体" w:cs="宋体"/>
          <w:color w:val="auto"/>
          <w:sz w:val="24"/>
          <w:szCs w:val="24"/>
          <w:highlight w:val="none"/>
        </w:rPr>
        <w:t>本项目投标有效期为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rPr>
        <w:t xml:space="preserve">0  </w:t>
      </w:r>
      <w:r>
        <w:rPr>
          <w:rFonts w:hint="eastAsia" w:ascii="宋体" w:hAnsi="宋体" w:cs="宋体"/>
          <w:color w:val="auto"/>
          <w:sz w:val="24"/>
          <w:szCs w:val="24"/>
          <w:highlight w:val="none"/>
        </w:rPr>
        <w:t>日历天（从投标截止之日算起）。</w:t>
      </w:r>
    </w:p>
    <w:p w14:paraId="72BF0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auto"/>
          <w:sz w:val="24"/>
          <w:highlight w:val="none"/>
        </w:rPr>
      </w:pPr>
      <w:r>
        <w:rPr>
          <w:rFonts w:hint="eastAsia" w:ascii="宋体"/>
          <w:color w:val="auto"/>
          <w:sz w:val="24"/>
          <w:highlight w:val="none"/>
        </w:rPr>
        <w:t>4.一旦我方成为合同签字人，我方将严格履行合同规定的责任和义务。</w:t>
      </w:r>
    </w:p>
    <w:p w14:paraId="182E18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color w:val="auto"/>
          <w:sz w:val="24"/>
          <w:highlight w:val="none"/>
        </w:rPr>
      </w:pPr>
      <w:r>
        <w:rPr>
          <w:rFonts w:hint="eastAsia" w:ascii="宋体"/>
          <w:color w:val="auto"/>
          <w:sz w:val="24"/>
          <w:highlight w:val="none"/>
          <w:lang w:val="en-US" w:eastAsia="zh-CN"/>
        </w:rPr>
        <w:t>5</w:t>
      </w:r>
      <w:r>
        <w:rPr>
          <w:rFonts w:hint="eastAsia" w:ascii="宋体"/>
          <w:color w:val="auto"/>
          <w:sz w:val="24"/>
          <w:highlight w:val="none"/>
        </w:rPr>
        <w:t>.</w:t>
      </w:r>
      <w:r>
        <w:rPr>
          <w:rFonts w:hint="eastAsia" w:ascii="宋体" w:hAnsi="宋体" w:eastAsia="宋体" w:cs="宋体"/>
          <w:color w:val="auto"/>
          <w:kern w:val="0"/>
          <w:sz w:val="24"/>
          <w:szCs w:val="24"/>
          <w:highlight w:val="none"/>
          <w:u w:color="000000"/>
          <w:lang w:val="en-US" w:eastAsia="zh-CN" w:bidi="ar"/>
        </w:rPr>
        <w:t>我方愿意提供可能另外要求的、与投标有关的文件资料，并保证我方已提供和将要提供的文件是真实的、准确的。</w:t>
      </w:r>
    </w:p>
    <w:p w14:paraId="392014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color w:val="auto"/>
          <w:sz w:val="24"/>
          <w:highlight w:val="none"/>
          <w:lang w:val="en-US" w:eastAsia="zh-CN"/>
        </w:rPr>
        <w:t>6</w:t>
      </w:r>
      <w:r>
        <w:rPr>
          <w:rFonts w:hint="eastAsia" w:ascii="宋体"/>
          <w:color w:val="auto"/>
          <w:sz w:val="24"/>
          <w:highlight w:val="none"/>
        </w:rPr>
        <w:t>.我单位提供如下通讯地址：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7EDF0A2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37F05E9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0E28A6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083A9AC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6E4B0D90">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2BB6476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06CCB4E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p w14:paraId="65F0C4C4">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p>
    <w:p w14:paraId="49E0EB39">
      <w:pPr>
        <w:rPr>
          <w:rFonts w:hint="eastAsia" w:asciiTheme="majorEastAsia" w:hAnsiTheme="majorEastAsia" w:eastAsiaTheme="majorEastAsia" w:cstheme="majorEastAsia"/>
          <w:b/>
          <w:bCs w:val="0"/>
          <w:color w:val="auto"/>
          <w:sz w:val="32"/>
          <w:szCs w:val="32"/>
          <w:highlight w:val="none"/>
          <w:lang w:eastAsia="zh-CN"/>
        </w:rPr>
      </w:pPr>
      <w:bookmarkStart w:id="95" w:name="_Toc6275_WPSOffice_Level1"/>
      <w:bookmarkEnd w:id="95"/>
      <w:r>
        <w:rPr>
          <w:rFonts w:hint="eastAsia" w:asciiTheme="majorEastAsia" w:hAnsiTheme="majorEastAsia" w:eastAsiaTheme="majorEastAsia" w:cstheme="majorEastAsia"/>
          <w:b/>
          <w:bCs w:val="0"/>
          <w:color w:val="auto"/>
          <w:sz w:val="32"/>
          <w:szCs w:val="32"/>
          <w:highlight w:val="none"/>
          <w:lang w:eastAsia="zh-CN"/>
        </w:rPr>
        <w:br w:type="page"/>
      </w:r>
    </w:p>
    <w:p w14:paraId="07298A4E">
      <w:pPr>
        <w:pStyle w:val="22"/>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八</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招标人、招标代理机构对本招标文件的确认</w:t>
      </w:r>
    </w:p>
    <w:tbl>
      <w:tblPr>
        <w:tblStyle w:val="24"/>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551ED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38E593A3">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48694206">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000000"/>
                <w:lang w:val="en-US" w:eastAsia="zh-CN" w:bidi="ar"/>
              </w:rPr>
              <w:t>安徽省琅琊山旅游发展有限公司及子公司(安徽省琅琊山商贸发展有限公司、安徽省琅耶山健身休闲有限公司）2024年-2026年财务报表及财务收支审计项目</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14:paraId="58D13657">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招标人：安徽省琅琊山旅游发展有限公司 </w:t>
            </w:r>
          </w:p>
          <w:p w14:paraId="4D2F41ED">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联系人：张培琦</w:t>
            </w:r>
          </w:p>
          <w:p w14:paraId="1A38C8B6">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联系电话：18255011285</w:t>
            </w:r>
          </w:p>
          <w:p w14:paraId="4C403E71">
            <w:pPr>
              <w:keepNext w:val="0"/>
              <w:keepLines w:val="0"/>
              <w:widowControl/>
              <w:suppressLineNumbers w:val="0"/>
              <w:spacing w:before="0" w:beforeAutospacing="0" w:after="0" w:afterAutospacing="0" w:line="440" w:lineRule="exact"/>
              <w:ind w:left="0" w:right="0" w:firstLine="1680" w:firstLineChars="6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  </w:t>
            </w:r>
          </w:p>
          <w:p w14:paraId="1F0481C5">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2E6A3926">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27481401">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5E715B48">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2025年5月</w:t>
            </w:r>
          </w:p>
          <w:p w14:paraId="2CC57F24">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14:paraId="0EB3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35AEEE8D">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14:paraId="3553AEA0">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14:paraId="0610C9E9">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经办人：王芳</w:t>
            </w:r>
          </w:p>
          <w:p w14:paraId="57321875">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电话：0550-3519519、18955055067</w:t>
            </w:r>
          </w:p>
          <w:p w14:paraId="7522F25E">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37702C0E">
            <w:pPr>
              <w:pStyle w:val="2"/>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14:paraId="5FAAEEE8">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14:paraId="338ACF62">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161EDE1A">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6149851B">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2025年5月</w:t>
            </w:r>
          </w:p>
        </w:tc>
      </w:tr>
    </w:tbl>
    <w:p w14:paraId="02169600">
      <w:pPr>
        <w:rPr>
          <w:rFonts w:hint="eastAsia" w:asciiTheme="majorEastAsia" w:hAnsiTheme="majorEastAsia" w:eastAsiaTheme="majorEastAsia" w:cstheme="majorEastAsia"/>
          <w:color w:val="auto"/>
          <w:highlight w:val="none"/>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61020">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FD8A0">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F7FD8A0">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D7276">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EDED0">
                          <w:pPr>
                            <w:pStyle w:val="16"/>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3EDED0">
                    <w:pPr>
                      <w:pStyle w:val="16"/>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6FBF3256"/>
    <w:multiLevelType w:val="multilevel"/>
    <w:tmpl w:val="6FBF3256"/>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4A495E"/>
    <w:multiLevelType w:val="singleLevel"/>
    <w:tmpl w:val="7E4A495E"/>
    <w:lvl w:ilvl="0" w:tentative="0">
      <w:start w:val="5"/>
      <w:numFmt w:val="chineseCounting"/>
      <w:suff w:val="space"/>
      <w:lvlText w:val="第%1章"/>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56748A"/>
    <w:rsid w:val="00950983"/>
    <w:rsid w:val="01D118B5"/>
    <w:rsid w:val="01E872A1"/>
    <w:rsid w:val="01F1594A"/>
    <w:rsid w:val="032031D0"/>
    <w:rsid w:val="03977E2B"/>
    <w:rsid w:val="05026925"/>
    <w:rsid w:val="05A818A3"/>
    <w:rsid w:val="065E0D46"/>
    <w:rsid w:val="06D54ED0"/>
    <w:rsid w:val="076A2524"/>
    <w:rsid w:val="07774E2B"/>
    <w:rsid w:val="07C425FF"/>
    <w:rsid w:val="09D71F94"/>
    <w:rsid w:val="0AFF501E"/>
    <w:rsid w:val="0B286E8D"/>
    <w:rsid w:val="0B8B6271"/>
    <w:rsid w:val="0C13765A"/>
    <w:rsid w:val="0C1741FF"/>
    <w:rsid w:val="0CEF01A1"/>
    <w:rsid w:val="0D027CEC"/>
    <w:rsid w:val="0D4228C9"/>
    <w:rsid w:val="0EBB3464"/>
    <w:rsid w:val="0EC559EB"/>
    <w:rsid w:val="0F5A3543"/>
    <w:rsid w:val="101C4945"/>
    <w:rsid w:val="11273F56"/>
    <w:rsid w:val="11795E61"/>
    <w:rsid w:val="12431559"/>
    <w:rsid w:val="14334ED5"/>
    <w:rsid w:val="14DF1632"/>
    <w:rsid w:val="156D5A04"/>
    <w:rsid w:val="162403C8"/>
    <w:rsid w:val="16866EBE"/>
    <w:rsid w:val="17F75F65"/>
    <w:rsid w:val="1A2C0203"/>
    <w:rsid w:val="1B0B6A26"/>
    <w:rsid w:val="1BC65E20"/>
    <w:rsid w:val="1CF617FA"/>
    <w:rsid w:val="1D943902"/>
    <w:rsid w:val="1DD7722D"/>
    <w:rsid w:val="1E474369"/>
    <w:rsid w:val="1E767AD1"/>
    <w:rsid w:val="1FBE5586"/>
    <w:rsid w:val="2035457B"/>
    <w:rsid w:val="204506D8"/>
    <w:rsid w:val="20DE3A7A"/>
    <w:rsid w:val="20F63292"/>
    <w:rsid w:val="21391D2B"/>
    <w:rsid w:val="21FC6157"/>
    <w:rsid w:val="222D5B93"/>
    <w:rsid w:val="224341EE"/>
    <w:rsid w:val="239955A4"/>
    <w:rsid w:val="23DA776F"/>
    <w:rsid w:val="24F26ACC"/>
    <w:rsid w:val="253813EE"/>
    <w:rsid w:val="27427F5F"/>
    <w:rsid w:val="274934B9"/>
    <w:rsid w:val="278542BB"/>
    <w:rsid w:val="287E4991"/>
    <w:rsid w:val="2A68414C"/>
    <w:rsid w:val="2E0B6A2C"/>
    <w:rsid w:val="2E42138D"/>
    <w:rsid w:val="32013042"/>
    <w:rsid w:val="323852C9"/>
    <w:rsid w:val="326F45EB"/>
    <w:rsid w:val="32812567"/>
    <w:rsid w:val="344F5EC1"/>
    <w:rsid w:val="36F154C9"/>
    <w:rsid w:val="37F42885"/>
    <w:rsid w:val="3A1F1E78"/>
    <w:rsid w:val="3D7F110E"/>
    <w:rsid w:val="3D8B68BD"/>
    <w:rsid w:val="3F0D0952"/>
    <w:rsid w:val="3F3A5217"/>
    <w:rsid w:val="3FB84DD6"/>
    <w:rsid w:val="3FDC1609"/>
    <w:rsid w:val="40585B1F"/>
    <w:rsid w:val="40E262C9"/>
    <w:rsid w:val="418A5FFE"/>
    <w:rsid w:val="41C76417"/>
    <w:rsid w:val="42AB7679"/>
    <w:rsid w:val="42F933B2"/>
    <w:rsid w:val="438E7816"/>
    <w:rsid w:val="43E358A1"/>
    <w:rsid w:val="440F4D94"/>
    <w:rsid w:val="44121234"/>
    <w:rsid w:val="45132EF4"/>
    <w:rsid w:val="45602117"/>
    <w:rsid w:val="46501639"/>
    <w:rsid w:val="474318BA"/>
    <w:rsid w:val="47DC16A5"/>
    <w:rsid w:val="491938C4"/>
    <w:rsid w:val="49560276"/>
    <w:rsid w:val="4B8A2C90"/>
    <w:rsid w:val="4C3857CB"/>
    <w:rsid w:val="4F522371"/>
    <w:rsid w:val="4FA1515E"/>
    <w:rsid w:val="510E11AC"/>
    <w:rsid w:val="51EE0E17"/>
    <w:rsid w:val="536D4E93"/>
    <w:rsid w:val="5523352E"/>
    <w:rsid w:val="56EF4104"/>
    <w:rsid w:val="57D3727A"/>
    <w:rsid w:val="58387F0B"/>
    <w:rsid w:val="5AB972A9"/>
    <w:rsid w:val="5AC41FE9"/>
    <w:rsid w:val="5C071316"/>
    <w:rsid w:val="5D2B5019"/>
    <w:rsid w:val="5D7002D3"/>
    <w:rsid w:val="5E263388"/>
    <w:rsid w:val="604D11B9"/>
    <w:rsid w:val="611E1EFE"/>
    <w:rsid w:val="614F38C7"/>
    <w:rsid w:val="62446173"/>
    <w:rsid w:val="62C47C43"/>
    <w:rsid w:val="6509245E"/>
    <w:rsid w:val="668A652A"/>
    <w:rsid w:val="672152A7"/>
    <w:rsid w:val="67DC5256"/>
    <w:rsid w:val="697C7043"/>
    <w:rsid w:val="699368D6"/>
    <w:rsid w:val="6EA934B6"/>
    <w:rsid w:val="6F4A28D0"/>
    <w:rsid w:val="706E041E"/>
    <w:rsid w:val="70C02467"/>
    <w:rsid w:val="72A03324"/>
    <w:rsid w:val="739B6F6A"/>
    <w:rsid w:val="741C4DD8"/>
    <w:rsid w:val="746B63CF"/>
    <w:rsid w:val="746C0AE0"/>
    <w:rsid w:val="74C85615"/>
    <w:rsid w:val="75843174"/>
    <w:rsid w:val="760F0C92"/>
    <w:rsid w:val="76B7003F"/>
    <w:rsid w:val="777728A5"/>
    <w:rsid w:val="78C3318D"/>
    <w:rsid w:val="79757E4E"/>
    <w:rsid w:val="79D63AE0"/>
    <w:rsid w:val="7A2A6204"/>
    <w:rsid w:val="7AD95625"/>
    <w:rsid w:val="7AF5326F"/>
    <w:rsid w:val="7B5D7ABB"/>
    <w:rsid w:val="7B7A5C1F"/>
    <w:rsid w:val="7BFE44E8"/>
    <w:rsid w:val="7C0F2F5E"/>
    <w:rsid w:val="7D256A57"/>
    <w:rsid w:val="7D5C22EA"/>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35"/>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6">
    <w:name w:val="heading 3"/>
    <w:basedOn w:val="1"/>
    <w:next w:val="1"/>
    <w:autoRedefine/>
    <w:qFormat/>
    <w:uiPriority w:val="0"/>
    <w:pPr>
      <w:keepNext/>
      <w:keepLines/>
      <w:outlineLvl w:val="2"/>
    </w:pPr>
    <w:rPr>
      <w:kern w:val="0"/>
      <w:sz w:val="28"/>
      <w:szCs w:val="20"/>
    </w:rPr>
  </w:style>
  <w:style w:type="paragraph" w:styleId="7">
    <w:name w:val="heading 4"/>
    <w:basedOn w:val="1"/>
    <w:next w:val="1"/>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1"/>
    <w:link w:val="33"/>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32"/>
    <w:autoRedefine/>
    <w:qFormat/>
    <w:uiPriority w:val="0"/>
    <w:pPr>
      <w:spacing w:after="120" w:afterLines="0" w:afterAutospacing="0"/>
      <w:ind w:left="420" w:leftChars="200"/>
    </w:pPr>
  </w:style>
  <w:style w:type="paragraph" w:styleId="4">
    <w:name w:val="envelope return"/>
    <w:basedOn w:val="1"/>
    <w:autoRedefine/>
    <w:qFormat/>
    <w:uiPriority w:val="0"/>
    <w:pPr>
      <w:snapToGrid w:val="0"/>
    </w:pPr>
    <w:rPr>
      <w:rFonts w:ascii="Arial" w:hAnsi="Arial"/>
    </w:rPr>
  </w:style>
  <w:style w:type="paragraph" w:styleId="8">
    <w:name w:val="toc 7"/>
    <w:basedOn w:val="1"/>
    <w:next w:val="1"/>
    <w:autoRedefine/>
    <w:qFormat/>
    <w:uiPriority w:val="39"/>
    <w:pPr>
      <w:ind w:left="1260"/>
      <w:jc w:val="left"/>
    </w:pPr>
    <w:rPr>
      <w:sz w:val="18"/>
      <w:szCs w:val="18"/>
    </w:rPr>
  </w:style>
  <w:style w:type="paragraph" w:styleId="9">
    <w:name w:val="Normal Indent"/>
    <w:basedOn w:val="1"/>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autoRedefine/>
    <w:qFormat/>
    <w:uiPriority w:val="0"/>
    <w:pPr>
      <w:widowControl w:val="0"/>
      <w:snapToGrid w:val="0"/>
      <w:spacing w:line="360" w:lineRule="auto"/>
    </w:pPr>
    <w:rPr>
      <w:rFonts w:ascii="Arial" w:hAnsi="Arial" w:eastAsia="仿宋_GB2312"/>
      <w:sz w:val="31"/>
    </w:rPr>
  </w:style>
  <w:style w:type="paragraph" w:styleId="13">
    <w:name w:val="toc 3"/>
    <w:basedOn w:val="1"/>
    <w:next w:val="1"/>
    <w:autoRedefine/>
    <w:qFormat/>
    <w:uiPriority w:val="39"/>
    <w:pPr>
      <w:jc w:val="left"/>
    </w:pPr>
    <w:rPr>
      <w:rFonts w:ascii="Calibri" w:hAnsi="Calibri"/>
      <w:smallCaps/>
      <w:sz w:val="22"/>
      <w:szCs w:val="22"/>
    </w:rPr>
  </w:style>
  <w:style w:type="paragraph" w:styleId="14">
    <w:name w:val="Plain Text"/>
    <w:basedOn w:val="1"/>
    <w:next w:val="1"/>
    <w:link w:val="37"/>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4"/>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8"/>
    <w:autoRedefine/>
    <w:qFormat/>
    <w:uiPriority w:val="0"/>
    <w:pPr>
      <w:tabs>
        <w:tab w:val="center" w:pos="4153"/>
        <w:tab w:val="right" w:pos="8306"/>
      </w:tabs>
      <w:snapToGrid w:val="0"/>
      <w:jc w:val="left"/>
    </w:pPr>
    <w:rPr>
      <w:sz w:val="18"/>
    </w:rPr>
  </w:style>
  <w:style w:type="paragraph" w:styleId="17">
    <w:name w:val="header"/>
    <w:basedOn w:val="1"/>
    <w:link w:val="3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39"/>
    <w:pPr>
      <w:spacing w:before="120" w:after="120"/>
      <w:jc w:val="left"/>
    </w:pPr>
    <w:rPr>
      <w:b/>
      <w:bCs/>
      <w:caps/>
      <w:sz w:val="20"/>
    </w:rPr>
  </w:style>
  <w:style w:type="paragraph" w:styleId="19">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autoRedefine/>
    <w:semiHidden/>
    <w:unhideWhenUsed/>
    <w:qFormat/>
    <w:uiPriority w:val="99"/>
    <w:pPr>
      <w:snapToGrid w:val="0"/>
      <w:jc w:val="left"/>
    </w:pPr>
    <w:rPr>
      <w:sz w:val="18"/>
    </w:rPr>
  </w:style>
  <w:style w:type="paragraph" w:styleId="21">
    <w:name w:val="Body Text 2"/>
    <w:basedOn w:val="1"/>
    <w:autoRedefine/>
    <w:qFormat/>
    <w:uiPriority w:val="0"/>
    <w:rPr>
      <w:kern w:val="0"/>
      <w:sz w:val="24"/>
    </w:rPr>
  </w:style>
  <w:style w:type="paragraph" w:styleId="22">
    <w:name w:val="Normal (Web)"/>
    <w:basedOn w:val="1"/>
    <w:next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Body Text First Indent"/>
    <w:basedOn w:val="12"/>
    <w:autoRedefine/>
    <w:qFormat/>
    <w:uiPriority w:val="0"/>
    <w:pPr>
      <w:adjustRightInd/>
      <w:spacing w:after="120" w:line="240" w:lineRule="auto"/>
      <w:ind w:firstLine="420" w:firstLineChars="100"/>
      <w:jc w:val="both"/>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autoRedefine/>
    <w:qFormat/>
    <w:uiPriority w:val="99"/>
    <w:rPr>
      <w:color w:val="0000FF"/>
      <w:u w:val="single"/>
    </w:rPr>
  </w:style>
  <w:style w:type="character" w:styleId="28">
    <w:name w:val="footnote reference"/>
    <w:basedOn w:val="26"/>
    <w:autoRedefine/>
    <w:semiHidden/>
    <w:unhideWhenUsed/>
    <w:qFormat/>
    <w:uiPriority w:val="99"/>
    <w:rPr>
      <w:vertAlign w:val="superscript"/>
    </w:rPr>
  </w:style>
  <w:style w:type="paragraph" w:customStyle="1" w:styleId="29">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0">
    <w:name w:val="正文文字 8"/>
    <w:basedOn w:val="1"/>
    <w:next w:val="1"/>
    <w:autoRedefine/>
    <w:qFormat/>
    <w:uiPriority w:val="0"/>
    <w:pPr>
      <w:ind w:left="240"/>
    </w:pPr>
    <w:rPr>
      <w:sz w:val="16"/>
    </w:rPr>
  </w:style>
  <w:style w:type="paragraph" w:customStyle="1" w:styleId="31">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2">
    <w:name w:val="正文文本缩进 Char"/>
    <w:basedOn w:val="26"/>
    <w:link w:val="3"/>
    <w:autoRedefine/>
    <w:qFormat/>
    <w:uiPriority w:val="0"/>
    <w:rPr>
      <w:rFonts w:hint="default" w:ascii="Times New Roman" w:hAnsi="Times New Roman" w:eastAsia="宋体" w:cs="Times New Roman"/>
      <w:color w:val="000000"/>
      <w:kern w:val="0"/>
      <w:szCs w:val="21"/>
      <w:u w:color="000000"/>
    </w:rPr>
  </w:style>
  <w:style w:type="character" w:customStyle="1" w:styleId="33">
    <w:name w:val="正文首行缩进 2 Char"/>
    <w:basedOn w:val="32"/>
    <w:link w:val="2"/>
    <w:autoRedefine/>
    <w:qFormat/>
    <w:uiPriority w:val="0"/>
    <w:rPr>
      <w:rFonts w:hint="default" w:ascii="Times New Roman" w:hAnsi="Times New Roman" w:eastAsia="宋体" w:cs="Times New Roman"/>
      <w:color w:val="000000"/>
      <w:kern w:val="0"/>
      <w:szCs w:val="21"/>
      <w:u w:color="000000"/>
    </w:rPr>
  </w:style>
  <w:style w:type="character" w:customStyle="1" w:styleId="34">
    <w:name w:val="日期 Char"/>
    <w:basedOn w:val="26"/>
    <w:link w:val="15"/>
    <w:autoRedefine/>
    <w:qFormat/>
    <w:uiPriority w:val="0"/>
    <w:rPr>
      <w:rFonts w:ascii="Arial" w:hAnsi="Arial" w:eastAsia="仿宋_GB2312" w:cs="Arial"/>
      <w:color w:val="000000"/>
      <w:sz w:val="32"/>
      <w:szCs w:val="32"/>
      <w:u w:color="000000"/>
    </w:rPr>
  </w:style>
  <w:style w:type="character" w:customStyle="1" w:styleId="35">
    <w:name w:val="标题 2 Char"/>
    <w:basedOn w:val="26"/>
    <w:link w:val="5"/>
    <w:autoRedefine/>
    <w:qFormat/>
    <w:uiPriority w:val="0"/>
    <w:rPr>
      <w:rFonts w:hint="default" w:ascii="Times New Roman" w:hAnsi="Times New Roman" w:eastAsia="宋体" w:cs="Times New Roman"/>
      <w:kern w:val="0"/>
      <w:sz w:val="24"/>
      <w:szCs w:val="24"/>
    </w:rPr>
  </w:style>
  <w:style w:type="character" w:customStyle="1" w:styleId="36">
    <w:name w:val="页眉 Char"/>
    <w:basedOn w:val="26"/>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7">
    <w:name w:val="纯文本 Char"/>
    <w:basedOn w:val="26"/>
    <w:link w:val="14"/>
    <w:autoRedefine/>
    <w:qFormat/>
    <w:uiPriority w:val="0"/>
    <w:rPr>
      <w:rFonts w:hint="eastAsia" w:ascii="宋体" w:hAnsi="宋体" w:eastAsia="宋体" w:cs="宋体"/>
      <w:szCs w:val="21"/>
    </w:rPr>
  </w:style>
  <w:style w:type="character" w:customStyle="1" w:styleId="38">
    <w:name w:val="页脚 Char"/>
    <w:basedOn w:val="26"/>
    <w:link w:val="16"/>
    <w:autoRedefine/>
    <w:qFormat/>
    <w:uiPriority w:val="0"/>
    <w:rPr>
      <w:rFonts w:hint="default" w:ascii="Times New Roman" w:hAnsi="Times New Roman" w:eastAsia="宋体" w:cs="Times New Roman"/>
      <w:color w:val="000000"/>
      <w:kern w:val="0"/>
      <w:sz w:val="18"/>
      <w:szCs w:val="18"/>
      <w:u w:color="000000"/>
    </w:rPr>
  </w:style>
  <w:style w:type="paragraph" w:customStyle="1" w:styleId="39">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0">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1">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 w:type="character" w:customStyle="1" w:styleId="42">
    <w:name w:val="font51"/>
    <w:basedOn w:val="26"/>
    <w:autoRedefine/>
    <w:qFormat/>
    <w:uiPriority w:val="0"/>
    <w:rPr>
      <w:rFonts w:hint="eastAsia" w:ascii="宋体" w:hAnsi="宋体" w:eastAsia="宋体" w:cs="宋体"/>
      <w:color w:val="000000"/>
      <w:sz w:val="22"/>
      <w:szCs w:val="22"/>
      <w:u w:val="none"/>
    </w:rPr>
  </w:style>
  <w:style w:type="character" w:customStyle="1" w:styleId="43">
    <w:name w:val="font31"/>
    <w:basedOn w:val="26"/>
    <w:autoRedefine/>
    <w:qFormat/>
    <w:uiPriority w:val="0"/>
    <w:rPr>
      <w:rFonts w:hint="default" w:ascii="Times New Roman" w:hAnsi="Times New Roman" w:cs="Times New Roman"/>
      <w:color w:val="000000"/>
      <w:sz w:val="22"/>
      <w:szCs w:val="22"/>
      <w:u w:val="none"/>
    </w:rPr>
  </w:style>
  <w:style w:type="character" w:customStyle="1" w:styleId="44">
    <w:name w:val="font61"/>
    <w:basedOn w:val="26"/>
    <w:autoRedefine/>
    <w:qFormat/>
    <w:uiPriority w:val="0"/>
    <w:rPr>
      <w:rFonts w:hint="default" w:ascii="Times New Roman" w:hAnsi="Times New Roman" w:cs="Times New Roman"/>
      <w:color w:val="000000"/>
      <w:sz w:val="21"/>
      <w:szCs w:val="21"/>
      <w:u w:val="none"/>
    </w:rPr>
  </w:style>
  <w:style w:type="character" w:customStyle="1" w:styleId="45">
    <w:name w:val="font71"/>
    <w:basedOn w:val="26"/>
    <w:autoRedefine/>
    <w:qFormat/>
    <w:uiPriority w:val="0"/>
    <w:rPr>
      <w:rFonts w:hint="eastAsia" w:ascii="宋体" w:hAnsi="宋体" w:eastAsia="宋体" w:cs="宋体"/>
      <w:color w:val="000000"/>
      <w:sz w:val="21"/>
      <w:szCs w:val="21"/>
      <w:u w:val="none"/>
    </w:rPr>
  </w:style>
  <w:style w:type="character" w:customStyle="1" w:styleId="46">
    <w:name w:val="font01"/>
    <w:basedOn w:val="26"/>
    <w:autoRedefine/>
    <w:qFormat/>
    <w:uiPriority w:val="0"/>
    <w:rPr>
      <w:rFonts w:hint="eastAsia" w:ascii="宋体" w:hAnsi="宋体" w:eastAsia="宋体" w:cs="宋体"/>
      <w:color w:val="000000"/>
      <w:sz w:val="22"/>
      <w:szCs w:val="22"/>
      <w:u w:val="none"/>
    </w:rPr>
  </w:style>
  <w:style w:type="character" w:customStyle="1" w:styleId="47">
    <w:name w:val="font11"/>
    <w:basedOn w:val="26"/>
    <w:autoRedefine/>
    <w:qFormat/>
    <w:uiPriority w:val="0"/>
    <w:rPr>
      <w:rFonts w:hint="eastAsia" w:ascii="宋体" w:hAnsi="宋体" w:eastAsia="宋体" w:cs="宋体"/>
      <w:color w:val="000000"/>
      <w:sz w:val="21"/>
      <w:szCs w:val="21"/>
      <w:u w:val="none"/>
    </w:rPr>
  </w:style>
  <w:style w:type="character" w:customStyle="1" w:styleId="48">
    <w:name w:val="font41"/>
    <w:basedOn w:val="26"/>
    <w:autoRedefine/>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autoRedefine/>
    <w:qFormat/>
    <w:uiPriority w:val="0"/>
    <w:rPr>
      <w:rFonts w:hint="eastAsia" w:eastAsia="楷体"/>
    </w:rPr>
  </w:style>
  <w:style w:type="paragraph" w:customStyle="1" w:styleId="50">
    <w:name w:val="首行缩进"/>
    <w:basedOn w:val="1"/>
    <w:autoRedefine/>
    <w:qFormat/>
    <w:uiPriority w:val="0"/>
    <w:pPr>
      <w:ind w:firstLine="480" w:firstLineChars="200"/>
    </w:pPr>
    <w:rPr>
      <w:rFonts w:eastAsia="楷体_GB2312"/>
      <w:lang w:val="zh-CN"/>
    </w:rPr>
  </w:style>
  <w:style w:type="paragraph" w:customStyle="1" w:styleId="51">
    <w:name w:val="Table Paragraph"/>
    <w:basedOn w:val="1"/>
    <w:autoRedefine/>
    <w:qFormat/>
    <w:uiPriority w:val="1"/>
    <w:rPr>
      <w:rFonts w:ascii="宋体" w:hAnsi="宋体" w:eastAsia="宋体" w:cs="宋体"/>
      <w:lang w:val="zh-CN" w:bidi="zh-CN"/>
    </w:rPr>
  </w:style>
  <w:style w:type="paragraph" w:customStyle="1" w:styleId="52">
    <w:name w:val="正文不加"/>
    <w:basedOn w:val="1"/>
    <w:autoRedefine/>
    <w:qFormat/>
    <w:uiPriority w:val="0"/>
    <w:pPr>
      <w:snapToGrid w:val="0"/>
      <w:spacing w:line="360" w:lineRule="auto"/>
      <w:ind w:firstLine="200" w:firstLineChars="200"/>
    </w:pPr>
    <w:rPr>
      <w:rFonts w:ascii="宋体"/>
      <w:color w:val="000000"/>
      <w:sz w:val="24"/>
      <w:szCs w:val="21"/>
    </w:rPr>
  </w:style>
  <w:style w:type="paragraph" w:customStyle="1" w:styleId="53">
    <w:name w:val="纯文本1"/>
    <w:basedOn w:val="1"/>
    <w:qFormat/>
    <w:uiPriority w:val="0"/>
    <w:rPr>
      <w:rFonts w:ascii="宋体" w:hAnsi="Courier New" w:cs="黑体"/>
      <w:szCs w:val="21"/>
    </w:rPr>
  </w:style>
  <w:style w:type="paragraph" w:customStyle="1" w:styleId="54">
    <w:name w:val="xl25"/>
    <w:basedOn w:val="1"/>
    <w:qFormat/>
    <w:uiPriority w:val="0"/>
    <w:pPr>
      <w:widowControl/>
      <w:spacing w:before="100" w:beforeLines="0" w:beforeAutospacing="1" w:after="100" w:afterLines="0" w:afterAutospacing="1"/>
      <w:jc w:val="right"/>
    </w:pPr>
    <w:rPr>
      <w:rFonts w:ascii="Arial Unicode MS" w:hAnsi="Arial Unicode MS" w:eastAsia="宋体" w:cs="Arial Unicode MS"/>
      <w:color w:val="00000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13749</Words>
  <Characters>14733</Characters>
  <Lines>0</Lines>
  <Paragraphs>0</Paragraphs>
  <TotalTime>1</TotalTime>
  <ScaleCrop>false</ScaleCrop>
  <LinksUpToDate>false</LinksUpToDate>
  <CharactersWithSpaces>15254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NTKO</cp:lastModifiedBy>
  <cp:lastPrinted>2024-08-07T08:33:00Z</cp:lastPrinted>
  <dcterms:modified xsi:type="dcterms:W3CDTF">2025-05-17T01:07:45Z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58A0B4692796418A86F2D53E6D60D452_13</vt:lpwstr>
  </property>
  <property fmtid="{D5CDD505-2E9C-101B-9397-08002B2CF9AE}" pid="4" name="KSOTemplateDocerSaveRecord">
    <vt:lpwstr>eyJoZGlkIjoiZTQ4OTM2MTIyODI3Njc5MTE5MDBiNjA4NzIzYTUzZmEifQ==</vt:lpwstr>
  </property>
</Properties>
</file>