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ED0F7D">
      <w:pPr>
        <w:shd w:val="clear"/>
        <w:ind w:right="-315" w:rightChars="-150"/>
        <w:jc w:val="center"/>
        <w:rPr>
          <w:rFonts w:ascii="仿宋" w:hAnsi="仿宋" w:eastAsia="仿宋" w:cs="仿宋"/>
          <w:b/>
          <w:bCs/>
          <w:color w:val="auto"/>
          <w:sz w:val="92"/>
          <w:szCs w:val="92"/>
          <w:highlight w:val="none"/>
          <w:u w:val="single"/>
          <w:vertAlign w:val="subscript"/>
        </w:rPr>
      </w:pPr>
    </w:p>
    <w:p w14:paraId="5650D264">
      <w:pPr>
        <w:shd w:val="clear"/>
        <w:spacing w:line="720" w:lineRule="auto"/>
        <w:jc w:val="center"/>
        <w:rPr>
          <w:rFonts w:hint="default" w:ascii="宋体" w:hAnsi="宋体" w:cs="宋体"/>
          <w:b/>
          <w:bCs/>
          <w:color w:val="auto"/>
          <w:spacing w:val="-10"/>
          <w:sz w:val="48"/>
          <w:szCs w:val="48"/>
          <w:highlight w:val="none"/>
          <w:lang w:val="en-US" w:eastAsia="zh-CN"/>
        </w:rPr>
      </w:pPr>
      <w:r>
        <w:rPr>
          <w:rFonts w:hint="eastAsia" w:ascii="宋体" w:hAnsi="宋体" w:cs="宋体"/>
          <w:b/>
          <w:bCs/>
          <w:color w:val="auto"/>
          <w:spacing w:val="-10"/>
          <w:sz w:val="48"/>
          <w:szCs w:val="48"/>
          <w:highlight w:val="none"/>
          <w:lang w:val="en-US" w:eastAsia="zh-CN"/>
        </w:rPr>
        <w:t>琅琊山南门民宿等四个项目结算复核服务项目</w:t>
      </w:r>
    </w:p>
    <w:p w14:paraId="58F61C92">
      <w:pPr>
        <w:shd w:val="clear"/>
        <w:spacing w:line="400" w:lineRule="atLeast"/>
        <w:jc w:val="center"/>
        <w:rPr>
          <w:rFonts w:ascii="仿宋" w:hAnsi="仿宋" w:eastAsia="仿宋" w:cs="仿宋"/>
          <w:b/>
          <w:bCs/>
          <w:color w:val="auto"/>
          <w:sz w:val="98"/>
          <w:szCs w:val="98"/>
          <w:highlight w:val="none"/>
        </w:rPr>
      </w:pPr>
    </w:p>
    <w:p w14:paraId="58C3AD94">
      <w:pPr>
        <w:pStyle w:val="2"/>
        <w:shd w:val="clear"/>
        <w:rPr>
          <w:color w:val="auto"/>
          <w:highlight w:val="none"/>
        </w:rPr>
      </w:pPr>
    </w:p>
    <w:p w14:paraId="136217F5">
      <w:pPr>
        <w:shd w:val="clear"/>
        <w:rPr>
          <w:color w:val="auto"/>
          <w:highlight w:val="none"/>
        </w:rPr>
      </w:pPr>
    </w:p>
    <w:p w14:paraId="78422857">
      <w:pPr>
        <w:pStyle w:val="2"/>
        <w:shd w:val="clear"/>
        <w:rPr>
          <w:color w:val="auto"/>
          <w:highlight w:val="none"/>
        </w:rPr>
      </w:pPr>
    </w:p>
    <w:p w14:paraId="62D17C82">
      <w:pPr>
        <w:shd w:val="clear"/>
        <w:rPr>
          <w:color w:val="auto"/>
          <w:highlight w:val="none"/>
        </w:rPr>
      </w:pPr>
    </w:p>
    <w:p w14:paraId="2FD20288">
      <w:pPr>
        <w:pStyle w:val="2"/>
        <w:shd w:val="clear"/>
        <w:rPr>
          <w:color w:val="auto"/>
          <w:highlight w:val="none"/>
        </w:rPr>
      </w:pPr>
    </w:p>
    <w:p w14:paraId="67CBCDA2">
      <w:pPr>
        <w:shd w:val="clear"/>
        <w:rPr>
          <w:color w:val="auto"/>
          <w:highlight w:val="none"/>
        </w:rPr>
      </w:pPr>
    </w:p>
    <w:p w14:paraId="3821ADC2">
      <w:pPr>
        <w:shd w:val="clear"/>
        <w:spacing w:line="400" w:lineRule="atLeast"/>
        <w:jc w:val="center"/>
        <w:rPr>
          <w:rFonts w:ascii="仿宋" w:hAnsi="仿宋" w:eastAsia="仿宋" w:cs="仿宋"/>
          <w:b/>
          <w:bCs/>
          <w:color w:val="auto"/>
          <w:sz w:val="98"/>
          <w:szCs w:val="98"/>
          <w:highlight w:val="none"/>
        </w:rPr>
      </w:pPr>
      <w:r>
        <w:rPr>
          <w:rFonts w:hint="eastAsia" w:ascii="宋体" w:hAnsi="宋体" w:eastAsia="宋体" w:cs="宋体"/>
          <w:b/>
          <w:bCs/>
          <w:color w:val="auto"/>
          <w:sz w:val="98"/>
          <w:szCs w:val="98"/>
          <w:highlight w:val="none"/>
        </w:rPr>
        <w:t>招</w:t>
      </w:r>
      <w:r>
        <w:rPr>
          <w:rFonts w:hint="eastAsia" w:ascii="宋体" w:hAnsi="宋体" w:cs="宋体"/>
          <w:b/>
          <w:bCs/>
          <w:color w:val="auto"/>
          <w:sz w:val="98"/>
          <w:szCs w:val="98"/>
          <w:highlight w:val="none"/>
          <w:lang w:val="en-US" w:eastAsia="zh-CN"/>
        </w:rPr>
        <w:t xml:space="preserve"> </w:t>
      </w:r>
      <w:r>
        <w:rPr>
          <w:rFonts w:hint="eastAsia" w:ascii="宋体" w:hAnsi="宋体" w:eastAsia="宋体" w:cs="宋体"/>
          <w:b/>
          <w:bCs/>
          <w:color w:val="auto"/>
          <w:sz w:val="98"/>
          <w:szCs w:val="98"/>
          <w:highlight w:val="none"/>
        </w:rPr>
        <w:t>标</w:t>
      </w:r>
      <w:r>
        <w:rPr>
          <w:rFonts w:hint="eastAsia" w:ascii="宋体" w:hAnsi="宋体" w:cs="宋体"/>
          <w:b/>
          <w:bCs/>
          <w:color w:val="auto"/>
          <w:sz w:val="98"/>
          <w:szCs w:val="98"/>
          <w:highlight w:val="none"/>
          <w:lang w:val="en-US" w:eastAsia="zh-CN"/>
        </w:rPr>
        <w:t xml:space="preserve"> </w:t>
      </w:r>
      <w:r>
        <w:rPr>
          <w:rFonts w:hint="eastAsia" w:ascii="宋体" w:hAnsi="宋体" w:eastAsia="宋体" w:cs="宋体"/>
          <w:b/>
          <w:bCs/>
          <w:color w:val="auto"/>
          <w:sz w:val="98"/>
          <w:szCs w:val="98"/>
          <w:highlight w:val="none"/>
        </w:rPr>
        <w:t>文</w:t>
      </w:r>
      <w:r>
        <w:rPr>
          <w:rFonts w:hint="eastAsia" w:ascii="宋体" w:hAnsi="宋体" w:cs="宋体"/>
          <w:b/>
          <w:bCs/>
          <w:color w:val="auto"/>
          <w:sz w:val="98"/>
          <w:szCs w:val="98"/>
          <w:highlight w:val="none"/>
          <w:lang w:val="en-US" w:eastAsia="zh-CN"/>
        </w:rPr>
        <w:t xml:space="preserve"> </w:t>
      </w:r>
      <w:r>
        <w:rPr>
          <w:rFonts w:hint="eastAsia" w:ascii="宋体" w:hAnsi="宋体" w:eastAsia="宋体" w:cs="宋体"/>
          <w:b/>
          <w:bCs/>
          <w:color w:val="auto"/>
          <w:sz w:val="98"/>
          <w:szCs w:val="98"/>
          <w:highlight w:val="none"/>
        </w:rPr>
        <w:t>件</w:t>
      </w:r>
    </w:p>
    <w:p w14:paraId="2A1BF0B2">
      <w:pPr>
        <w:shd w:val="clear"/>
        <w:spacing w:line="400" w:lineRule="atLeast"/>
        <w:jc w:val="center"/>
        <w:rPr>
          <w:rFonts w:hint="eastAsia" w:ascii="仿宋" w:hAnsi="仿宋" w:eastAsia="仿宋" w:cs="仿宋"/>
          <w:b/>
          <w:bCs/>
          <w:color w:val="auto"/>
          <w:sz w:val="32"/>
          <w:szCs w:val="32"/>
          <w:highlight w:val="none"/>
        </w:rPr>
      </w:pPr>
    </w:p>
    <w:p w14:paraId="0AED113B">
      <w:pPr>
        <w:shd w:val="clear"/>
        <w:spacing w:line="400" w:lineRule="atLeast"/>
        <w:jc w:val="center"/>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项目编号：</w:t>
      </w:r>
    </w:p>
    <w:p w14:paraId="49D66948">
      <w:pPr>
        <w:shd w:val="clear"/>
        <w:spacing w:line="480" w:lineRule="exact"/>
        <w:rPr>
          <w:rFonts w:ascii="仿宋" w:hAnsi="仿宋" w:eastAsia="仿宋" w:cs="仿宋"/>
          <w:b/>
          <w:bCs/>
          <w:color w:val="auto"/>
          <w:sz w:val="44"/>
          <w:szCs w:val="44"/>
          <w:highlight w:val="none"/>
        </w:rPr>
      </w:pPr>
    </w:p>
    <w:p w14:paraId="78469E50">
      <w:pPr>
        <w:shd w:val="clear"/>
        <w:spacing w:line="480" w:lineRule="exact"/>
        <w:ind w:firstLine="643" w:firstLineChars="200"/>
        <w:jc w:val="center"/>
        <w:rPr>
          <w:rFonts w:ascii="仿宋" w:hAnsi="仿宋" w:eastAsia="仿宋" w:cs="仿宋"/>
          <w:b/>
          <w:bCs/>
          <w:color w:val="auto"/>
          <w:sz w:val="32"/>
          <w:szCs w:val="32"/>
          <w:highlight w:val="none"/>
        </w:rPr>
      </w:pPr>
    </w:p>
    <w:p w14:paraId="3AB1BF3B">
      <w:pPr>
        <w:shd w:val="clear"/>
        <w:spacing w:line="480" w:lineRule="exact"/>
        <w:ind w:firstLine="472" w:firstLineChars="147"/>
        <w:rPr>
          <w:rFonts w:ascii="仿宋" w:hAnsi="仿宋" w:eastAsia="仿宋" w:cs="仿宋"/>
          <w:b/>
          <w:bCs/>
          <w:color w:val="auto"/>
          <w:sz w:val="32"/>
          <w:szCs w:val="32"/>
          <w:highlight w:val="none"/>
        </w:rPr>
      </w:pPr>
    </w:p>
    <w:p w14:paraId="5C564529">
      <w:pPr>
        <w:shd w:val="clear"/>
        <w:spacing w:line="480" w:lineRule="exact"/>
        <w:ind w:firstLine="472" w:firstLineChars="147"/>
        <w:rPr>
          <w:rFonts w:ascii="仿宋" w:hAnsi="仿宋" w:eastAsia="仿宋" w:cs="仿宋"/>
          <w:b/>
          <w:bCs/>
          <w:color w:val="auto"/>
          <w:sz w:val="32"/>
          <w:szCs w:val="32"/>
          <w:highlight w:val="none"/>
        </w:rPr>
      </w:pPr>
    </w:p>
    <w:p w14:paraId="70C2CD90">
      <w:pPr>
        <w:shd w:val="clear"/>
        <w:spacing w:line="480" w:lineRule="exact"/>
        <w:rPr>
          <w:rFonts w:ascii="仿宋" w:hAnsi="仿宋" w:eastAsia="仿宋" w:cs="仿宋"/>
          <w:b/>
          <w:bCs/>
          <w:color w:val="auto"/>
          <w:sz w:val="32"/>
          <w:szCs w:val="32"/>
          <w:highlight w:val="none"/>
        </w:rPr>
      </w:pPr>
    </w:p>
    <w:p w14:paraId="42EB63FE">
      <w:pPr>
        <w:shd w:val="clear"/>
        <w:spacing w:line="480" w:lineRule="exact"/>
        <w:rPr>
          <w:rFonts w:ascii="仿宋" w:hAnsi="仿宋" w:eastAsia="仿宋" w:cs="仿宋"/>
          <w:b/>
          <w:bCs/>
          <w:color w:val="auto"/>
          <w:sz w:val="32"/>
          <w:szCs w:val="32"/>
          <w:highlight w:val="none"/>
        </w:rPr>
      </w:pPr>
    </w:p>
    <w:p w14:paraId="7CC979A8">
      <w:pPr>
        <w:shd w:val="clear"/>
        <w:wordWrap w:val="0"/>
        <w:spacing w:line="800" w:lineRule="exact"/>
        <w:ind w:right="480" w:firstLine="320" w:firstLineChars="100"/>
        <w:rPr>
          <w:rFonts w:ascii="宋体" w:cs="宋体"/>
          <w:color w:val="auto"/>
          <w:sz w:val="32"/>
          <w:highlight w:val="none"/>
        </w:rPr>
      </w:pPr>
      <w:r>
        <w:rPr>
          <w:rFonts w:hint="eastAsia" w:ascii="宋体" w:cs="宋体"/>
          <w:color w:val="auto"/>
          <w:sz w:val="32"/>
          <w:highlight w:val="none"/>
          <w:lang w:val="en-US" w:eastAsia="zh-CN"/>
        </w:rPr>
        <w:t>招标</w:t>
      </w:r>
      <w:r>
        <w:rPr>
          <w:rFonts w:hint="eastAsia" w:ascii="宋体" w:cs="宋体"/>
          <w:color w:val="auto"/>
          <w:sz w:val="32"/>
          <w:highlight w:val="none"/>
        </w:rPr>
        <w:t>单位</w:t>
      </w:r>
      <w:r>
        <w:rPr>
          <w:rFonts w:ascii="宋体" w:cs="宋体"/>
          <w:color w:val="auto"/>
          <w:sz w:val="32"/>
          <w:highlight w:val="none"/>
        </w:rPr>
        <w:t xml:space="preserve"> </w:t>
      </w:r>
      <w:r>
        <w:rPr>
          <w:rFonts w:hint="eastAsia" w:ascii="宋体" w:cs="宋体"/>
          <w:color w:val="auto"/>
          <w:sz w:val="32"/>
          <w:highlight w:val="none"/>
        </w:rPr>
        <w:t>：</w:t>
      </w:r>
      <w:r>
        <w:rPr>
          <w:rFonts w:hint="eastAsia" w:ascii="宋体" w:cs="宋体"/>
          <w:color w:val="auto"/>
          <w:sz w:val="32"/>
          <w:highlight w:val="none"/>
          <w:u w:val="single"/>
          <w:lang w:val="en-US" w:eastAsia="zh-CN"/>
        </w:rPr>
        <w:t xml:space="preserve">安徽省琅琊山旅游发展有限公司 </w:t>
      </w:r>
      <w:r>
        <w:rPr>
          <w:rFonts w:hint="eastAsia" w:ascii="宋体" w:cs="宋体"/>
          <w:color w:val="auto"/>
          <w:sz w:val="32"/>
          <w:highlight w:val="none"/>
          <w:u w:val="single"/>
        </w:rPr>
        <w:t>（盖章）</w:t>
      </w:r>
    </w:p>
    <w:p w14:paraId="31BF1FCA">
      <w:pPr>
        <w:shd w:val="clear"/>
        <w:spacing w:line="800" w:lineRule="exact"/>
        <w:ind w:firstLine="320" w:firstLineChars="100"/>
        <w:rPr>
          <w:rFonts w:ascii="宋体" w:cs="宋体"/>
          <w:color w:val="auto"/>
          <w:sz w:val="32"/>
          <w:highlight w:val="none"/>
          <w:u w:val="single"/>
        </w:rPr>
      </w:pPr>
      <w:r>
        <w:rPr>
          <w:rFonts w:hint="eastAsia" w:ascii="宋体" w:cs="宋体"/>
          <w:color w:val="auto"/>
          <w:sz w:val="32"/>
          <w:highlight w:val="none"/>
        </w:rPr>
        <w:t>代理机构</w:t>
      </w:r>
      <w:r>
        <w:rPr>
          <w:rFonts w:ascii="宋体" w:cs="宋体"/>
          <w:color w:val="auto"/>
          <w:sz w:val="32"/>
          <w:highlight w:val="none"/>
        </w:rPr>
        <w:t xml:space="preserve"> </w:t>
      </w:r>
      <w:r>
        <w:rPr>
          <w:rFonts w:hint="eastAsia" w:ascii="宋体" w:cs="宋体"/>
          <w:color w:val="auto"/>
          <w:sz w:val="32"/>
          <w:highlight w:val="none"/>
        </w:rPr>
        <w:t>：</w:t>
      </w:r>
      <w:r>
        <w:rPr>
          <w:rFonts w:hint="eastAsia" w:ascii="宋体" w:cs="宋体"/>
          <w:color w:val="auto"/>
          <w:sz w:val="32"/>
          <w:highlight w:val="none"/>
          <w:u w:val="single"/>
        </w:rPr>
        <w:t>滁州市城投工程咨询管理有限公司</w:t>
      </w:r>
      <w:r>
        <w:rPr>
          <w:rFonts w:ascii="宋体" w:cs="宋体"/>
          <w:color w:val="auto"/>
          <w:sz w:val="32"/>
          <w:highlight w:val="none"/>
          <w:u w:val="single"/>
        </w:rPr>
        <w:t xml:space="preserve"> </w:t>
      </w:r>
      <w:r>
        <w:rPr>
          <w:rFonts w:hint="eastAsia" w:ascii="宋体" w:cs="宋体"/>
          <w:color w:val="auto"/>
          <w:sz w:val="32"/>
          <w:highlight w:val="none"/>
          <w:u w:val="single"/>
        </w:rPr>
        <w:t>（盖章）</w:t>
      </w:r>
    </w:p>
    <w:p w14:paraId="245E6165">
      <w:pPr>
        <w:shd w:val="clear"/>
        <w:spacing w:line="800" w:lineRule="exact"/>
        <w:jc w:val="center"/>
        <w:rPr>
          <w:rFonts w:hint="default" w:ascii="宋体" w:eastAsia="宋体"/>
          <w:color w:val="auto"/>
          <w:highlight w:val="none"/>
          <w:lang w:val="en-US" w:eastAsia="zh-CN"/>
        </w:rPr>
        <w:sectPr>
          <w:headerReference r:id="rId4" w:type="first"/>
          <w:footerReference r:id="rId6" w:type="first"/>
          <w:headerReference r:id="rId3" w:type="default"/>
          <w:footerReference r:id="rId5" w:type="default"/>
          <w:pgSz w:w="11906" w:h="16838"/>
          <w:pgMar w:top="935" w:right="1106" w:bottom="936" w:left="1259" w:header="680" w:footer="680" w:gutter="0"/>
          <w:cols w:space="0" w:num="1"/>
          <w:titlePg/>
          <w:docGrid w:type="lines" w:linePitch="318" w:charSpace="0"/>
        </w:sectPr>
      </w:pPr>
      <w:r>
        <w:rPr>
          <w:rFonts w:ascii="宋体" w:cs="宋体"/>
          <w:color w:val="auto"/>
          <w:sz w:val="32"/>
          <w:highlight w:val="none"/>
          <w:u w:val="single"/>
        </w:rPr>
        <w:t>202</w:t>
      </w:r>
      <w:r>
        <w:rPr>
          <w:rFonts w:hint="eastAsia" w:ascii="宋体" w:cs="宋体"/>
          <w:color w:val="auto"/>
          <w:sz w:val="32"/>
          <w:highlight w:val="none"/>
          <w:u w:val="single"/>
          <w:lang w:val="en-US" w:eastAsia="zh-CN"/>
        </w:rPr>
        <w:t>5</w:t>
      </w:r>
      <w:r>
        <w:rPr>
          <w:rFonts w:ascii="宋体" w:cs="宋体"/>
          <w:color w:val="auto"/>
          <w:sz w:val="32"/>
          <w:highlight w:val="none"/>
          <w:u w:val="single"/>
        </w:rPr>
        <w:t xml:space="preserve"> </w:t>
      </w:r>
      <w:r>
        <w:rPr>
          <w:rFonts w:hint="eastAsia" w:ascii="宋体" w:cs="宋体"/>
          <w:color w:val="auto"/>
          <w:sz w:val="32"/>
          <w:highlight w:val="none"/>
        </w:rPr>
        <w:t>年</w:t>
      </w:r>
      <w:r>
        <w:rPr>
          <w:rFonts w:ascii="宋体" w:cs="宋体"/>
          <w:color w:val="auto"/>
          <w:sz w:val="32"/>
          <w:highlight w:val="none"/>
          <w:u w:val="single"/>
        </w:rPr>
        <w:t xml:space="preserve"> </w:t>
      </w:r>
      <w:r>
        <w:rPr>
          <w:rFonts w:hint="eastAsia" w:ascii="宋体" w:cs="宋体"/>
          <w:color w:val="auto"/>
          <w:sz w:val="32"/>
          <w:highlight w:val="none"/>
          <w:u w:val="single"/>
          <w:lang w:val="en-US" w:eastAsia="zh-CN"/>
        </w:rPr>
        <w:t>8</w:t>
      </w:r>
      <w:r>
        <w:rPr>
          <w:rFonts w:hint="eastAsia" w:ascii="宋体" w:cs="宋体"/>
          <w:color w:val="auto"/>
          <w:sz w:val="32"/>
          <w:highlight w:val="none"/>
        </w:rPr>
        <w:t>月</w:t>
      </w:r>
    </w:p>
    <w:p w14:paraId="64DF5E32">
      <w:pPr>
        <w:shd w:val="clear"/>
        <w:jc w:val="both"/>
        <w:rPr>
          <w:rFonts w:hint="eastAsia" w:ascii="仿宋" w:hAnsi="仿宋" w:eastAsia="仿宋" w:cs="仿宋"/>
          <w:b/>
          <w:bCs/>
          <w:color w:val="auto"/>
          <w:sz w:val="28"/>
          <w:szCs w:val="28"/>
          <w:highlight w:val="none"/>
        </w:rPr>
      </w:pPr>
    </w:p>
    <w:p w14:paraId="3E0FD4C3">
      <w:pPr>
        <w:shd w:val="clear" w:color="auto"/>
        <w:ind w:firstLine="903" w:firstLineChars="250"/>
        <w:jc w:val="center"/>
        <w:rPr>
          <w:rFonts w:hint="eastAsia" w:ascii="宋体" w:hAnsi="宋体" w:eastAsia="宋体" w:cs="宋体"/>
          <w:b/>
          <w:color w:val="auto"/>
          <w:spacing w:val="20"/>
          <w:sz w:val="32"/>
          <w:szCs w:val="32"/>
          <w:highlight w:val="none"/>
          <w:lang w:val="en-US" w:eastAsia="zh-CN"/>
        </w:rPr>
      </w:pPr>
      <w:r>
        <w:rPr>
          <w:rFonts w:hint="eastAsia" w:ascii="宋体" w:hAnsi="宋体" w:eastAsia="宋体" w:cs="宋体"/>
          <w:b/>
          <w:color w:val="auto"/>
          <w:spacing w:val="20"/>
          <w:sz w:val="32"/>
          <w:szCs w:val="32"/>
          <w:highlight w:val="none"/>
          <w:lang w:val="en-US" w:eastAsia="zh-CN"/>
        </w:rPr>
        <w:t>目  录</w:t>
      </w:r>
    </w:p>
    <w:p w14:paraId="74A7B990">
      <w:pPr>
        <w:pStyle w:val="32"/>
        <w:shd w:val="clear"/>
        <w:tabs>
          <w:tab w:val="right" w:leader="dot" w:pos="9541"/>
          <w:tab w:val="clear" w:pos="8296"/>
        </w:tabs>
        <w:rPr>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TOC \o "1-1" \h \u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_Toc892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lang w:val="en-US" w:eastAsia="zh-CN"/>
        </w:rPr>
        <w:t>第一章 招标公告</w:t>
      </w:r>
      <w:r>
        <w:rPr>
          <w:b w:val="0"/>
          <w:bCs w:val="0"/>
          <w:color w:val="auto"/>
          <w:sz w:val="28"/>
          <w:szCs w:val="28"/>
          <w:highlight w:val="none"/>
        </w:rPr>
        <w:tab/>
      </w:r>
      <w:r>
        <w:rPr>
          <w:rFonts w:hint="eastAsia"/>
          <w:b w:val="0"/>
          <w:bCs w:val="0"/>
          <w:color w:val="auto"/>
          <w:sz w:val="28"/>
          <w:szCs w:val="28"/>
          <w:highlight w:val="none"/>
          <w:lang w:val="en-US" w:eastAsia="zh-CN"/>
        </w:rPr>
        <w:t>1</w:t>
      </w:r>
      <w:r>
        <w:rPr>
          <w:rFonts w:hint="eastAsia" w:ascii="宋体" w:hAnsi="宋体" w:eastAsia="宋体" w:cs="宋体"/>
          <w:b w:val="0"/>
          <w:bCs w:val="0"/>
          <w:color w:val="auto"/>
          <w:sz w:val="28"/>
          <w:szCs w:val="28"/>
          <w:highlight w:val="none"/>
        </w:rPr>
        <w:fldChar w:fldCharType="end"/>
      </w:r>
    </w:p>
    <w:p w14:paraId="0D64BE52">
      <w:pPr>
        <w:pStyle w:val="32"/>
        <w:shd w:val="clear"/>
        <w:tabs>
          <w:tab w:val="right" w:leader="dot" w:pos="9541"/>
          <w:tab w:val="clear" w:pos="8296"/>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_Toc892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lang w:val="en-US" w:eastAsia="zh-CN"/>
        </w:rPr>
        <w:t>第</w:t>
      </w:r>
      <w:r>
        <w:rPr>
          <w:rFonts w:hint="eastAsia" w:hAnsi="宋体" w:eastAsia="宋体" w:cs="宋体"/>
          <w:b w:val="0"/>
          <w:bCs w:val="0"/>
          <w:color w:val="auto"/>
          <w:sz w:val="28"/>
          <w:szCs w:val="28"/>
          <w:highlight w:val="none"/>
          <w:lang w:val="en-US" w:eastAsia="zh-CN"/>
        </w:rPr>
        <w:t>二</w:t>
      </w:r>
      <w:r>
        <w:rPr>
          <w:rFonts w:hint="eastAsia" w:ascii="宋体" w:hAnsi="宋体" w:eastAsia="宋体" w:cs="宋体"/>
          <w:b w:val="0"/>
          <w:bCs w:val="0"/>
          <w:color w:val="auto"/>
          <w:sz w:val="28"/>
          <w:szCs w:val="28"/>
          <w:highlight w:val="none"/>
          <w:lang w:val="en-US" w:eastAsia="zh-CN"/>
        </w:rPr>
        <w:t xml:space="preserve">章 </w:t>
      </w:r>
      <w:r>
        <w:rPr>
          <w:rFonts w:hint="eastAsia" w:ascii="宋体" w:hAnsi="宋体" w:eastAsia="宋体" w:cs="宋体"/>
          <w:b w:val="0"/>
          <w:bCs w:val="0"/>
          <w:color w:val="auto"/>
          <w:sz w:val="28"/>
          <w:szCs w:val="28"/>
          <w:highlight w:val="none"/>
        </w:rPr>
        <w:t>投标须知前附表</w:t>
      </w:r>
      <w:r>
        <w:rPr>
          <w:b w:val="0"/>
          <w:bCs w:val="0"/>
          <w:color w:val="auto"/>
          <w:sz w:val="28"/>
          <w:szCs w:val="28"/>
          <w:highlight w:val="none"/>
        </w:rPr>
        <w:tab/>
      </w:r>
      <w:r>
        <w:rPr>
          <w:rFonts w:hint="eastAsia"/>
          <w:b w:val="0"/>
          <w:bCs w:val="0"/>
          <w:color w:val="auto"/>
          <w:sz w:val="28"/>
          <w:szCs w:val="28"/>
          <w:highlight w:val="none"/>
          <w:lang w:val="en-US" w:eastAsia="zh-CN"/>
        </w:rPr>
        <w:t>3</w:t>
      </w:r>
      <w:r>
        <w:rPr>
          <w:rFonts w:hint="eastAsia" w:ascii="宋体" w:hAnsi="宋体" w:eastAsia="宋体" w:cs="宋体"/>
          <w:b w:val="0"/>
          <w:bCs w:val="0"/>
          <w:color w:val="auto"/>
          <w:sz w:val="28"/>
          <w:szCs w:val="28"/>
          <w:highlight w:val="none"/>
        </w:rPr>
        <w:fldChar w:fldCharType="end"/>
      </w:r>
    </w:p>
    <w:p w14:paraId="3C7CE30A">
      <w:pPr>
        <w:pStyle w:val="32"/>
        <w:shd w:val="clear"/>
        <w:tabs>
          <w:tab w:val="right" w:leader="dot" w:pos="9541"/>
          <w:tab w:val="clear" w:pos="8296"/>
        </w:tabs>
        <w:rPr>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_Toc11622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第</w:t>
      </w:r>
      <w:r>
        <w:rPr>
          <w:rFonts w:hint="eastAsia" w:hAnsi="宋体" w:eastAsia="宋体" w:cs="宋体"/>
          <w:b w:val="0"/>
          <w:bCs w:val="0"/>
          <w:color w:val="auto"/>
          <w:sz w:val="28"/>
          <w:szCs w:val="28"/>
          <w:highlight w:val="none"/>
          <w:lang w:val="en-US" w:eastAsia="zh-CN"/>
        </w:rPr>
        <w:t>三</w:t>
      </w:r>
      <w:r>
        <w:rPr>
          <w:rFonts w:hint="eastAsia" w:ascii="宋体" w:hAnsi="宋体" w:eastAsia="宋体" w:cs="宋体"/>
          <w:b w:val="0"/>
          <w:bCs w:val="0"/>
          <w:color w:val="auto"/>
          <w:sz w:val="28"/>
          <w:szCs w:val="28"/>
          <w:highlight w:val="none"/>
        </w:rPr>
        <w:t>章</w:t>
      </w:r>
      <w:r>
        <w:rPr>
          <w:rFonts w:hint="eastAsia" w:hAnsi="宋体" w:eastAsia="宋体" w:cs="宋体"/>
          <w:b w:val="0"/>
          <w:bCs w:val="0"/>
          <w:color w:val="auto"/>
          <w:sz w:val="28"/>
          <w:szCs w:val="28"/>
          <w:highlight w:val="none"/>
          <w:lang w:val="en-US" w:eastAsia="zh-CN"/>
        </w:rPr>
        <w:t xml:space="preserve"> </w:t>
      </w:r>
      <w:r>
        <w:rPr>
          <w:rFonts w:hint="eastAsia" w:ascii="宋体" w:hAnsi="宋体" w:eastAsia="宋体" w:cs="宋体"/>
          <w:b w:val="0"/>
          <w:bCs w:val="0"/>
          <w:color w:val="auto"/>
          <w:sz w:val="28"/>
          <w:szCs w:val="28"/>
          <w:highlight w:val="none"/>
        </w:rPr>
        <w:t>投标须知</w:t>
      </w:r>
      <w:r>
        <w:rPr>
          <w:b w:val="0"/>
          <w:bCs w:val="0"/>
          <w:color w:val="auto"/>
          <w:sz w:val="28"/>
          <w:szCs w:val="28"/>
          <w:highlight w:val="none"/>
        </w:rPr>
        <w:tab/>
      </w:r>
      <w:r>
        <w:rPr>
          <w:rFonts w:hint="eastAsia"/>
          <w:b w:val="0"/>
          <w:bCs w:val="0"/>
          <w:color w:val="auto"/>
          <w:sz w:val="28"/>
          <w:szCs w:val="28"/>
          <w:highlight w:val="none"/>
          <w:lang w:val="en-US" w:eastAsia="zh-CN"/>
        </w:rPr>
        <w:t>7</w:t>
      </w:r>
      <w:r>
        <w:rPr>
          <w:rFonts w:hint="eastAsia" w:ascii="宋体" w:hAnsi="宋体" w:eastAsia="宋体" w:cs="宋体"/>
          <w:b w:val="0"/>
          <w:bCs w:val="0"/>
          <w:color w:val="auto"/>
          <w:sz w:val="28"/>
          <w:szCs w:val="28"/>
          <w:highlight w:val="none"/>
        </w:rPr>
        <w:fldChar w:fldCharType="end"/>
      </w:r>
    </w:p>
    <w:p w14:paraId="647F34B7">
      <w:pPr>
        <w:pStyle w:val="32"/>
        <w:shd w:val="clear"/>
        <w:tabs>
          <w:tab w:val="right" w:leader="dot" w:pos="9541"/>
          <w:tab w:val="clear" w:pos="8296"/>
        </w:tabs>
        <w:rPr>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_Toc8201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lang w:val="en-US" w:eastAsia="zh-CN"/>
        </w:rPr>
        <w:t>第</w:t>
      </w:r>
      <w:r>
        <w:rPr>
          <w:rFonts w:hint="eastAsia" w:hAnsi="宋体" w:eastAsia="宋体" w:cs="宋体"/>
          <w:b w:val="0"/>
          <w:bCs w:val="0"/>
          <w:color w:val="auto"/>
          <w:sz w:val="28"/>
          <w:szCs w:val="28"/>
          <w:highlight w:val="none"/>
          <w:lang w:val="en-US" w:eastAsia="zh-CN"/>
        </w:rPr>
        <w:t>四</w:t>
      </w:r>
      <w:r>
        <w:rPr>
          <w:rFonts w:hint="eastAsia" w:ascii="宋体" w:hAnsi="宋体" w:eastAsia="宋体" w:cs="宋体"/>
          <w:b w:val="0"/>
          <w:bCs w:val="0"/>
          <w:color w:val="auto"/>
          <w:sz w:val="28"/>
          <w:szCs w:val="28"/>
          <w:highlight w:val="none"/>
          <w:lang w:val="en-US" w:eastAsia="zh-CN"/>
        </w:rPr>
        <w:t>章 评标办法</w:t>
      </w:r>
      <w:r>
        <w:rPr>
          <w:b w:val="0"/>
          <w:bCs w:val="0"/>
          <w:color w:val="auto"/>
          <w:sz w:val="28"/>
          <w:szCs w:val="28"/>
          <w:highlight w:val="none"/>
        </w:rPr>
        <w:tab/>
      </w:r>
      <w:r>
        <w:rPr>
          <w:b w:val="0"/>
          <w:bCs w:val="0"/>
          <w:color w:val="auto"/>
          <w:sz w:val="28"/>
          <w:szCs w:val="28"/>
          <w:highlight w:val="none"/>
        </w:rPr>
        <w:fldChar w:fldCharType="begin"/>
      </w:r>
      <w:r>
        <w:rPr>
          <w:b w:val="0"/>
          <w:bCs w:val="0"/>
          <w:color w:val="auto"/>
          <w:sz w:val="28"/>
          <w:szCs w:val="28"/>
          <w:highlight w:val="none"/>
        </w:rPr>
        <w:instrText xml:space="preserve"> PAGEREF _Toc8201 \h </w:instrText>
      </w:r>
      <w:r>
        <w:rPr>
          <w:b w:val="0"/>
          <w:bCs w:val="0"/>
          <w:color w:val="auto"/>
          <w:sz w:val="28"/>
          <w:szCs w:val="28"/>
          <w:highlight w:val="none"/>
        </w:rPr>
        <w:fldChar w:fldCharType="separate"/>
      </w:r>
      <w:r>
        <w:rPr>
          <w:b w:val="0"/>
          <w:bCs w:val="0"/>
          <w:color w:val="auto"/>
          <w:sz w:val="28"/>
          <w:szCs w:val="28"/>
          <w:highlight w:val="none"/>
        </w:rPr>
        <w:t>1</w:t>
      </w:r>
      <w:r>
        <w:rPr>
          <w:rFonts w:hint="eastAsia"/>
          <w:b w:val="0"/>
          <w:bCs w:val="0"/>
          <w:color w:val="auto"/>
          <w:sz w:val="28"/>
          <w:szCs w:val="28"/>
          <w:highlight w:val="none"/>
          <w:lang w:val="en-US" w:eastAsia="zh-CN"/>
        </w:rPr>
        <w:t>3</w:t>
      </w:r>
      <w:r>
        <w:rPr>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14:paraId="521C22B7">
      <w:pPr>
        <w:pStyle w:val="32"/>
        <w:shd w:val="clear"/>
        <w:tabs>
          <w:tab w:val="right" w:leader="dot" w:pos="9541"/>
          <w:tab w:val="clear" w:pos="8296"/>
        </w:tabs>
        <w:rPr>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_Toc7727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lang w:val="en-US" w:eastAsia="zh-CN"/>
        </w:rPr>
        <w:t>第</w:t>
      </w:r>
      <w:r>
        <w:rPr>
          <w:rFonts w:hint="eastAsia" w:hAnsi="宋体" w:eastAsia="宋体" w:cs="宋体"/>
          <w:b w:val="0"/>
          <w:bCs w:val="0"/>
          <w:color w:val="auto"/>
          <w:sz w:val="28"/>
          <w:szCs w:val="28"/>
          <w:highlight w:val="none"/>
          <w:lang w:val="en-US" w:eastAsia="zh-CN"/>
        </w:rPr>
        <w:t>五</w:t>
      </w:r>
      <w:r>
        <w:rPr>
          <w:rFonts w:hint="eastAsia" w:ascii="宋体" w:hAnsi="宋体" w:eastAsia="宋体" w:cs="宋体"/>
          <w:b w:val="0"/>
          <w:bCs w:val="0"/>
          <w:color w:val="auto"/>
          <w:sz w:val="28"/>
          <w:szCs w:val="28"/>
          <w:highlight w:val="none"/>
          <w:lang w:val="en-US" w:eastAsia="zh-CN"/>
        </w:rPr>
        <w:t>章 合同条款</w:t>
      </w:r>
      <w:r>
        <w:rPr>
          <w:b w:val="0"/>
          <w:bCs w:val="0"/>
          <w:color w:val="auto"/>
          <w:sz w:val="28"/>
          <w:szCs w:val="28"/>
          <w:highlight w:val="none"/>
        </w:rPr>
        <w:tab/>
      </w:r>
      <w:r>
        <w:rPr>
          <w:b w:val="0"/>
          <w:bCs w:val="0"/>
          <w:color w:val="auto"/>
          <w:sz w:val="28"/>
          <w:szCs w:val="28"/>
          <w:highlight w:val="none"/>
        </w:rPr>
        <w:fldChar w:fldCharType="begin"/>
      </w:r>
      <w:r>
        <w:rPr>
          <w:b w:val="0"/>
          <w:bCs w:val="0"/>
          <w:color w:val="auto"/>
          <w:sz w:val="28"/>
          <w:szCs w:val="28"/>
          <w:highlight w:val="none"/>
        </w:rPr>
        <w:instrText xml:space="preserve"> PAGEREF _Toc7727 \h </w:instrText>
      </w:r>
      <w:r>
        <w:rPr>
          <w:b w:val="0"/>
          <w:bCs w:val="0"/>
          <w:color w:val="auto"/>
          <w:sz w:val="28"/>
          <w:szCs w:val="28"/>
          <w:highlight w:val="none"/>
        </w:rPr>
        <w:fldChar w:fldCharType="separate"/>
      </w:r>
      <w:r>
        <w:rPr>
          <w:b w:val="0"/>
          <w:bCs w:val="0"/>
          <w:color w:val="auto"/>
          <w:sz w:val="28"/>
          <w:szCs w:val="28"/>
          <w:highlight w:val="none"/>
        </w:rPr>
        <w:t>1</w:t>
      </w:r>
      <w:r>
        <w:rPr>
          <w:rFonts w:hint="eastAsia"/>
          <w:b w:val="0"/>
          <w:bCs w:val="0"/>
          <w:color w:val="auto"/>
          <w:sz w:val="28"/>
          <w:szCs w:val="28"/>
          <w:highlight w:val="none"/>
          <w:lang w:val="en-US" w:eastAsia="zh-CN"/>
        </w:rPr>
        <w:t>9</w:t>
      </w:r>
      <w:r>
        <w:rPr>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14:paraId="4E5D9A92">
      <w:pPr>
        <w:pStyle w:val="32"/>
        <w:shd w:val="clear"/>
        <w:tabs>
          <w:tab w:val="right" w:leader="dot" w:pos="9541"/>
          <w:tab w:val="clear" w:pos="8296"/>
        </w:tabs>
        <w:rPr>
          <w:rFonts w:hint="eastAsia" w:eastAsia="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_Toc2691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lang w:val="en-US" w:eastAsia="zh-CN"/>
        </w:rPr>
        <w:t>第</w:t>
      </w:r>
      <w:r>
        <w:rPr>
          <w:rFonts w:hint="eastAsia" w:hAnsi="宋体" w:eastAsia="宋体" w:cs="宋体"/>
          <w:b w:val="0"/>
          <w:bCs w:val="0"/>
          <w:color w:val="auto"/>
          <w:sz w:val="28"/>
          <w:szCs w:val="28"/>
          <w:highlight w:val="none"/>
          <w:lang w:val="en-US" w:eastAsia="zh-CN"/>
        </w:rPr>
        <w:t>六</w:t>
      </w:r>
      <w:r>
        <w:rPr>
          <w:rFonts w:hint="eastAsia" w:ascii="宋体" w:hAnsi="宋体" w:eastAsia="宋体" w:cs="宋体"/>
          <w:b w:val="0"/>
          <w:bCs w:val="0"/>
          <w:color w:val="auto"/>
          <w:sz w:val="28"/>
          <w:szCs w:val="28"/>
          <w:highlight w:val="none"/>
          <w:lang w:val="en-US" w:eastAsia="zh-CN"/>
        </w:rPr>
        <w:t>章</w:t>
      </w:r>
      <w:r>
        <w:rPr>
          <w:rFonts w:hint="eastAsia" w:hAnsi="宋体" w:eastAsia="宋体" w:cs="宋体"/>
          <w:b w:val="0"/>
          <w:bCs w:val="0"/>
          <w:color w:val="auto"/>
          <w:sz w:val="28"/>
          <w:szCs w:val="28"/>
          <w:highlight w:val="none"/>
          <w:lang w:val="en-US" w:eastAsia="zh-CN"/>
        </w:rPr>
        <w:t xml:space="preserve"> </w:t>
      </w:r>
      <w:r>
        <w:rPr>
          <w:rFonts w:hint="eastAsia" w:ascii="宋体" w:hAnsi="宋体" w:eastAsia="宋体" w:cs="宋体"/>
          <w:b w:val="0"/>
          <w:bCs w:val="0"/>
          <w:color w:val="auto"/>
          <w:sz w:val="28"/>
          <w:szCs w:val="28"/>
          <w:highlight w:val="none"/>
          <w:lang w:val="en-US" w:eastAsia="zh-CN"/>
        </w:rPr>
        <w:t>投标文件格式</w:t>
      </w:r>
      <w:r>
        <w:rPr>
          <w:b w:val="0"/>
          <w:bCs w:val="0"/>
          <w:color w:val="auto"/>
          <w:sz w:val="28"/>
          <w:szCs w:val="28"/>
          <w:highlight w:val="none"/>
        </w:rPr>
        <w:tab/>
      </w:r>
      <w:r>
        <w:rPr>
          <w:rFonts w:hint="eastAsia"/>
          <w:b w:val="0"/>
          <w:bCs w:val="0"/>
          <w:color w:val="auto"/>
          <w:sz w:val="28"/>
          <w:szCs w:val="28"/>
          <w:highlight w:val="none"/>
          <w:lang w:val="en-US" w:eastAsia="zh-CN"/>
        </w:rPr>
        <w:t>2</w:t>
      </w:r>
      <w:r>
        <w:rPr>
          <w:rFonts w:hint="eastAsia" w:ascii="宋体" w:hAnsi="宋体" w:eastAsia="宋体" w:cs="宋体"/>
          <w:b w:val="0"/>
          <w:bCs w:val="0"/>
          <w:color w:val="auto"/>
          <w:sz w:val="28"/>
          <w:szCs w:val="28"/>
          <w:highlight w:val="none"/>
        </w:rPr>
        <w:fldChar w:fldCharType="end"/>
      </w:r>
      <w:r>
        <w:rPr>
          <w:rFonts w:hint="eastAsia" w:hAnsi="宋体" w:eastAsia="宋体" w:cs="宋体"/>
          <w:b w:val="0"/>
          <w:bCs w:val="0"/>
          <w:color w:val="auto"/>
          <w:sz w:val="28"/>
          <w:szCs w:val="28"/>
          <w:highlight w:val="none"/>
          <w:lang w:val="en-US" w:eastAsia="zh-CN"/>
        </w:rPr>
        <w:t>3</w:t>
      </w:r>
    </w:p>
    <w:p w14:paraId="04ABA980">
      <w:pPr>
        <w:pStyle w:val="32"/>
        <w:shd w:val="clear"/>
        <w:tabs>
          <w:tab w:val="right" w:leader="dot" w:pos="9541"/>
          <w:tab w:val="clear" w:pos="8296"/>
        </w:tabs>
        <w:rPr>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_Toc13587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lang w:val="en-US" w:eastAsia="zh-CN"/>
        </w:rPr>
        <w:t>第</w:t>
      </w:r>
      <w:r>
        <w:rPr>
          <w:rFonts w:hint="eastAsia" w:hAnsi="宋体" w:eastAsia="宋体" w:cs="宋体"/>
          <w:b w:val="0"/>
          <w:bCs w:val="0"/>
          <w:color w:val="auto"/>
          <w:sz w:val="28"/>
          <w:szCs w:val="28"/>
          <w:highlight w:val="none"/>
          <w:lang w:val="en-US" w:eastAsia="zh-CN"/>
        </w:rPr>
        <w:t>七</w:t>
      </w:r>
      <w:r>
        <w:rPr>
          <w:rFonts w:hint="eastAsia" w:ascii="宋体" w:hAnsi="宋体" w:eastAsia="宋体" w:cs="宋体"/>
          <w:b w:val="0"/>
          <w:bCs w:val="0"/>
          <w:color w:val="auto"/>
          <w:sz w:val="28"/>
          <w:szCs w:val="28"/>
          <w:highlight w:val="none"/>
          <w:lang w:val="en-US" w:eastAsia="zh-CN"/>
        </w:rPr>
        <w:t>章</w:t>
      </w:r>
      <w:r>
        <w:rPr>
          <w:rFonts w:hint="eastAsia" w:hAnsi="宋体" w:eastAsia="宋体" w:cs="宋体"/>
          <w:b w:val="0"/>
          <w:bCs w:val="0"/>
          <w:color w:val="auto"/>
          <w:sz w:val="28"/>
          <w:szCs w:val="28"/>
          <w:highlight w:val="none"/>
          <w:lang w:val="en-US" w:eastAsia="zh-CN"/>
        </w:rPr>
        <w:t xml:space="preserve"> </w:t>
      </w:r>
      <w:r>
        <w:rPr>
          <w:rFonts w:hint="eastAsia" w:ascii="宋体" w:hAnsi="宋体" w:eastAsia="宋体" w:cs="宋体"/>
          <w:b w:val="0"/>
          <w:bCs w:val="0"/>
          <w:color w:val="auto"/>
          <w:sz w:val="28"/>
          <w:szCs w:val="28"/>
          <w:highlight w:val="none"/>
          <w:lang w:val="en-US" w:eastAsia="zh-CN"/>
        </w:rPr>
        <w:t>招标单位、招标代理机构对本招标文件的确认</w:t>
      </w:r>
      <w:r>
        <w:rPr>
          <w:b w:val="0"/>
          <w:bCs w:val="0"/>
          <w:color w:val="auto"/>
          <w:sz w:val="28"/>
          <w:szCs w:val="28"/>
          <w:highlight w:val="none"/>
        </w:rPr>
        <w:tab/>
      </w:r>
      <w:r>
        <w:rPr>
          <w:b w:val="0"/>
          <w:bCs w:val="0"/>
          <w:color w:val="auto"/>
          <w:sz w:val="28"/>
          <w:szCs w:val="28"/>
          <w:highlight w:val="none"/>
        </w:rPr>
        <w:fldChar w:fldCharType="begin"/>
      </w:r>
      <w:r>
        <w:rPr>
          <w:b w:val="0"/>
          <w:bCs w:val="0"/>
          <w:color w:val="auto"/>
          <w:sz w:val="28"/>
          <w:szCs w:val="28"/>
          <w:highlight w:val="none"/>
        </w:rPr>
        <w:instrText xml:space="preserve"> PAGEREF _Toc13587 \h </w:instrText>
      </w:r>
      <w:r>
        <w:rPr>
          <w:b w:val="0"/>
          <w:bCs w:val="0"/>
          <w:color w:val="auto"/>
          <w:sz w:val="28"/>
          <w:szCs w:val="28"/>
          <w:highlight w:val="none"/>
        </w:rPr>
        <w:fldChar w:fldCharType="separate"/>
      </w:r>
      <w:r>
        <w:rPr>
          <w:b w:val="0"/>
          <w:bCs w:val="0"/>
          <w:color w:val="auto"/>
          <w:sz w:val="28"/>
          <w:szCs w:val="28"/>
          <w:highlight w:val="none"/>
        </w:rPr>
        <w:t>2</w:t>
      </w:r>
      <w:r>
        <w:rPr>
          <w:rFonts w:hint="eastAsia"/>
          <w:b w:val="0"/>
          <w:bCs w:val="0"/>
          <w:color w:val="auto"/>
          <w:sz w:val="28"/>
          <w:szCs w:val="28"/>
          <w:highlight w:val="none"/>
          <w:lang w:val="en-US" w:eastAsia="zh-CN"/>
        </w:rPr>
        <w:t>8</w:t>
      </w:r>
      <w:r>
        <w:rPr>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14:paraId="5E11B4AF">
      <w:pPr>
        <w:shd w:val="clear"/>
        <w:rPr>
          <w:color w:val="auto"/>
          <w:highlight w:val="none"/>
        </w:rPr>
      </w:pPr>
      <w:r>
        <w:rPr>
          <w:rFonts w:hint="eastAsia" w:ascii="宋体" w:hAnsi="宋体" w:eastAsia="宋体" w:cs="宋体"/>
          <w:b w:val="0"/>
          <w:bCs w:val="0"/>
          <w:color w:val="auto"/>
          <w:sz w:val="28"/>
          <w:szCs w:val="28"/>
          <w:highlight w:val="none"/>
        </w:rPr>
        <w:fldChar w:fldCharType="end"/>
      </w:r>
    </w:p>
    <w:p w14:paraId="7B87CC13">
      <w:pPr>
        <w:pStyle w:val="6"/>
        <w:shd w:val="clear"/>
        <w:spacing w:before="0" w:after="0" w:line="480" w:lineRule="auto"/>
        <w:jc w:val="both"/>
        <w:rPr>
          <w:rFonts w:hint="default" w:ascii="仿宋" w:eastAsia="宋体" w:cs="仿宋"/>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 </w:t>
      </w:r>
      <w:bookmarkStart w:id="45" w:name="_GoBack"/>
      <w:bookmarkEnd w:id="45"/>
    </w:p>
    <w:p w14:paraId="693435BD">
      <w:pPr>
        <w:shd w:val="clear"/>
        <w:rPr>
          <w:color w:val="auto"/>
          <w:highlight w:val="none"/>
        </w:rPr>
        <w:sectPr>
          <w:footerReference r:id="rId8" w:type="first"/>
          <w:footerReference r:id="rId7" w:type="default"/>
          <w:pgSz w:w="11906" w:h="16838"/>
          <w:pgMar w:top="935" w:right="1106" w:bottom="936" w:left="1259" w:header="680" w:footer="680" w:gutter="0"/>
          <w:pgNumType w:start="1"/>
          <w:cols w:space="0" w:num="1"/>
          <w:docGrid w:type="lines" w:linePitch="318" w:charSpace="0"/>
        </w:sectPr>
      </w:pPr>
      <w:r>
        <w:rPr>
          <w:rFonts w:hint="eastAsia" w:ascii="宋体" w:hAnsi="宋体" w:eastAsia="宋体" w:cs="宋体"/>
          <w:b w:val="0"/>
          <w:bCs w:val="0"/>
          <w:color w:val="auto"/>
          <w:sz w:val="24"/>
          <w:szCs w:val="24"/>
          <w:highlight w:val="none"/>
        </w:rPr>
        <w:tab/>
      </w:r>
    </w:p>
    <w:p w14:paraId="0D24BFCD">
      <w:pPr>
        <w:keepNext w:val="0"/>
        <w:keepLines w:val="0"/>
        <w:pageBreakBefore w:val="0"/>
        <w:shd w:val="clear"/>
        <w:kinsoku/>
        <w:wordWrap/>
        <w:overflowPunct/>
        <w:topLinePunct w:val="0"/>
        <w:autoSpaceDN/>
        <w:bidi w:val="0"/>
        <w:adjustRightInd/>
        <w:snapToGrid/>
        <w:spacing w:line="360" w:lineRule="auto"/>
        <w:jc w:val="center"/>
        <w:textAlignment w:val="auto"/>
        <w:rPr>
          <w:rFonts w:hint="eastAsia" w:ascii="宋体" w:hAnsi="宋体" w:eastAsia="宋体" w:cs="宋体"/>
          <w:color w:val="auto"/>
          <w:sz w:val="24"/>
          <w:szCs w:val="24"/>
          <w:highlight w:val="none"/>
        </w:rPr>
      </w:pPr>
      <w:bookmarkStart w:id="0" w:name="_Toc892"/>
      <w:r>
        <w:rPr>
          <w:rFonts w:hint="eastAsia" w:ascii="Times New Roman" w:hAnsi="Times New Roman" w:eastAsia="黑体" w:cs="Times New Roman"/>
          <w:bCs/>
          <w:color w:val="auto"/>
          <w:sz w:val="32"/>
          <w:highlight w:val="none"/>
          <w:lang w:val="en-US" w:eastAsia="zh-CN"/>
        </w:rPr>
        <w:t xml:space="preserve">第一章 </w:t>
      </w:r>
      <w:r>
        <w:rPr>
          <w:rFonts w:hint="eastAsia" w:ascii="Times New Roman" w:hAnsi="Times New Roman" w:eastAsia="黑体" w:cs="Times New Roman"/>
          <w:bCs/>
          <w:color w:val="auto"/>
          <w:sz w:val="32"/>
          <w:highlight w:val="none"/>
        </w:rPr>
        <w:t>招标公告</w:t>
      </w:r>
    </w:p>
    <w:p w14:paraId="74C68337">
      <w:pPr>
        <w:keepNext w:val="0"/>
        <w:keepLines w:val="0"/>
        <w:pageBreakBefore w:val="0"/>
        <w:widowControl/>
        <w:suppressLineNumbers w:val="0"/>
        <w:shd w:val="clear"/>
        <w:kinsoku/>
        <w:wordWrap/>
        <w:overflowPunct/>
        <w:topLinePunct w:val="0"/>
        <w:autoSpaceDE w:val="0"/>
        <w:autoSpaceDN/>
        <w:bidi w:val="0"/>
        <w:adjustRightInd/>
        <w:snapToGrid/>
        <w:spacing w:before="0" w:beforeAutospacing="0" w:after="0" w:afterAutospacing="0" w:line="360" w:lineRule="auto"/>
        <w:ind w:right="0"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项目概况</w:t>
      </w:r>
    </w:p>
    <w:p w14:paraId="75B95E77">
      <w:pPr>
        <w:keepNext w:val="0"/>
        <w:keepLines w:val="0"/>
        <w:pageBreakBefore w:val="0"/>
        <w:widowControl/>
        <w:suppressLineNumbers w:val="0"/>
        <w:shd w:val="clear"/>
        <w:kinsoku/>
        <w:wordWrap w:val="0"/>
        <w:overflowPunct/>
        <w:topLinePunct w:val="0"/>
        <w:autoSpaceDE w:val="0"/>
        <w:autoSpaceDN/>
        <w:bidi w:val="0"/>
        <w:adjustRightInd/>
        <w:snapToGrid/>
        <w:spacing w:before="0" w:beforeAutospacing="0" w:after="0" w:afterAutospacing="0" w:line="360" w:lineRule="auto"/>
        <w:ind w:right="0"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u w:val="single"/>
          <w:lang w:val="en-US" w:eastAsia="zh-CN" w:bidi="ar"/>
        </w:rPr>
        <w:t xml:space="preserve">琅琊山南门民宿等四个项目结算复核服务项目 </w:t>
      </w:r>
      <w:r>
        <w:rPr>
          <w:rFonts w:hint="eastAsia" w:ascii="宋体" w:hAnsi="宋体" w:eastAsia="宋体" w:cs="宋体"/>
          <w:color w:val="auto"/>
          <w:kern w:val="0"/>
          <w:sz w:val="21"/>
          <w:szCs w:val="21"/>
          <w:highlight w:val="none"/>
          <w:lang w:val="en-US" w:eastAsia="zh-CN" w:bidi="ar"/>
        </w:rPr>
        <w:t>的潜在投标人应在</w:t>
      </w:r>
      <w:r>
        <w:rPr>
          <w:rFonts w:hint="eastAsia" w:ascii="宋体" w:hAnsi="宋体" w:cs="宋体"/>
          <w:color w:val="auto"/>
          <w:kern w:val="0"/>
          <w:sz w:val="21"/>
          <w:szCs w:val="21"/>
          <w:highlight w:val="none"/>
          <w:u w:val="single"/>
          <w:lang w:val="en-US" w:eastAsia="zh-CN" w:bidi="ar"/>
        </w:rPr>
        <w:t>琅琊山风景名胜区管理委员会网站（https://lgw.chuzhou.gov.cn/）、安徽省琅琊山旅游发展有限公司网站(https://www.lysfjq.cn/)、滁州市城投工程咨询管理有限公司网站（https://www.czctgczx.com/)</w:t>
      </w:r>
      <w:r>
        <w:rPr>
          <w:rFonts w:hint="eastAsia" w:ascii="宋体" w:hAnsi="宋体" w:eastAsia="宋体" w:cs="宋体"/>
          <w:color w:val="auto"/>
          <w:kern w:val="0"/>
          <w:sz w:val="21"/>
          <w:szCs w:val="21"/>
          <w:highlight w:val="none"/>
          <w:lang w:val="en-US" w:eastAsia="zh-CN" w:bidi="ar"/>
        </w:rPr>
        <w:t>获取招标文件，并于</w:t>
      </w:r>
      <w:r>
        <w:rPr>
          <w:rFonts w:hint="eastAsia" w:ascii="宋体" w:hAnsi="宋体" w:cs="宋体"/>
          <w:color w:val="auto"/>
          <w:kern w:val="0"/>
          <w:sz w:val="21"/>
          <w:szCs w:val="21"/>
          <w:highlight w:val="none"/>
          <w:lang w:val="en-US" w:eastAsia="zh-CN" w:bidi="ar"/>
        </w:rPr>
        <w:t>2025年8月14</w:t>
      </w:r>
      <w:r>
        <w:rPr>
          <w:rFonts w:hint="eastAsia" w:ascii="宋体" w:hAnsi="宋体" w:eastAsia="宋体" w:cs="宋体"/>
          <w:color w:val="auto"/>
          <w:kern w:val="0"/>
          <w:sz w:val="21"/>
          <w:szCs w:val="21"/>
          <w:highlight w:val="none"/>
          <w:lang w:val="en-US" w:eastAsia="zh-CN" w:bidi="ar"/>
        </w:rPr>
        <w:t>日15时</w:t>
      </w:r>
      <w:r>
        <w:rPr>
          <w:rFonts w:hint="eastAsia" w:ascii="宋体" w:hAnsi="宋体" w:cs="宋体"/>
          <w:color w:val="auto"/>
          <w:kern w:val="0"/>
          <w:sz w:val="21"/>
          <w:szCs w:val="21"/>
          <w:highlight w:val="none"/>
          <w:lang w:val="en-US" w:eastAsia="zh-CN" w:bidi="ar"/>
        </w:rPr>
        <w:t>0</w:t>
      </w:r>
      <w:r>
        <w:rPr>
          <w:rFonts w:hint="eastAsia" w:ascii="宋体" w:hAnsi="宋体" w:eastAsia="宋体" w:cs="宋体"/>
          <w:color w:val="auto"/>
          <w:kern w:val="0"/>
          <w:sz w:val="21"/>
          <w:szCs w:val="21"/>
          <w:highlight w:val="none"/>
          <w:lang w:val="en-US" w:eastAsia="zh-CN" w:bidi="ar"/>
        </w:rPr>
        <w:t>0分（北京时间）前递交投标文件。</w:t>
      </w:r>
    </w:p>
    <w:p w14:paraId="5018A518">
      <w:pPr>
        <w:keepNext w:val="0"/>
        <w:keepLines w:val="0"/>
        <w:pageBreakBefore w:val="0"/>
        <w:widowControl/>
        <w:suppressLineNumbers w:val="0"/>
        <w:shd w:val="clear"/>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lang w:val="en-US" w:eastAsia="zh-CN" w:bidi="ar"/>
        </w:rPr>
        <w:t>一、项目基本情况</w:t>
      </w:r>
    </w:p>
    <w:p w14:paraId="47F9B4EA">
      <w:pPr>
        <w:keepNext w:val="0"/>
        <w:keepLines w:val="0"/>
        <w:pageBreakBefore w:val="0"/>
        <w:widowControl/>
        <w:suppressLineNumbers w:val="0"/>
        <w:shd w:val="clear"/>
        <w:kinsoku/>
        <w:wordWrap w:val="0"/>
        <w:overflowPunct/>
        <w:topLinePunct w:val="0"/>
        <w:autoSpaceDE w:val="0"/>
        <w:autoSpaceDN/>
        <w:bidi w:val="0"/>
        <w:adjustRightInd/>
        <w:snapToGrid/>
        <w:spacing w:before="0" w:beforeAutospacing="0" w:after="0" w:afterAutospacing="0" w:line="360" w:lineRule="auto"/>
        <w:ind w:right="0"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项目名称：</w:t>
      </w:r>
      <w:r>
        <w:rPr>
          <w:rFonts w:hint="eastAsia" w:ascii="宋体" w:hAnsi="宋体" w:eastAsia="宋体" w:cs="宋体"/>
          <w:color w:val="auto"/>
          <w:kern w:val="0"/>
          <w:sz w:val="21"/>
          <w:szCs w:val="21"/>
          <w:highlight w:val="none"/>
          <w:u w:val="none"/>
          <w:lang w:val="en-US" w:eastAsia="zh-CN" w:bidi="ar"/>
        </w:rPr>
        <w:t>琅琊山南门民宿等四个项目结算复核服务项目</w:t>
      </w:r>
    </w:p>
    <w:p w14:paraId="1905ACE2">
      <w:pPr>
        <w:keepNext w:val="0"/>
        <w:keepLines w:val="0"/>
        <w:pageBreakBefore w:val="0"/>
        <w:widowControl/>
        <w:suppressLineNumbers w:val="0"/>
        <w:shd w:val="clear"/>
        <w:kinsoku/>
        <w:wordWrap w:val="0"/>
        <w:overflowPunct/>
        <w:topLinePunct w:val="0"/>
        <w:autoSpaceDE w:val="0"/>
        <w:autoSpaceDN/>
        <w:bidi w:val="0"/>
        <w:adjustRightInd/>
        <w:snapToGrid/>
        <w:spacing w:before="0" w:beforeAutospacing="0" w:after="0" w:afterAutospacing="0" w:line="360" w:lineRule="auto"/>
        <w:ind w:right="0" w:firstLine="420"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预算金额：</w:t>
      </w:r>
      <w:r>
        <w:rPr>
          <w:rFonts w:hint="eastAsia" w:ascii="宋体" w:hAnsi="宋体" w:cs="宋体"/>
          <w:b w:val="0"/>
          <w:bCs w:val="0"/>
          <w:color w:val="auto"/>
          <w:kern w:val="0"/>
          <w:sz w:val="21"/>
          <w:szCs w:val="21"/>
          <w:highlight w:val="none"/>
          <w:lang w:val="en-US" w:eastAsia="zh-CN"/>
        </w:rPr>
        <w:t>约15.02万元</w:t>
      </w:r>
    </w:p>
    <w:p w14:paraId="23928D56">
      <w:pPr>
        <w:keepNext w:val="0"/>
        <w:keepLines w:val="0"/>
        <w:pageBreakBefore w:val="0"/>
        <w:widowControl/>
        <w:suppressLineNumbers w:val="0"/>
        <w:shd w:val="clear"/>
        <w:kinsoku/>
        <w:wordWrap w:val="0"/>
        <w:overflowPunct/>
        <w:topLinePunct w:val="0"/>
        <w:autoSpaceDE w:val="0"/>
        <w:autoSpaceDN/>
        <w:bidi w:val="0"/>
        <w:adjustRightInd/>
        <w:snapToGrid/>
        <w:spacing w:before="0" w:beforeAutospacing="0" w:after="0" w:afterAutospacing="0" w:line="360" w:lineRule="auto"/>
        <w:ind w:right="0"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最高限价：</w:t>
      </w:r>
      <w:r>
        <w:rPr>
          <w:rFonts w:hint="eastAsia" w:ascii="宋体" w:hAnsi="宋体" w:cs="宋体"/>
          <w:b w:val="0"/>
          <w:bCs w:val="0"/>
          <w:color w:val="auto"/>
          <w:kern w:val="0"/>
          <w:sz w:val="21"/>
          <w:szCs w:val="21"/>
          <w:highlight w:val="none"/>
          <w:lang w:eastAsia="zh-CN"/>
        </w:rPr>
        <w:t>环琅琊山景观道（滁州学院-丰乐亭）生态走廊修复EPC工程</w:t>
      </w:r>
      <w:r>
        <w:rPr>
          <w:rFonts w:hint="eastAsia" w:ascii="宋体" w:hAnsi="宋体" w:eastAsia="宋体" w:cs="宋体"/>
          <w:b w:val="0"/>
          <w:bCs w:val="0"/>
          <w:color w:val="auto"/>
          <w:kern w:val="0"/>
          <w:sz w:val="21"/>
          <w:szCs w:val="21"/>
          <w:highlight w:val="none"/>
          <w:lang w:val="en-US" w:eastAsia="zh-CN"/>
        </w:rPr>
        <w:t>基本费8000元</w:t>
      </w:r>
      <w:r>
        <w:rPr>
          <w:rFonts w:hint="eastAsia" w:ascii="宋体" w:hAnsi="宋体" w:cs="宋体"/>
          <w:b w:val="0"/>
          <w:bCs w:val="0"/>
          <w:color w:val="auto"/>
          <w:kern w:val="0"/>
          <w:sz w:val="21"/>
          <w:szCs w:val="21"/>
          <w:highlight w:val="none"/>
          <w:lang w:eastAsia="zh-CN"/>
        </w:rPr>
        <w:t>、琅琊山南门民宿项目EPC工程</w:t>
      </w:r>
      <w:r>
        <w:rPr>
          <w:rFonts w:hint="eastAsia" w:ascii="宋体" w:hAnsi="宋体" w:eastAsia="宋体" w:cs="宋体"/>
          <w:b w:val="0"/>
          <w:bCs w:val="0"/>
          <w:color w:val="auto"/>
          <w:kern w:val="0"/>
          <w:sz w:val="21"/>
          <w:szCs w:val="21"/>
          <w:highlight w:val="none"/>
          <w:lang w:val="en-US" w:eastAsia="zh-CN"/>
        </w:rPr>
        <w:t>基本费1000</w:t>
      </w:r>
      <w:r>
        <w:rPr>
          <w:rFonts w:hint="eastAsia" w:ascii="宋体" w:hAnsi="宋体" w:cs="宋体"/>
          <w:b w:val="0"/>
          <w:bCs w:val="0"/>
          <w:color w:val="auto"/>
          <w:kern w:val="0"/>
          <w:sz w:val="21"/>
          <w:szCs w:val="21"/>
          <w:highlight w:val="none"/>
          <w:lang w:val="en-US" w:eastAsia="zh-CN"/>
        </w:rPr>
        <w:t>0</w:t>
      </w:r>
      <w:r>
        <w:rPr>
          <w:rFonts w:hint="eastAsia" w:ascii="宋体" w:hAnsi="宋体" w:eastAsia="宋体" w:cs="宋体"/>
          <w:b w:val="0"/>
          <w:bCs w:val="0"/>
          <w:color w:val="auto"/>
          <w:kern w:val="0"/>
          <w:sz w:val="21"/>
          <w:szCs w:val="21"/>
          <w:highlight w:val="none"/>
          <w:lang w:val="en-US" w:eastAsia="zh-CN"/>
        </w:rPr>
        <w:t>元</w:t>
      </w:r>
      <w:r>
        <w:rPr>
          <w:rFonts w:hint="eastAsia" w:ascii="宋体" w:hAnsi="宋体" w:cs="宋体"/>
          <w:b w:val="0"/>
          <w:bCs w:val="0"/>
          <w:color w:val="auto"/>
          <w:kern w:val="0"/>
          <w:sz w:val="21"/>
          <w:szCs w:val="21"/>
          <w:highlight w:val="none"/>
          <w:lang w:eastAsia="zh-CN"/>
        </w:rPr>
        <w:t>、滁州琅琊山二道河漂流设计采购施工（EPC）</w:t>
      </w:r>
      <w:r>
        <w:rPr>
          <w:rFonts w:hint="eastAsia" w:ascii="宋体" w:hAnsi="宋体" w:eastAsia="宋体" w:cs="宋体"/>
          <w:b w:val="0"/>
          <w:bCs w:val="0"/>
          <w:color w:val="auto"/>
          <w:kern w:val="0"/>
          <w:sz w:val="21"/>
          <w:szCs w:val="21"/>
          <w:highlight w:val="none"/>
          <w:lang w:val="en-US" w:eastAsia="zh-CN"/>
        </w:rPr>
        <w:t>项目基本费10000元</w:t>
      </w:r>
      <w:r>
        <w:rPr>
          <w:rFonts w:hint="eastAsia" w:ascii="宋体" w:hAnsi="宋体" w:cs="宋体"/>
          <w:b w:val="0"/>
          <w:bCs w:val="0"/>
          <w:color w:val="auto"/>
          <w:kern w:val="0"/>
          <w:sz w:val="21"/>
          <w:szCs w:val="21"/>
          <w:highlight w:val="none"/>
          <w:lang w:val="en-US" w:eastAsia="zh-CN"/>
        </w:rPr>
        <w:t>、</w:t>
      </w:r>
      <w:r>
        <w:rPr>
          <w:rFonts w:hint="eastAsia" w:ascii="宋体" w:hAnsi="宋体" w:cs="宋体"/>
          <w:b w:val="0"/>
          <w:bCs w:val="0"/>
          <w:color w:val="auto"/>
          <w:kern w:val="0"/>
          <w:sz w:val="21"/>
          <w:szCs w:val="21"/>
          <w:highlight w:val="none"/>
          <w:lang w:eastAsia="zh-CN"/>
        </w:rPr>
        <w:t>琅琊山摩崖石刻及碑刻安防设计施工一体化工程</w:t>
      </w:r>
      <w:r>
        <w:rPr>
          <w:rFonts w:hint="eastAsia" w:ascii="宋体" w:hAnsi="宋体" w:cs="宋体"/>
          <w:b w:val="0"/>
          <w:bCs w:val="0"/>
          <w:color w:val="auto"/>
          <w:kern w:val="0"/>
          <w:sz w:val="21"/>
          <w:szCs w:val="21"/>
          <w:highlight w:val="none"/>
          <w:lang w:val="en-US" w:eastAsia="zh-CN"/>
        </w:rPr>
        <w:t>项目基本费5000元</w:t>
      </w:r>
      <w:r>
        <w:rPr>
          <w:rFonts w:hint="eastAsia" w:ascii="宋体" w:hAnsi="宋体" w:eastAsia="宋体" w:cs="宋体"/>
          <w:b w:val="0"/>
          <w:bCs w:val="0"/>
          <w:color w:val="auto"/>
          <w:kern w:val="0"/>
          <w:sz w:val="21"/>
          <w:szCs w:val="21"/>
          <w:highlight w:val="none"/>
          <w:lang w:val="en-US" w:eastAsia="zh-CN"/>
        </w:rPr>
        <w:t>；审核成果费率4%。投标单位报折扣率，即投标价=</w:t>
      </w:r>
      <w:r>
        <w:rPr>
          <w:rFonts w:hint="eastAsia" w:ascii="宋体" w:hAnsi="宋体" w:cs="宋体"/>
          <w:b w:val="0"/>
          <w:bCs w:val="0"/>
          <w:color w:val="auto"/>
          <w:kern w:val="0"/>
          <w:sz w:val="21"/>
          <w:szCs w:val="21"/>
          <w:highlight w:val="none"/>
          <w:lang w:val="en-US" w:eastAsia="zh-CN"/>
        </w:rPr>
        <w:t>［</w:t>
      </w:r>
      <w:r>
        <w:rPr>
          <w:rFonts w:hint="eastAsia" w:ascii="宋体" w:hAnsi="宋体" w:eastAsia="宋体" w:cs="宋体"/>
          <w:b w:val="0"/>
          <w:bCs w:val="0"/>
          <w:color w:val="auto"/>
          <w:kern w:val="0"/>
          <w:sz w:val="21"/>
          <w:szCs w:val="21"/>
          <w:highlight w:val="none"/>
          <w:lang w:val="en-US" w:eastAsia="zh-CN"/>
        </w:rPr>
        <w:t>（基本费+核减额*4%）*折扣率〕，投标人折扣率报价不得高于100%，否则按无效标处理。（投标报价不可以填报0或负数，否则按无效标处理。</w:t>
      </w:r>
    </w:p>
    <w:p w14:paraId="499A415B">
      <w:pPr>
        <w:numPr>
          <w:ilvl w:val="0"/>
          <w:numId w:val="0"/>
        </w:numPr>
        <w:shd w:val="clear" w:color="auto"/>
        <w:spacing w:line="450" w:lineRule="exact"/>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采购需求：</w:t>
      </w:r>
      <w:r>
        <w:rPr>
          <w:rFonts w:hint="eastAsia" w:ascii="宋体" w:hAnsi="宋体" w:cs="宋体"/>
          <w:b w:val="0"/>
          <w:bCs w:val="0"/>
          <w:color w:val="auto"/>
          <w:kern w:val="0"/>
          <w:sz w:val="21"/>
          <w:szCs w:val="21"/>
          <w:highlight w:val="none"/>
          <w:lang w:eastAsia="zh-CN"/>
        </w:rPr>
        <w:t>环琅琊山景观道（滁州学院-丰乐亭）生态走廊修复EPC工程合同金额847.45万元、琅琊山南门民宿项目EPC工程合同金额3900万元、滁州琅琊山二道河漂流设计采购施工（EPC）项目合同金额4750万元、琅琊山摩崖石刻及碑刻安防设计施工一体化工程</w:t>
      </w:r>
      <w:r>
        <w:rPr>
          <w:rFonts w:hint="eastAsia" w:ascii="宋体" w:hAnsi="宋体" w:cs="宋体"/>
          <w:b w:val="0"/>
          <w:bCs w:val="0"/>
          <w:color w:val="auto"/>
          <w:kern w:val="0"/>
          <w:sz w:val="21"/>
          <w:szCs w:val="21"/>
          <w:highlight w:val="none"/>
          <w:lang w:val="en-US" w:eastAsia="zh-CN"/>
        </w:rPr>
        <w:t>合同金额269.879410万元</w:t>
      </w:r>
      <w:r>
        <w:rPr>
          <w:rFonts w:hint="eastAsia" w:ascii="宋体" w:hAnsi="宋体" w:cs="宋体"/>
          <w:b w:val="0"/>
          <w:bCs w:val="0"/>
          <w:color w:val="auto"/>
          <w:kern w:val="0"/>
          <w:sz w:val="21"/>
          <w:szCs w:val="21"/>
          <w:highlight w:val="none"/>
          <w:lang w:eastAsia="zh-CN"/>
        </w:rPr>
        <w:t>。</w:t>
      </w:r>
    </w:p>
    <w:p w14:paraId="47C6F9F7">
      <w:pPr>
        <w:keepNext w:val="0"/>
        <w:keepLines w:val="0"/>
        <w:pageBreakBefore w:val="0"/>
        <w:widowControl/>
        <w:suppressLineNumbers w:val="0"/>
        <w:shd w:val="clear"/>
        <w:kinsoku/>
        <w:wordWrap w:val="0"/>
        <w:overflowPunct/>
        <w:topLinePunct w:val="0"/>
        <w:autoSpaceDE w:val="0"/>
        <w:autoSpaceDN/>
        <w:bidi w:val="0"/>
        <w:adjustRightInd/>
        <w:snapToGrid/>
        <w:spacing w:before="0" w:beforeAutospacing="0" w:after="0" w:afterAutospacing="0" w:line="360" w:lineRule="auto"/>
        <w:ind w:right="0"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服务期：</w:t>
      </w:r>
      <w:r>
        <w:rPr>
          <w:rFonts w:hint="eastAsia" w:ascii="宋体" w:hAnsi="宋体" w:cs="宋体"/>
          <w:b w:val="0"/>
          <w:bCs w:val="0"/>
          <w:color w:val="auto"/>
          <w:sz w:val="21"/>
          <w:szCs w:val="21"/>
          <w:highlight w:val="none"/>
          <w:lang w:val="en-US" w:eastAsia="zh-CN"/>
        </w:rPr>
        <w:t>自合同签订之日起50个日历天内完成，具体执行招标人要求。</w:t>
      </w:r>
    </w:p>
    <w:p w14:paraId="4B502DE0">
      <w:pPr>
        <w:keepNext w:val="0"/>
        <w:keepLines w:val="0"/>
        <w:pageBreakBefore w:val="0"/>
        <w:widowControl/>
        <w:suppressLineNumbers w:val="0"/>
        <w:shd w:val="clear"/>
        <w:kinsoku/>
        <w:wordWrap w:val="0"/>
        <w:overflowPunct/>
        <w:topLinePunct w:val="0"/>
        <w:autoSpaceDE w:val="0"/>
        <w:autoSpaceDN/>
        <w:bidi w:val="0"/>
        <w:adjustRightInd/>
        <w:snapToGrid/>
        <w:spacing w:before="0" w:beforeAutospacing="0" w:after="0" w:afterAutospacing="0" w:line="360" w:lineRule="auto"/>
        <w:ind w:right="0"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本项目不接受联合体投标</w:t>
      </w:r>
    </w:p>
    <w:p w14:paraId="6189C4A2">
      <w:pPr>
        <w:keepNext w:val="0"/>
        <w:keepLines w:val="0"/>
        <w:pageBreakBefore w:val="0"/>
        <w:widowControl/>
        <w:suppressLineNumbers w:val="0"/>
        <w:shd w:val="clear"/>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color w:val="auto"/>
          <w:spacing w:val="2"/>
          <w:sz w:val="24"/>
          <w:szCs w:val="24"/>
          <w:highlight w:val="none"/>
          <w:lang w:val="en-US"/>
        </w:rPr>
      </w:pPr>
      <w:r>
        <w:rPr>
          <w:rFonts w:hint="eastAsia" w:ascii="宋体" w:hAnsi="宋体" w:eastAsia="宋体" w:cs="宋体"/>
          <w:b/>
          <w:bCs w:val="0"/>
          <w:color w:val="auto"/>
          <w:spacing w:val="2"/>
          <w:kern w:val="0"/>
          <w:sz w:val="24"/>
          <w:szCs w:val="24"/>
          <w:highlight w:val="none"/>
          <w:lang w:val="en-US" w:eastAsia="zh-CN" w:bidi="ar"/>
        </w:rPr>
        <w:t>二、</w:t>
      </w:r>
      <w:r>
        <w:rPr>
          <w:rFonts w:hint="eastAsia" w:ascii="宋体" w:hAnsi="宋体" w:eastAsia="宋体" w:cs="宋体"/>
          <w:b/>
          <w:bCs w:val="0"/>
          <w:color w:val="auto"/>
          <w:kern w:val="0"/>
          <w:sz w:val="24"/>
          <w:szCs w:val="24"/>
          <w:highlight w:val="none"/>
          <w:lang w:val="en-US" w:eastAsia="zh-CN" w:bidi="ar"/>
        </w:rPr>
        <w:t>申请人的资格要求</w:t>
      </w:r>
    </w:p>
    <w:p w14:paraId="1CA84F83">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63" w:leftChars="30" w:right="63" w:rightChars="30"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2.1投标人具有承担本项目相应服务能力的企业；</w:t>
      </w:r>
    </w:p>
    <w:p w14:paraId="3654312C">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63" w:leftChars="30" w:right="63" w:rightChars="30"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2.2项目负责人要求：必须具有建设部颁发的中华人民共和国注册造价工程师（或一级造价师）注册执业证书，专业为土木建筑工程；</w:t>
      </w:r>
    </w:p>
    <w:p w14:paraId="788002A4">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63" w:leftChars="30" w:right="63" w:rightChars="30"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2.3</w:t>
      </w:r>
      <w:r>
        <w:rPr>
          <w:rFonts w:hint="eastAsia" w:ascii="宋体" w:hAnsi="宋体" w:eastAsia="宋体" w:cs="宋体"/>
          <w:b w:val="0"/>
          <w:bCs w:val="0"/>
          <w:color w:val="auto"/>
          <w:kern w:val="0"/>
          <w:sz w:val="21"/>
          <w:szCs w:val="21"/>
          <w:highlight w:val="none"/>
          <w:lang w:val="en-US" w:eastAsia="zh-CN"/>
        </w:rPr>
        <w:t>项目组其他成员（不含项目负责人）要求：不少于2名且具有在本单位注册的二级及以上造价工程师（土木建筑工程专业至少1名、安装工程专业至少1名）；</w:t>
      </w:r>
    </w:p>
    <w:p w14:paraId="6563CEDA">
      <w:pPr>
        <w:keepNext w:val="0"/>
        <w:keepLines w:val="0"/>
        <w:pageBreakBefore w:val="0"/>
        <w:widowControl/>
        <w:suppressLineNumbers w:val="0"/>
        <w:shd w:val="clear"/>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三、获取招标文件</w:t>
      </w:r>
    </w:p>
    <w:p w14:paraId="58DD8D3B">
      <w:pPr>
        <w:keepNext w:val="0"/>
        <w:keepLines w:val="0"/>
        <w:pageBreakBefore w:val="0"/>
        <w:widowControl/>
        <w:suppressLineNumbers w:val="0"/>
        <w:shd w:val="clear"/>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sz w:val="21"/>
          <w:szCs w:val="21"/>
          <w:highlight w:val="none"/>
          <w:u w:val="single"/>
          <w:lang w:val="en-US"/>
        </w:rPr>
      </w:pPr>
      <w:r>
        <w:rPr>
          <w:rFonts w:hint="eastAsia" w:ascii="宋体" w:hAnsi="宋体" w:eastAsia="宋体" w:cs="宋体"/>
          <w:color w:val="auto"/>
          <w:kern w:val="0"/>
          <w:sz w:val="21"/>
          <w:szCs w:val="21"/>
          <w:highlight w:val="none"/>
          <w:lang w:val="en-US" w:eastAsia="zh-CN" w:bidi="ar"/>
        </w:rPr>
        <w:t>时间：</w:t>
      </w:r>
      <w:r>
        <w:rPr>
          <w:rFonts w:hint="eastAsia" w:ascii="宋体" w:hAnsi="宋体" w:cs="宋体"/>
          <w:color w:val="auto"/>
          <w:kern w:val="0"/>
          <w:sz w:val="21"/>
          <w:szCs w:val="21"/>
          <w:highlight w:val="none"/>
          <w:u w:val="single" w:color="000000"/>
          <w:lang w:val="en-US" w:eastAsia="zh-CN" w:bidi="ar"/>
        </w:rPr>
        <w:t>2025年8月7</w:t>
      </w:r>
      <w:r>
        <w:rPr>
          <w:rFonts w:hint="eastAsia" w:ascii="宋体" w:hAnsi="宋体" w:eastAsia="宋体" w:cs="宋体"/>
          <w:color w:val="auto"/>
          <w:kern w:val="0"/>
          <w:sz w:val="21"/>
          <w:szCs w:val="21"/>
          <w:highlight w:val="none"/>
          <w:u w:val="single" w:color="000000"/>
          <w:lang w:val="en-US" w:eastAsia="zh-CN" w:bidi="ar"/>
        </w:rPr>
        <w:t>日</w:t>
      </w:r>
      <w:r>
        <w:rPr>
          <w:rFonts w:hint="eastAsia" w:ascii="宋体" w:hAnsi="宋体" w:eastAsia="宋体" w:cs="宋体"/>
          <w:color w:val="auto"/>
          <w:kern w:val="0"/>
          <w:sz w:val="21"/>
          <w:szCs w:val="21"/>
          <w:highlight w:val="none"/>
          <w:lang w:val="en-US" w:eastAsia="zh-CN" w:bidi="ar"/>
        </w:rPr>
        <w:t>至</w:t>
      </w:r>
      <w:r>
        <w:rPr>
          <w:rFonts w:hint="eastAsia" w:ascii="宋体" w:hAnsi="宋体" w:eastAsia="宋体" w:cs="宋体"/>
          <w:color w:val="auto"/>
          <w:kern w:val="0"/>
          <w:sz w:val="21"/>
          <w:szCs w:val="21"/>
          <w:highlight w:val="none"/>
          <w:u w:val="single" w:color="000000"/>
          <w:lang w:val="en-US" w:eastAsia="zh-CN" w:bidi="ar"/>
        </w:rPr>
        <w:t xml:space="preserve"> </w:t>
      </w:r>
      <w:r>
        <w:rPr>
          <w:rFonts w:hint="eastAsia" w:ascii="宋体" w:hAnsi="宋体" w:cs="宋体"/>
          <w:color w:val="auto"/>
          <w:kern w:val="0"/>
          <w:sz w:val="21"/>
          <w:szCs w:val="21"/>
          <w:highlight w:val="none"/>
          <w:u w:val="single" w:color="000000"/>
          <w:lang w:val="en-US" w:eastAsia="zh-CN" w:bidi="ar"/>
        </w:rPr>
        <w:t>2025年8月14</w:t>
      </w:r>
      <w:r>
        <w:rPr>
          <w:rFonts w:hint="eastAsia" w:ascii="宋体" w:hAnsi="宋体" w:eastAsia="宋体" w:cs="宋体"/>
          <w:color w:val="auto"/>
          <w:kern w:val="0"/>
          <w:sz w:val="21"/>
          <w:szCs w:val="21"/>
          <w:highlight w:val="none"/>
          <w:u w:val="single" w:color="000000"/>
          <w:lang w:val="en-US" w:eastAsia="zh-CN" w:bidi="ar"/>
        </w:rPr>
        <w:t>日</w:t>
      </w:r>
    </w:p>
    <w:p w14:paraId="25D844F5">
      <w:pPr>
        <w:keepNext w:val="0"/>
        <w:keepLines w:val="0"/>
        <w:pageBreakBefore w:val="0"/>
        <w:widowControl w:val="0"/>
        <w:shd w:val="clear"/>
        <w:kinsoku/>
        <w:wordWrap w:val="0"/>
        <w:overflowPunct/>
        <w:topLinePunct w:val="0"/>
        <w:autoSpaceDE/>
        <w:autoSpaceDN/>
        <w:bidi w:val="0"/>
        <w:adjustRightInd/>
        <w:snapToGrid/>
        <w:spacing w:line="360" w:lineRule="auto"/>
        <w:ind w:firstLine="539"/>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地点：</w:t>
      </w:r>
      <w:r>
        <w:rPr>
          <w:rFonts w:hint="eastAsia" w:ascii="宋体" w:hAnsi="宋体" w:cs="宋体"/>
          <w:color w:val="auto"/>
          <w:sz w:val="21"/>
          <w:szCs w:val="21"/>
          <w:highlight w:val="none"/>
          <w:lang w:eastAsia="zh-CN"/>
        </w:rPr>
        <w:t>滁州市城投工程咨询管理有限公司网站（https://www.czctgczx.com/)</w:t>
      </w:r>
    </w:p>
    <w:p w14:paraId="602FA030">
      <w:pPr>
        <w:keepNext w:val="0"/>
        <w:keepLines w:val="0"/>
        <w:pageBreakBefore w:val="0"/>
        <w:widowControl/>
        <w:suppressLineNumbers w:val="0"/>
        <w:shd w:val="clear"/>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方式：（1）投标人须登录新点电子交易平台【滁州专区】查询、获取招标文件。首次登录办理入库手续，办理入库不收取任何费用。新点电子招投标统一认证平台使用相关问题（如系统登录、信息登记、录入及提交、数字证书关联等）请拨打服务电话：4009280095-5（工作日）。  </w:t>
      </w:r>
    </w:p>
    <w:p w14:paraId="10BB215F">
      <w:pPr>
        <w:keepNext w:val="0"/>
        <w:keepLines w:val="0"/>
        <w:pageBreakBefore w:val="0"/>
        <w:widowControl/>
        <w:numPr>
          <w:ilvl w:val="0"/>
          <w:numId w:val="1"/>
        </w:numPr>
        <w:suppressLineNumbers w:val="0"/>
        <w:shd w:val="clear"/>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投标人登录新点电子交易平台【滁州专区】获取招标文件及其它资料（含澄清和补充说明等）。如在招标文件获取过程中遇到系统问题，请拨打技术支持服务热线4009280095或者网站首页在线客服。</w:t>
      </w:r>
    </w:p>
    <w:p w14:paraId="480102C4">
      <w:pPr>
        <w:keepNext w:val="0"/>
        <w:keepLines w:val="0"/>
        <w:pageBreakBefore w:val="0"/>
        <w:widowControl/>
        <w:numPr>
          <w:ilvl w:val="0"/>
          <w:numId w:val="0"/>
        </w:numPr>
        <w:suppressLineNumbers w:val="0"/>
        <w:shd w:val="clear"/>
        <w:kinsoku/>
        <w:overflowPunct/>
        <w:topLinePunct w:val="0"/>
        <w:autoSpaceDE w:val="0"/>
        <w:autoSpaceDN/>
        <w:bidi w:val="0"/>
        <w:adjustRightInd/>
        <w:snapToGrid/>
        <w:spacing w:before="0" w:beforeAutospacing="0" w:after="0" w:afterAutospacing="0" w:line="360" w:lineRule="auto"/>
        <w:ind w:left="540" w:leftChars="0" w:right="0" w:rightChars="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售价：0元</w:t>
      </w:r>
    </w:p>
    <w:p w14:paraId="0D9183A7">
      <w:pPr>
        <w:keepNext w:val="0"/>
        <w:keepLines w:val="0"/>
        <w:pageBreakBefore w:val="0"/>
        <w:widowControl/>
        <w:suppressLineNumbers w:val="0"/>
        <w:shd w:val="clear"/>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sz w:val="24"/>
          <w:szCs w:val="24"/>
          <w:highlight w:val="none"/>
          <w:lang w:val="en-US"/>
        </w:rPr>
      </w:pPr>
      <w:bookmarkStart w:id="1" w:name="_Toc58430308"/>
      <w:bookmarkEnd w:id="1"/>
      <w:bookmarkStart w:id="2" w:name="_Toc28359005"/>
      <w:bookmarkEnd w:id="2"/>
      <w:bookmarkStart w:id="3" w:name="_Toc28359082"/>
      <w:bookmarkEnd w:id="3"/>
      <w:bookmarkStart w:id="4" w:name="_Toc35393793"/>
      <w:bookmarkEnd w:id="4"/>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76A0D1F1">
      <w:pPr>
        <w:keepNext w:val="0"/>
        <w:keepLines w:val="0"/>
        <w:pageBreakBefore w:val="0"/>
        <w:widowControl/>
        <w:suppressLineNumbers w:val="0"/>
        <w:shd w:val="clear"/>
        <w:kinsoku/>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Cs/>
          <w:color w:val="auto"/>
          <w:sz w:val="21"/>
          <w:szCs w:val="21"/>
          <w:highlight w:val="none"/>
          <w:lang w:val="en-US"/>
        </w:rPr>
      </w:pPr>
      <w:r>
        <w:rPr>
          <w:rFonts w:hint="eastAsia" w:ascii="宋体" w:hAnsi="宋体" w:cs="宋体"/>
          <w:bCs/>
          <w:color w:val="auto"/>
          <w:kern w:val="0"/>
          <w:sz w:val="21"/>
          <w:szCs w:val="21"/>
          <w:highlight w:val="none"/>
          <w:lang w:val="en-US" w:eastAsia="zh-CN" w:bidi="ar"/>
        </w:rPr>
        <w:t>1、</w:t>
      </w:r>
      <w:r>
        <w:rPr>
          <w:rFonts w:hint="eastAsia" w:ascii="宋体" w:hAnsi="宋体" w:eastAsia="宋体" w:cs="宋体"/>
          <w:bCs/>
          <w:color w:val="auto"/>
          <w:kern w:val="0"/>
          <w:sz w:val="21"/>
          <w:szCs w:val="21"/>
          <w:highlight w:val="none"/>
          <w:lang w:val="en-US" w:eastAsia="zh-CN" w:bidi="ar"/>
        </w:rPr>
        <w:t>截止时间：</w:t>
      </w:r>
      <w:r>
        <w:rPr>
          <w:rFonts w:hint="eastAsia" w:ascii="宋体" w:hAnsi="宋体" w:cs="宋体"/>
          <w:bCs/>
          <w:color w:val="auto"/>
          <w:kern w:val="0"/>
          <w:sz w:val="21"/>
          <w:szCs w:val="21"/>
          <w:highlight w:val="none"/>
          <w:u w:val="single" w:color="000000"/>
          <w:lang w:val="en-US" w:eastAsia="zh-CN" w:bidi="ar"/>
        </w:rPr>
        <w:t>2025年8月14</w:t>
      </w:r>
      <w:r>
        <w:rPr>
          <w:rFonts w:hint="eastAsia" w:ascii="宋体" w:hAnsi="宋体" w:eastAsia="宋体" w:cs="宋体"/>
          <w:bCs/>
          <w:color w:val="auto"/>
          <w:kern w:val="0"/>
          <w:sz w:val="21"/>
          <w:szCs w:val="21"/>
          <w:highlight w:val="none"/>
          <w:u w:val="single" w:color="000000"/>
          <w:lang w:val="en-US" w:eastAsia="zh-CN" w:bidi="ar"/>
        </w:rPr>
        <w:t>日15时00分</w:t>
      </w:r>
      <w:r>
        <w:rPr>
          <w:rFonts w:hint="eastAsia" w:ascii="宋体" w:hAnsi="宋体" w:eastAsia="宋体" w:cs="宋体"/>
          <w:bCs/>
          <w:color w:val="auto"/>
          <w:kern w:val="0"/>
          <w:sz w:val="21"/>
          <w:szCs w:val="21"/>
          <w:highlight w:val="none"/>
          <w:lang w:val="en-US" w:eastAsia="zh-CN" w:bidi="ar"/>
        </w:rPr>
        <w:t>（北京时间）</w:t>
      </w:r>
    </w:p>
    <w:p w14:paraId="6EAC10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40" w:lineRule="exact"/>
        <w:ind w:left="0" w:right="0" w:firstLine="420" w:firstLineChars="200"/>
        <w:jc w:val="left"/>
        <w:textAlignment w:val="auto"/>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2、网上开标，投标人登录滁州市城投工程咨询有限公司不见面开标系统参与网上开标（网址：http://js.etrading.cn/EpointBidOpening/bidopeninghallaction/hall/login）。</w:t>
      </w:r>
    </w:p>
    <w:p w14:paraId="7B11CB7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40" w:lineRule="exact"/>
        <w:ind w:left="0" w:right="0" w:firstLine="420" w:firstLineChars="200"/>
        <w:jc w:val="left"/>
        <w:textAlignment w:val="auto"/>
        <w:rPr>
          <w:rFonts w:hint="default"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3、投标人应在投标截止时间之前，登陆新点电子交易平台【滁州专区】上传投标文件。</w:t>
      </w:r>
    </w:p>
    <w:p w14:paraId="68E703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40" w:lineRule="exact"/>
        <w:ind w:left="0" w:right="0" w:firstLine="420" w:firstLineChars="200"/>
        <w:jc w:val="left"/>
        <w:textAlignment w:val="auto"/>
        <w:rPr>
          <w:rFonts w:hint="default"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4、投标人逾期上传投标文件的，电子系统不予受理。</w:t>
      </w:r>
    </w:p>
    <w:p w14:paraId="0E0B25D1">
      <w:pPr>
        <w:keepNext w:val="0"/>
        <w:keepLines w:val="0"/>
        <w:pageBreakBefore w:val="0"/>
        <w:widowControl/>
        <w:suppressLineNumbers w:val="0"/>
        <w:shd w:val="clear"/>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lang w:val="en-US" w:eastAsia="zh-CN" w:bidi="ar"/>
        </w:rPr>
        <w:t>五、投标保证金金额及缴纳账户</w:t>
      </w:r>
    </w:p>
    <w:p w14:paraId="25537D2E">
      <w:pPr>
        <w:keepNext w:val="0"/>
        <w:keepLines w:val="0"/>
        <w:pageBreakBefore w:val="0"/>
        <w:widowControl/>
        <w:suppressLineNumbers w:val="0"/>
        <w:shd w:val="clear"/>
        <w:kinsoku/>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Cs/>
          <w:color w:val="auto"/>
          <w:sz w:val="21"/>
          <w:szCs w:val="21"/>
          <w:highlight w:val="none"/>
          <w:u w:val="single"/>
          <w:lang w:val="en-US"/>
        </w:rPr>
      </w:pPr>
      <w:r>
        <w:rPr>
          <w:rFonts w:hint="eastAsia" w:ascii="宋体" w:hAnsi="宋体" w:eastAsia="宋体" w:cs="宋体"/>
          <w:bCs/>
          <w:color w:val="auto"/>
          <w:kern w:val="0"/>
          <w:sz w:val="21"/>
          <w:szCs w:val="21"/>
          <w:highlight w:val="none"/>
          <w:lang w:val="en-US" w:eastAsia="zh-CN" w:bidi="ar"/>
        </w:rPr>
        <w:t>1.本项目不要求投标人提交投标保证金。</w:t>
      </w:r>
    </w:p>
    <w:p w14:paraId="569104E4">
      <w:pPr>
        <w:widowControl/>
        <w:shd w:val="clear" w:color="auto"/>
        <w:tabs>
          <w:tab w:val="left" w:pos="510"/>
          <w:tab w:val="left" w:pos="900"/>
          <w:tab w:val="left" w:pos="1100"/>
        </w:tabs>
        <w:spacing w:line="500" w:lineRule="exact"/>
        <w:ind w:firstLine="490" w:firstLineChars="200"/>
        <w:jc w:val="left"/>
        <w:rPr>
          <w:rFonts w:hint="eastAsia" w:ascii="宋体" w:hAnsi="宋体" w:eastAsia="宋体" w:cs="宋体"/>
          <w:b/>
          <w:color w:val="auto"/>
          <w:szCs w:val="21"/>
          <w:highlight w:val="none"/>
          <w:lang w:val="en-US" w:eastAsia="zh-CN"/>
        </w:rPr>
      </w:pPr>
      <w:r>
        <w:rPr>
          <w:rFonts w:hint="eastAsia" w:ascii="宋体" w:hAnsi="宋体" w:eastAsia="宋体" w:cs="宋体"/>
          <w:b/>
          <w:bCs w:val="0"/>
          <w:color w:val="auto"/>
          <w:spacing w:val="2"/>
          <w:kern w:val="0"/>
          <w:sz w:val="24"/>
          <w:szCs w:val="24"/>
          <w:highlight w:val="none"/>
          <w:lang w:val="en-US" w:eastAsia="zh-CN" w:bidi="ar"/>
        </w:rPr>
        <w:t>六、</w:t>
      </w:r>
      <w:r>
        <w:rPr>
          <w:rFonts w:hint="eastAsia" w:ascii="宋体" w:hAnsi="宋体" w:eastAsia="宋体" w:cs="宋体"/>
          <w:b/>
          <w:bCs w:val="0"/>
          <w:color w:val="auto"/>
          <w:kern w:val="0"/>
          <w:sz w:val="24"/>
          <w:szCs w:val="24"/>
          <w:highlight w:val="none"/>
          <w:lang w:val="en-US" w:eastAsia="zh-CN" w:bidi="ar"/>
        </w:rPr>
        <w:t>对本次招标提出询问，请按以下方式联系</w:t>
      </w:r>
      <w:r>
        <w:rPr>
          <w:rFonts w:hint="eastAsia" w:ascii="宋体" w:hAnsi="宋体" w:eastAsia="宋体" w:cs="宋体"/>
          <w:b/>
          <w:color w:val="auto"/>
          <w:szCs w:val="21"/>
          <w:highlight w:val="none"/>
          <w:lang w:val="en-US" w:eastAsia="zh-CN"/>
        </w:rPr>
        <w:t>：</w:t>
      </w:r>
    </w:p>
    <w:p w14:paraId="12BB0FB7">
      <w:pPr>
        <w:keepNext w:val="0"/>
        <w:keepLines w:val="0"/>
        <w:pageBreakBefore w:val="0"/>
        <w:widowControl/>
        <w:suppressLineNumbers w:val="0"/>
        <w:shd w:val="clear"/>
        <w:kinsoku/>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Cs/>
          <w:color w:val="auto"/>
          <w:kern w:val="0"/>
          <w:sz w:val="21"/>
          <w:szCs w:val="21"/>
          <w:highlight w:val="none"/>
          <w:lang w:val="en-US" w:eastAsia="zh-CN" w:bidi="ar"/>
        </w:rPr>
      </w:pPr>
      <w:r>
        <w:rPr>
          <w:rFonts w:hint="eastAsia" w:ascii="宋体" w:hAnsi="宋体" w:eastAsia="宋体" w:cs="宋体"/>
          <w:bCs/>
          <w:color w:val="auto"/>
          <w:kern w:val="0"/>
          <w:sz w:val="21"/>
          <w:szCs w:val="21"/>
          <w:highlight w:val="none"/>
          <w:lang w:val="en-US" w:eastAsia="zh-CN" w:bidi="ar"/>
        </w:rPr>
        <w:t>1.招标人信息</w:t>
      </w:r>
    </w:p>
    <w:p w14:paraId="5751771A">
      <w:pPr>
        <w:keepNext w:val="0"/>
        <w:keepLines w:val="0"/>
        <w:pageBreakBefore w:val="0"/>
        <w:widowControl/>
        <w:suppressLineNumbers w:val="0"/>
        <w:shd w:val="clear"/>
        <w:kinsoku/>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Cs/>
          <w:color w:val="auto"/>
          <w:kern w:val="0"/>
          <w:sz w:val="21"/>
          <w:szCs w:val="21"/>
          <w:highlight w:val="none"/>
          <w:lang w:val="en-US" w:eastAsia="zh-CN" w:bidi="ar"/>
        </w:rPr>
      </w:pPr>
      <w:bookmarkStart w:id="5" w:name="_Toc28359087"/>
      <w:r>
        <w:rPr>
          <w:rFonts w:hint="eastAsia" w:ascii="宋体" w:hAnsi="宋体" w:eastAsia="宋体" w:cs="宋体"/>
          <w:bCs/>
          <w:color w:val="auto"/>
          <w:kern w:val="0"/>
          <w:sz w:val="21"/>
          <w:szCs w:val="21"/>
          <w:highlight w:val="none"/>
          <w:lang w:val="en-US" w:eastAsia="zh-CN" w:bidi="ar"/>
        </w:rPr>
        <w:t>招标人：</w:t>
      </w:r>
      <w:r>
        <w:rPr>
          <w:rFonts w:hint="eastAsia" w:ascii="宋体" w:hAnsi="宋体" w:cs="宋体"/>
          <w:color w:val="auto"/>
          <w:kern w:val="0"/>
          <w:szCs w:val="21"/>
          <w:highlight w:val="none"/>
          <w:lang w:eastAsia="zh-CN"/>
        </w:rPr>
        <w:t>安徽省琅琊山旅游发展有限公司</w:t>
      </w:r>
    </w:p>
    <w:p w14:paraId="77BCADBC">
      <w:pPr>
        <w:keepNext w:val="0"/>
        <w:keepLines w:val="0"/>
        <w:pageBreakBefore w:val="0"/>
        <w:widowControl/>
        <w:suppressLineNumbers w:val="0"/>
        <w:shd w:val="clear"/>
        <w:kinsoku/>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Cs/>
          <w:color w:val="auto"/>
          <w:kern w:val="0"/>
          <w:sz w:val="21"/>
          <w:szCs w:val="21"/>
          <w:highlight w:val="none"/>
          <w:lang w:val="en-US" w:eastAsia="zh-CN" w:bidi="ar"/>
        </w:rPr>
      </w:pPr>
      <w:r>
        <w:rPr>
          <w:rFonts w:hint="eastAsia" w:ascii="宋体" w:hAnsi="宋体" w:eastAsia="宋体" w:cs="宋体"/>
          <w:bCs/>
          <w:color w:val="auto"/>
          <w:kern w:val="0"/>
          <w:sz w:val="21"/>
          <w:szCs w:val="21"/>
          <w:highlight w:val="none"/>
          <w:lang w:val="en-US" w:eastAsia="zh-CN" w:bidi="ar"/>
        </w:rPr>
        <w:t>地址：安徽省滁州市西涧中路4306号</w:t>
      </w:r>
    </w:p>
    <w:p w14:paraId="192B1CB1">
      <w:pPr>
        <w:keepNext w:val="0"/>
        <w:keepLines w:val="0"/>
        <w:pageBreakBefore w:val="0"/>
        <w:widowControl/>
        <w:suppressLineNumbers w:val="0"/>
        <w:shd w:val="clear"/>
        <w:kinsoku/>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Cs/>
          <w:color w:val="auto"/>
          <w:kern w:val="0"/>
          <w:sz w:val="21"/>
          <w:szCs w:val="21"/>
          <w:highlight w:val="none"/>
          <w:lang w:val="en-US" w:eastAsia="zh-CN" w:bidi="ar"/>
        </w:rPr>
      </w:pPr>
      <w:r>
        <w:rPr>
          <w:rFonts w:hint="eastAsia" w:ascii="宋体" w:hAnsi="宋体" w:eastAsia="宋体" w:cs="宋体"/>
          <w:bCs/>
          <w:color w:val="auto"/>
          <w:kern w:val="0"/>
          <w:sz w:val="21"/>
          <w:szCs w:val="21"/>
          <w:highlight w:val="none"/>
          <w:lang w:val="en-US" w:eastAsia="zh-CN" w:bidi="ar"/>
        </w:rPr>
        <w:t>电 话：</w:t>
      </w:r>
      <w:r>
        <w:rPr>
          <w:rFonts w:hint="eastAsia" w:ascii="宋体" w:hAnsi="宋体" w:cs="宋体"/>
          <w:bCs/>
          <w:color w:val="auto"/>
          <w:kern w:val="0"/>
          <w:sz w:val="21"/>
          <w:szCs w:val="21"/>
          <w:highlight w:val="none"/>
          <w:lang w:val="en-US" w:eastAsia="zh-CN" w:bidi="ar"/>
        </w:rPr>
        <w:t>15605500128</w:t>
      </w:r>
    </w:p>
    <w:p w14:paraId="03638E79">
      <w:pPr>
        <w:keepNext w:val="0"/>
        <w:keepLines w:val="0"/>
        <w:pageBreakBefore w:val="0"/>
        <w:widowControl/>
        <w:suppressLineNumbers w:val="0"/>
        <w:shd w:val="clear"/>
        <w:kinsoku/>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Cs/>
          <w:color w:val="auto"/>
          <w:sz w:val="21"/>
          <w:szCs w:val="21"/>
          <w:highlight w:val="none"/>
          <w:lang w:val="en-US"/>
        </w:rPr>
      </w:pPr>
      <w:r>
        <w:rPr>
          <w:rFonts w:hint="eastAsia" w:ascii="宋体" w:hAnsi="宋体" w:eastAsia="宋体" w:cs="宋体"/>
          <w:bCs/>
          <w:color w:val="auto"/>
          <w:kern w:val="0"/>
          <w:sz w:val="21"/>
          <w:szCs w:val="21"/>
          <w:highlight w:val="none"/>
          <w:lang w:val="en-US" w:eastAsia="zh-CN" w:bidi="ar"/>
        </w:rPr>
        <w:t>2.</w:t>
      </w:r>
      <w:bookmarkEnd w:id="5"/>
      <w:r>
        <w:rPr>
          <w:rFonts w:hint="eastAsia" w:ascii="宋体" w:hAnsi="宋体" w:eastAsia="宋体" w:cs="宋体"/>
          <w:bCs/>
          <w:color w:val="auto"/>
          <w:kern w:val="0"/>
          <w:sz w:val="21"/>
          <w:szCs w:val="21"/>
          <w:highlight w:val="none"/>
          <w:lang w:val="en-US" w:eastAsia="zh-CN" w:bidi="ar"/>
        </w:rPr>
        <w:t>代理机构信息</w:t>
      </w:r>
    </w:p>
    <w:p w14:paraId="1B720941">
      <w:pPr>
        <w:keepNext w:val="0"/>
        <w:keepLines w:val="0"/>
        <w:pageBreakBefore w:val="0"/>
        <w:widowControl/>
        <w:suppressLineNumbers w:val="0"/>
        <w:shd w:val="clear"/>
        <w:kinsoku/>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Cs/>
          <w:color w:val="auto"/>
          <w:sz w:val="21"/>
          <w:szCs w:val="21"/>
          <w:highlight w:val="none"/>
          <w:lang w:val="en-US"/>
        </w:rPr>
      </w:pPr>
      <w:r>
        <w:rPr>
          <w:rFonts w:hint="eastAsia" w:ascii="宋体" w:hAnsi="宋体" w:eastAsia="宋体" w:cs="宋体"/>
          <w:bCs/>
          <w:color w:val="auto"/>
          <w:kern w:val="0"/>
          <w:sz w:val="21"/>
          <w:szCs w:val="21"/>
          <w:highlight w:val="none"/>
          <w:lang w:val="en-US" w:eastAsia="zh-CN" w:bidi="ar"/>
        </w:rPr>
        <w:t>名称：滁州市城投工程咨询管理有限公司</w:t>
      </w:r>
    </w:p>
    <w:p w14:paraId="737DA31C">
      <w:pPr>
        <w:keepNext w:val="0"/>
        <w:keepLines w:val="0"/>
        <w:pageBreakBefore w:val="0"/>
        <w:widowControl/>
        <w:suppressLineNumbers w:val="0"/>
        <w:shd w:val="clear"/>
        <w:kinsoku/>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Cs/>
          <w:color w:val="auto"/>
          <w:sz w:val="21"/>
          <w:szCs w:val="21"/>
          <w:highlight w:val="none"/>
          <w:lang w:val="en-US"/>
        </w:rPr>
      </w:pPr>
      <w:r>
        <w:rPr>
          <w:rFonts w:hint="eastAsia" w:ascii="宋体" w:hAnsi="宋体" w:eastAsia="宋体" w:cs="宋体"/>
          <w:bCs/>
          <w:color w:val="auto"/>
          <w:kern w:val="0"/>
          <w:sz w:val="21"/>
          <w:szCs w:val="21"/>
          <w:highlight w:val="none"/>
          <w:lang w:val="en-US" w:eastAsia="zh-CN" w:bidi="ar"/>
        </w:rPr>
        <w:t>地址：滁州市龙蟠大道109号房产大厦6楼605室</w:t>
      </w:r>
    </w:p>
    <w:p w14:paraId="506613A8">
      <w:pPr>
        <w:keepNext w:val="0"/>
        <w:keepLines w:val="0"/>
        <w:pageBreakBefore w:val="0"/>
        <w:widowControl/>
        <w:suppressLineNumbers w:val="0"/>
        <w:shd w:val="clear"/>
        <w:kinsoku/>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Cs/>
          <w:color w:val="auto"/>
          <w:kern w:val="0"/>
          <w:sz w:val="21"/>
          <w:szCs w:val="21"/>
          <w:highlight w:val="none"/>
          <w:lang w:val="en-US" w:eastAsia="zh-CN" w:bidi="ar"/>
        </w:rPr>
      </w:pPr>
      <w:r>
        <w:rPr>
          <w:rFonts w:hint="eastAsia" w:ascii="宋体" w:hAnsi="宋体" w:eastAsia="宋体" w:cs="宋体"/>
          <w:bCs/>
          <w:color w:val="auto"/>
          <w:kern w:val="0"/>
          <w:sz w:val="21"/>
          <w:szCs w:val="21"/>
          <w:highlight w:val="none"/>
          <w:lang w:val="en-US" w:eastAsia="zh-CN" w:bidi="ar"/>
        </w:rPr>
        <w:t xml:space="preserve">联系方式：0550-3519512、18255055896 </w:t>
      </w:r>
    </w:p>
    <w:p w14:paraId="304ACE90">
      <w:pPr>
        <w:keepNext w:val="0"/>
        <w:keepLines w:val="0"/>
        <w:pageBreakBefore w:val="0"/>
        <w:widowControl/>
        <w:suppressLineNumbers w:val="0"/>
        <w:shd w:val="clear"/>
        <w:kinsoku/>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Cs/>
          <w:color w:val="auto"/>
          <w:sz w:val="21"/>
          <w:szCs w:val="21"/>
          <w:highlight w:val="none"/>
          <w:lang w:val="en-US"/>
        </w:rPr>
      </w:pPr>
      <w:r>
        <w:rPr>
          <w:rFonts w:hint="eastAsia" w:ascii="宋体" w:hAnsi="宋体" w:eastAsia="宋体" w:cs="宋体"/>
          <w:bCs/>
          <w:color w:val="auto"/>
          <w:kern w:val="0"/>
          <w:sz w:val="21"/>
          <w:szCs w:val="21"/>
          <w:highlight w:val="none"/>
          <w:lang w:val="en-US" w:eastAsia="zh-CN" w:bidi="ar"/>
        </w:rPr>
        <w:t>3.项目联系方式</w:t>
      </w:r>
    </w:p>
    <w:p w14:paraId="7AC625A4">
      <w:pPr>
        <w:keepNext w:val="0"/>
        <w:keepLines w:val="0"/>
        <w:pageBreakBefore w:val="0"/>
        <w:widowControl/>
        <w:suppressLineNumbers w:val="0"/>
        <w:shd w:val="clear"/>
        <w:kinsoku/>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Cs/>
          <w:color w:val="auto"/>
          <w:kern w:val="0"/>
          <w:sz w:val="21"/>
          <w:szCs w:val="21"/>
          <w:highlight w:val="none"/>
          <w:lang w:val="en-US" w:eastAsia="zh-CN" w:bidi="ar"/>
        </w:rPr>
      </w:pPr>
      <w:r>
        <w:rPr>
          <w:rFonts w:hint="eastAsia" w:ascii="宋体" w:hAnsi="宋体" w:eastAsia="宋体" w:cs="宋体"/>
          <w:bCs/>
          <w:color w:val="auto"/>
          <w:kern w:val="0"/>
          <w:sz w:val="21"/>
          <w:szCs w:val="21"/>
          <w:highlight w:val="none"/>
          <w:lang w:val="en-US" w:eastAsia="zh-CN" w:bidi="ar"/>
        </w:rPr>
        <w:t>项目联系人：</w:t>
      </w:r>
      <w:r>
        <w:rPr>
          <w:rFonts w:hint="eastAsia" w:ascii="宋体" w:hAnsi="宋体" w:cs="宋体"/>
          <w:bCs/>
          <w:color w:val="auto"/>
          <w:kern w:val="0"/>
          <w:sz w:val="21"/>
          <w:szCs w:val="21"/>
          <w:highlight w:val="none"/>
          <w:lang w:val="en-US" w:eastAsia="zh-CN" w:bidi="ar"/>
        </w:rPr>
        <w:t>张玥</w:t>
      </w:r>
      <w:r>
        <w:rPr>
          <w:rFonts w:hint="eastAsia" w:ascii="宋体" w:hAnsi="宋体" w:eastAsia="宋体" w:cs="宋体"/>
          <w:bCs/>
          <w:color w:val="auto"/>
          <w:kern w:val="0"/>
          <w:sz w:val="21"/>
          <w:szCs w:val="21"/>
          <w:highlight w:val="none"/>
          <w:lang w:val="en-US" w:eastAsia="zh-CN" w:bidi="ar"/>
        </w:rPr>
        <w:t xml:space="preserve">、周晓培    </w:t>
      </w:r>
    </w:p>
    <w:p w14:paraId="0D44D2BF">
      <w:pPr>
        <w:keepNext w:val="0"/>
        <w:keepLines w:val="0"/>
        <w:pageBreakBefore w:val="0"/>
        <w:widowControl/>
        <w:suppressLineNumbers w:val="0"/>
        <w:shd w:val="clear"/>
        <w:kinsoku/>
        <w:overflowPunct/>
        <w:topLinePunct w:val="0"/>
        <w:autoSpaceDE w:val="0"/>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Cs/>
          <w:color w:val="auto"/>
          <w:kern w:val="0"/>
          <w:sz w:val="21"/>
          <w:szCs w:val="21"/>
          <w:highlight w:val="none"/>
          <w:lang w:val="en-US" w:eastAsia="zh-CN" w:bidi="ar"/>
        </w:rPr>
        <w:t>电话：</w:t>
      </w:r>
      <w:r>
        <w:rPr>
          <w:rFonts w:hint="eastAsia" w:ascii="宋体" w:hAnsi="宋体" w:cs="宋体"/>
          <w:bCs/>
          <w:color w:val="auto"/>
          <w:kern w:val="0"/>
          <w:sz w:val="21"/>
          <w:szCs w:val="21"/>
          <w:highlight w:val="none"/>
          <w:lang w:val="en-US" w:eastAsia="zh-CN" w:bidi="ar"/>
        </w:rPr>
        <w:t>15605500128</w:t>
      </w:r>
      <w:r>
        <w:rPr>
          <w:rFonts w:hint="eastAsia" w:ascii="宋体" w:hAnsi="宋体" w:eastAsia="宋体" w:cs="宋体"/>
          <w:bCs/>
          <w:color w:val="auto"/>
          <w:kern w:val="0"/>
          <w:sz w:val="21"/>
          <w:szCs w:val="21"/>
          <w:highlight w:val="none"/>
          <w:lang w:val="en-US" w:eastAsia="zh-CN" w:bidi="ar"/>
        </w:rPr>
        <w:t>、0550-3519512、18255055896</w:t>
      </w:r>
    </w:p>
    <w:p w14:paraId="2FCB1101">
      <w:pPr>
        <w:keepNext w:val="0"/>
        <w:keepLines w:val="0"/>
        <w:pageBreakBefore w:val="0"/>
        <w:widowControl/>
        <w:shd w:val="clear" w:color="auto"/>
        <w:kinsoku/>
        <w:wordWrap/>
        <w:overflowPunct/>
        <w:topLinePunct w:val="0"/>
        <w:autoSpaceDE/>
        <w:autoSpaceDN/>
        <w:bidi w:val="0"/>
        <w:adjustRightInd/>
        <w:snapToGrid/>
        <w:spacing w:line="400" w:lineRule="exact"/>
        <w:ind w:right="0"/>
        <w:textAlignment w:val="baseline"/>
        <w:rPr>
          <w:rFonts w:hint="eastAsia" w:ascii="宋体" w:hAnsi="宋体" w:eastAsia="宋体" w:cs="宋体"/>
          <w:color w:val="auto"/>
          <w:spacing w:val="20"/>
          <w:sz w:val="21"/>
          <w:szCs w:val="21"/>
          <w:highlight w:val="none"/>
        </w:rPr>
      </w:pPr>
    </w:p>
    <w:p w14:paraId="41A69FA6">
      <w:pPr>
        <w:keepNext w:val="0"/>
        <w:keepLines w:val="0"/>
        <w:pageBreakBefore w:val="0"/>
        <w:widowControl/>
        <w:shd w:val="clear" w:color="auto"/>
        <w:kinsoku/>
        <w:wordWrap/>
        <w:overflowPunct/>
        <w:topLinePunct w:val="0"/>
        <w:autoSpaceDE/>
        <w:autoSpaceDN/>
        <w:bidi w:val="0"/>
        <w:adjustRightInd/>
        <w:snapToGrid/>
        <w:spacing w:before="100" w:beforeAutospacing="1" w:after="100" w:afterAutospacing="1" w:line="400" w:lineRule="exact"/>
        <w:jc w:val="center"/>
        <w:rPr>
          <w:rFonts w:hint="eastAsia" w:ascii="仿宋_GB2312" w:hAnsi="宋体" w:eastAsia="仿宋_GB2312" w:cs="宋体"/>
          <w:b/>
          <w:bCs/>
          <w:color w:val="auto"/>
          <w:kern w:val="0"/>
          <w:sz w:val="28"/>
          <w:szCs w:val="28"/>
          <w:highlight w:val="none"/>
        </w:rPr>
      </w:pPr>
      <w:r>
        <w:rPr>
          <w:rFonts w:hint="eastAsia" w:ascii="宋体" w:hAnsi="宋体" w:eastAsia="宋体" w:cs="宋体"/>
          <w:b/>
          <w:bCs/>
          <w:color w:val="auto"/>
          <w:kern w:val="0"/>
          <w:sz w:val="21"/>
          <w:szCs w:val="21"/>
          <w:highlight w:val="none"/>
        </w:rPr>
        <w:br w:type="page"/>
      </w:r>
    </w:p>
    <w:p w14:paraId="5F5EFDC2">
      <w:pPr>
        <w:shd w:val="clear"/>
        <w:jc w:val="center"/>
        <w:outlineLvl w:val="0"/>
        <w:rPr>
          <w:rFonts w:hint="eastAsia" w:ascii="宋体" w:hAnsi="宋体" w:eastAsia="宋体" w:cs="宋体"/>
          <w:color w:val="auto"/>
          <w:sz w:val="32"/>
          <w:szCs w:val="32"/>
          <w:highlight w:val="none"/>
        </w:rPr>
      </w:pPr>
      <w:r>
        <w:rPr>
          <w:rFonts w:hint="eastAsia" w:ascii="宋体" w:hAnsi="宋体" w:cs="宋体"/>
          <w:color w:val="auto"/>
          <w:sz w:val="32"/>
          <w:szCs w:val="32"/>
          <w:highlight w:val="none"/>
          <w:lang w:val="en-US" w:eastAsia="zh-CN"/>
        </w:rPr>
        <w:t>第二章</w:t>
      </w:r>
      <w:r>
        <w:rPr>
          <w:rFonts w:hint="eastAsia" w:ascii="宋体" w:hAnsi="宋体" w:eastAsia="宋体" w:cs="宋体"/>
          <w:color w:val="auto"/>
          <w:sz w:val="32"/>
          <w:szCs w:val="32"/>
          <w:highlight w:val="none"/>
        </w:rPr>
        <w:t>、投标须知前附表</w:t>
      </w:r>
      <w:bookmarkEnd w:id="0"/>
    </w:p>
    <w:tbl>
      <w:tblPr>
        <w:tblStyle w:val="45"/>
        <w:tblW w:w="9588" w:type="dxa"/>
        <w:tblInd w:w="2" w:type="dxa"/>
        <w:tblLayout w:type="fixed"/>
        <w:tblCellMar>
          <w:top w:w="0" w:type="dxa"/>
          <w:left w:w="0" w:type="dxa"/>
          <w:bottom w:w="0" w:type="dxa"/>
          <w:right w:w="0" w:type="dxa"/>
        </w:tblCellMar>
      </w:tblPr>
      <w:tblGrid>
        <w:gridCol w:w="831"/>
        <w:gridCol w:w="1502"/>
        <w:gridCol w:w="7255"/>
      </w:tblGrid>
      <w:tr w14:paraId="4AE6ECD5">
        <w:tblPrEx>
          <w:tblCellMar>
            <w:top w:w="0" w:type="dxa"/>
            <w:left w:w="0" w:type="dxa"/>
            <w:bottom w:w="0" w:type="dxa"/>
            <w:right w:w="0" w:type="dxa"/>
          </w:tblCellMar>
        </w:tblPrEx>
        <w:trPr>
          <w:trHeight w:val="580" w:hRule="atLeast"/>
        </w:trPr>
        <w:tc>
          <w:tcPr>
            <w:tcW w:w="831" w:type="dxa"/>
            <w:tcBorders>
              <w:top w:val="single" w:color="auto" w:sz="8" w:space="0"/>
              <w:left w:val="single" w:color="auto" w:sz="8" w:space="0"/>
              <w:bottom w:val="single" w:color="auto" w:sz="8" w:space="0"/>
              <w:right w:val="single" w:color="auto" w:sz="8" w:space="0"/>
            </w:tcBorders>
            <w:vAlign w:val="center"/>
          </w:tcPr>
          <w:p w14:paraId="36E90291">
            <w:pPr>
              <w:keepNext w:val="0"/>
              <w:keepLines w:val="0"/>
              <w:suppressLineNumbers w:val="0"/>
              <w:shd w:val="clear"/>
              <w:spacing w:before="0" w:beforeAutospacing="0" w:after="0" w:afterAutospacing="0"/>
              <w:ind w:left="0" w:right="0"/>
              <w:jc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编号</w:t>
            </w:r>
          </w:p>
        </w:tc>
        <w:tc>
          <w:tcPr>
            <w:tcW w:w="1502" w:type="dxa"/>
            <w:tcBorders>
              <w:top w:val="single" w:color="auto" w:sz="8" w:space="0"/>
              <w:left w:val="single" w:color="auto" w:sz="4" w:space="0"/>
              <w:bottom w:val="single" w:color="auto" w:sz="8" w:space="0"/>
              <w:right w:val="single" w:color="auto" w:sz="4" w:space="0"/>
            </w:tcBorders>
            <w:vAlign w:val="center"/>
          </w:tcPr>
          <w:p w14:paraId="5BCD79B0">
            <w:pPr>
              <w:keepNext w:val="0"/>
              <w:keepLines w:val="0"/>
              <w:suppressLineNumbers w:val="0"/>
              <w:shd w:val="clear"/>
              <w:spacing w:before="0" w:beforeAutospacing="0" w:after="0" w:afterAutospacing="0"/>
              <w:ind w:left="0" w:right="0"/>
              <w:jc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内容</w:t>
            </w:r>
          </w:p>
        </w:tc>
        <w:tc>
          <w:tcPr>
            <w:tcW w:w="7255" w:type="dxa"/>
            <w:tcBorders>
              <w:top w:val="single" w:color="auto" w:sz="8" w:space="0"/>
              <w:left w:val="single" w:color="auto" w:sz="4" w:space="0"/>
              <w:bottom w:val="single" w:color="auto" w:sz="8" w:space="0"/>
              <w:right w:val="single" w:color="auto" w:sz="8" w:space="0"/>
            </w:tcBorders>
            <w:vAlign w:val="center"/>
          </w:tcPr>
          <w:p w14:paraId="0F9EB496">
            <w:pPr>
              <w:keepNext w:val="0"/>
              <w:keepLines w:val="0"/>
              <w:suppressLineNumbers w:val="0"/>
              <w:shd w:val="clear"/>
              <w:spacing w:before="0" w:beforeAutospacing="0" w:after="0" w:afterAutospacing="0"/>
              <w:ind w:left="0" w:right="0"/>
              <w:jc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说明与要求</w:t>
            </w:r>
          </w:p>
        </w:tc>
      </w:tr>
      <w:tr w14:paraId="2E01D43A">
        <w:tblPrEx>
          <w:tblCellMar>
            <w:top w:w="0" w:type="dxa"/>
            <w:left w:w="0" w:type="dxa"/>
            <w:bottom w:w="0" w:type="dxa"/>
            <w:right w:w="0" w:type="dxa"/>
          </w:tblCellMar>
        </w:tblPrEx>
        <w:trPr>
          <w:trHeight w:val="986" w:hRule="atLeast"/>
        </w:trPr>
        <w:tc>
          <w:tcPr>
            <w:tcW w:w="831" w:type="dxa"/>
            <w:tcBorders>
              <w:top w:val="single" w:color="auto" w:sz="8" w:space="0"/>
              <w:left w:val="single" w:color="auto" w:sz="8" w:space="0"/>
              <w:bottom w:val="single" w:color="auto" w:sz="8" w:space="0"/>
              <w:right w:val="single" w:color="auto" w:sz="8" w:space="0"/>
            </w:tcBorders>
            <w:vAlign w:val="center"/>
          </w:tcPr>
          <w:p w14:paraId="34E9CA72">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1</w:t>
            </w:r>
          </w:p>
        </w:tc>
        <w:tc>
          <w:tcPr>
            <w:tcW w:w="1502" w:type="dxa"/>
            <w:tcBorders>
              <w:top w:val="single" w:color="auto" w:sz="8" w:space="0"/>
              <w:left w:val="single" w:color="auto" w:sz="4" w:space="0"/>
              <w:bottom w:val="single" w:color="auto" w:sz="8" w:space="0"/>
              <w:right w:val="single" w:color="auto" w:sz="4" w:space="0"/>
            </w:tcBorders>
            <w:vAlign w:val="center"/>
          </w:tcPr>
          <w:p w14:paraId="2520AEE0">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项目概况</w:t>
            </w:r>
          </w:p>
        </w:tc>
        <w:tc>
          <w:tcPr>
            <w:tcW w:w="7255" w:type="dxa"/>
            <w:tcBorders>
              <w:top w:val="single" w:color="auto" w:sz="8" w:space="0"/>
              <w:left w:val="single" w:color="auto" w:sz="4" w:space="0"/>
              <w:bottom w:val="single" w:color="auto" w:sz="8" w:space="0"/>
              <w:right w:val="single" w:color="auto" w:sz="8" w:space="0"/>
            </w:tcBorders>
            <w:vAlign w:val="center"/>
          </w:tcPr>
          <w:p w14:paraId="78786C35">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60" w:lineRule="exact"/>
              <w:ind w:left="42" w:leftChars="20" w:right="42" w:rightChars="2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w:t>
            </w:r>
            <w:r>
              <w:rPr>
                <w:rFonts w:hint="eastAsia" w:ascii="宋体" w:hAnsi="宋体" w:eastAsia="宋体" w:cs="宋体"/>
                <w:b w:val="0"/>
                <w:bCs w:val="0"/>
                <w:color w:val="auto"/>
                <w:kern w:val="0"/>
                <w:sz w:val="21"/>
                <w:szCs w:val="21"/>
                <w:highlight w:val="none"/>
              </w:rPr>
              <w:t>名称：</w:t>
            </w:r>
            <w:r>
              <w:rPr>
                <w:rFonts w:hint="eastAsia" w:ascii="宋体" w:hAnsi="宋体" w:cs="宋体"/>
                <w:b w:val="0"/>
                <w:bCs w:val="0"/>
                <w:color w:val="auto"/>
                <w:kern w:val="0"/>
                <w:sz w:val="21"/>
                <w:szCs w:val="21"/>
                <w:highlight w:val="none"/>
                <w:lang w:eastAsia="zh-CN"/>
              </w:rPr>
              <w:t>琅琊山南门民宿等四个项目结算复核服务项目</w:t>
            </w:r>
          </w:p>
          <w:p w14:paraId="389C3797">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60" w:lineRule="exact"/>
              <w:ind w:left="42" w:leftChars="20" w:right="42" w:rightChars="20"/>
              <w:textAlignment w:val="auto"/>
              <w:rPr>
                <w:rFonts w:hint="eastAsia" w:ascii="宋体" w:hAnsi="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建设</w:t>
            </w:r>
            <w:r>
              <w:rPr>
                <w:rFonts w:hint="eastAsia" w:ascii="宋体" w:hAnsi="宋体" w:cs="宋体"/>
                <w:b w:val="0"/>
                <w:bCs w:val="0"/>
                <w:color w:val="auto"/>
                <w:kern w:val="0"/>
                <w:sz w:val="21"/>
                <w:szCs w:val="21"/>
                <w:highlight w:val="none"/>
                <w:lang w:eastAsia="zh-CN"/>
              </w:rPr>
              <w:t>地点：滁州市</w:t>
            </w:r>
            <w:r>
              <w:rPr>
                <w:rFonts w:hint="eastAsia" w:ascii="宋体" w:hAnsi="宋体" w:cs="宋体"/>
                <w:b w:val="0"/>
                <w:bCs w:val="0"/>
                <w:color w:val="auto"/>
                <w:kern w:val="0"/>
                <w:sz w:val="21"/>
                <w:szCs w:val="21"/>
                <w:highlight w:val="none"/>
                <w:lang w:val="en-US" w:eastAsia="zh-CN"/>
              </w:rPr>
              <w:t>内</w:t>
            </w:r>
          </w:p>
          <w:p w14:paraId="2DFE70FF">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60" w:lineRule="exact"/>
              <w:ind w:left="42" w:leftChars="20" w:right="42" w:rightChars="20"/>
              <w:textAlignment w:val="auto"/>
              <w:rPr>
                <w:rFonts w:hint="eastAsia" w:ascii="宋体" w:hAnsi="宋体" w:eastAsia="宋体" w:cs="宋体"/>
                <w:b w:val="0"/>
                <w:bCs w:val="0"/>
                <w:color w:val="auto"/>
                <w:kern w:val="0"/>
                <w:sz w:val="21"/>
                <w:szCs w:val="21"/>
                <w:highlight w:val="none"/>
                <w:u w:val="single"/>
              </w:rPr>
            </w:pPr>
            <w:r>
              <w:rPr>
                <w:rFonts w:hint="eastAsia" w:ascii="宋体" w:hAnsi="宋体" w:cs="宋体"/>
                <w:b w:val="0"/>
                <w:bCs w:val="0"/>
                <w:color w:val="auto"/>
                <w:kern w:val="0"/>
                <w:sz w:val="21"/>
                <w:szCs w:val="21"/>
                <w:highlight w:val="none"/>
                <w:lang w:eastAsia="zh-CN"/>
              </w:rPr>
              <w:t>建设规模：环琅琊山景观道（滁州学院-丰乐亭）生态走廊修复EPC工程合同金额847.45万元、琅琊山南门民宿项目EPC工程合同金额3900万元、滁州琅琊山二道河漂流设计采购施工（EPC）项目合同金额4750万元、琅琊山摩崖石刻及碑刻安防设计施工一体化工程</w:t>
            </w:r>
            <w:r>
              <w:rPr>
                <w:rFonts w:hint="eastAsia" w:ascii="宋体" w:hAnsi="宋体" w:cs="宋体"/>
                <w:b w:val="0"/>
                <w:bCs w:val="0"/>
                <w:color w:val="auto"/>
                <w:kern w:val="0"/>
                <w:sz w:val="21"/>
                <w:szCs w:val="21"/>
                <w:highlight w:val="none"/>
                <w:lang w:val="en-US" w:eastAsia="zh-CN"/>
              </w:rPr>
              <w:t>合同金额269.879410万元</w:t>
            </w:r>
            <w:r>
              <w:rPr>
                <w:rFonts w:hint="eastAsia" w:ascii="宋体" w:hAnsi="宋体" w:cs="宋体"/>
                <w:b w:val="0"/>
                <w:bCs w:val="0"/>
                <w:color w:val="auto"/>
                <w:kern w:val="0"/>
                <w:sz w:val="21"/>
                <w:szCs w:val="21"/>
                <w:highlight w:val="none"/>
                <w:lang w:eastAsia="zh-CN"/>
              </w:rPr>
              <w:t>。</w:t>
            </w:r>
          </w:p>
        </w:tc>
      </w:tr>
      <w:tr w14:paraId="49439658">
        <w:tblPrEx>
          <w:tblCellMar>
            <w:top w:w="0" w:type="dxa"/>
            <w:left w:w="0" w:type="dxa"/>
            <w:bottom w:w="0" w:type="dxa"/>
            <w:right w:w="0" w:type="dxa"/>
          </w:tblCellMar>
        </w:tblPrEx>
        <w:trPr>
          <w:trHeight w:val="255" w:hRule="atLeast"/>
        </w:trPr>
        <w:tc>
          <w:tcPr>
            <w:tcW w:w="831" w:type="dxa"/>
            <w:tcBorders>
              <w:top w:val="single" w:color="auto" w:sz="8" w:space="0"/>
              <w:left w:val="single" w:color="auto" w:sz="8" w:space="0"/>
              <w:bottom w:val="single" w:color="auto" w:sz="8" w:space="0"/>
              <w:right w:val="single" w:color="auto" w:sz="8" w:space="0"/>
            </w:tcBorders>
            <w:vAlign w:val="center"/>
          </w:tcPr>
          <w:p w14:paraId="75C6C62B">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2</w:t>
            </w:r>
          </w:p>
        </w:tc>
        <w:tc>
          <w:tcPr>
            <w:tcW w:w="1502" w:type="dxa"/>
            <w:tcBorders>
              <w:top w:val="single" w:color="auto" w:sz="8" w:space="0"/>
              <w:left w:val="single" w:color="auto" w:sz="4" w:space="0"/>
              <w:bottom w:val="single" w:color="auto" w:sz="8" w:space="0"/>
              <w:right w:val="single" w:color="auto" w:sz="4" w:space="0"/>
            </w:tcBorders>
            <w:vAlign w:val="center"/>
          </w:tcPr>
          <w:p w14:paraId="656C2C4C">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服务需求</w:t>
            </w:r>
          </w:p>
        </w:tc>
        <w:tc>
          <w:tcPr>
            <w:tcW w:w="7255" w:type="dxa"/>
            <w:tcBorders>
              <w:top w:val="single" w:color="auto" w:sz="8" w:space="0"/>
              <w:left w:val="single" w:color="auto" w:sz="4" w:space="0"/>
              <w:bottom w:val="single" w:color="auto" w:sz="8" w:space="0"/>
              <w:right w:val="single" w:color="auto" w:sz="8" w:space="0"/>
            </w:tcBorders>
            <w:vAlign w:val="center"/>
          </w:tcPr>
          <w:p w14:paraId="2B02BB95">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63" w:leftChars="30" w:right="63" w:rightChars="30"/>
              <w:textAlignment w:val="auto"/>
              <w:rPr>
                <w:rFonts w:hint="eastAsia" w:ascii="宋体" w:hAnsi="宋体" w:eastAsia="宋体" w:cs="宋体"/>
                <w:b w:val="0"/>
                <w:bCs w:val="0"/>
                <w:color w:val="auto"/>
                <w:kern w:val="0"/>
                <w:szCs w:val="21"/>
                <w:highlight w:val="none"/>
              </w:rPr>
            </w:pPr>
            <w:r>
              <w:rPr>
                <w:rFonts w:hint="eastAsia" w:ascii="宋体" w:hAnsi="宋体" w:cs="宋体"/>
                <w:b w:val="0"/>
                <w:bCs w:val="0"/>
                <w:color w:val="auto"/>
                <w:kern w:val="0"/>
                <w:sz w:val="21"/>
                <w:szCs w:val="21"/>
                <w:highlight w:val="none"/>
                <w:lang w:val="en-US" w:eastAsia="zh-CN"/>
              </w:rPr>
              <w:t>琅琊山南门民宿等四个项目结算复核服务项目</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kern w:val="0"/>
                <w:szCs w:val="21"/>
                <w:highlight w:val="none"/>
              </w:rPr>
              <w:t>具体详见工程量清单和施工图纸及结算报告。</w:t>
            </w:r>
          </w:p>
          <w:p w14:paraId="0EE35BFF">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60" w:lineRule="exact"/>
              <w:ind w:left="42" w:leftChars="20" w:right="42" w:rightChars="20"/>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本次招标需求为上述</w:t>
            </w:r>
            <w:r>
              <w:rPr>
                <w:rFonts w:hint="eastAsia" w:ascii="宋体" w:hAnsi="宋体" w:cs="宋体"/>
                <w:b w:val="0"/>
                <w:bCs w:val="0"/>
                <w:color w:val="auto"/>
                <w:kern w:val="0"/>
                <w:sz w:val="21"/>
                <w:szCs w:val="21"/>
                <w:highlight w:val="none"/>
                <w:lang w:val="en-US" w:eastAsia="zh-CN"/>
              </w:rPr>
              <w:t>四个工程</w:t>
            </w:r>
            <w:r>
              <w:rPr>
                <w:rFonts w:hint="eastAsia" w:ascii="宋体" w:hAnsi="宋体" w:eastAsia="宋体" w:cs="宋体"/>
                <w:b w:val="0"/>
                <w:bCs w:val="0"/>
                <w:color w:val="auto"/>
                <w:kern w:val="0"/>
                <w:sz w:val="21"/>
                <w:szCs w:val="21"/>
                <w:highlight w:val="none"/>
              </w:rPr>
              <w:t>的</w:t>
            </w:r>
            <w:r>
              <w:rPr>
                <w:rFonts w:hint="eastAsia" w:ascii="宋体" w:hAnsi="宋体" w:eastAsia="宋体" w:cs="宋体"/>
                <w:b w:val="0"/>
                <w:bCs w:val="0"/>
                <w:color w:val="auto"/>
                <w:kern w:val="0"/>
                <w:sz w:val="21"/>
                <w:szCs w:val="21"/>
                <w:highlight w:val="none"/>
                <w:lang w:eastAsia="zh-CN"/>
              </w:rPr>
              <w:t>结算复核服务</w:t>
            </w:r>
            <w:r>
              <w:rPr>
                <w:rFonts w:hint="eastAsia" w:ascii="宋体" w:hAnsi="宋体" w:cs="宋体"/>
                <w:b w:val="0"/>
                <w:bCs w:val="0"/>
                <w:color w:val="auto"/>
                <w:kern w:val="0"/>
                <w:sz w:val="21"/>
                <w:szCs w:val="21"/>
                <w:highlight w:val="none"/>
                <w:lang w:eastAsia="zh-CN"/>
              </w:rPr>
              <w:t>，</w:t>
            </w:r>
            <w:r>
              <w:rPr>
                <w:rFonts w:hint="eastAsia" w:ascii="宋体" w:hAnsi="宋体" w:cs="宋体"/>
                <w:b w:val="0"/>
                <w:bCs w:val="0"/>
                <w:color w:val="auto"/>
                <w:kern w:val="0"/>
                <w:sz w:val="21"/>
                <w:szCs w:val="21"/>
                <w:highlight w:val="none"/>
                <w:lang w:val="en-US" w:eastAsia="zh-CN"/>
              </w:rPr>
              <w:t>各项目须单独签订结算复核服务合同</w:t>
            </w:r>
            <w:r>
              <w:rPr>
                <w:rFonts w:hint="eastAsia" w:ascii="宋体" w:hAnsi="宋体" w:eastAsia="宋体" w:cs="宋体"/>
                <w:b w:val="0"/>
                <w:bCs w:val="0"/>
                <w:color w:val="auto"/>
                <w:kern w:val="0"/>
                <w:sz w:val="21"/>
                <w:szCs w:val="21"/>
                <w:highlight w:val="none"/>
                <w:lang w:eastAsia="zh-CN"/>
              </w:rPr>
              <w:t>。</w:t>
            </w:r>
          </w:p>
        </w:tc>
      </w:tr>
      <w:tr w14:paraId="2C073A4E">
        <w:tblPrEx>
          <w:tblCellMar>
            <w:top w:w="0" w:type="dxa"/>
            <w:left w:w="0" w:type="dxa"/>
            <w:bottom w:w="0" w:type="dxa"/>
            <w:right w:w="0" w:type="dxa"/>
          </w:tblCellMar>
        </w:tblPrEx>
        <w:trPr>
          <w:trHeight w:val="315" w:hRule="atLeast"/>
        </w:trPr>
        <w:tc>
          <w:tcPr>
            <w:tcW w:w="831" w:type="dxa"/>
            <w:tcBorders>
              <w:top w:val="single" w:color="auto" w:sz="8" w:space="0"/>
              <w:left w:val="single" w:color="auto" w:sz="8" w:space="0"/>
              <w:bottom w:val="single" w:color="auto" w:sz="8" w:space="0"/>
              <w:right w:val="single" w:color="auto" w:sz="8" w:space="0"/>
            </w:tcBorders>
            <w:vAlign w:val="center"/>
          </w:tcPr>
          <w:p w14:paraId="447353A7">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3</w:t>
            </w:r>
          </w:p>
        </w:tc>
        <w:tc>
          <w:tcPr>
            <w:tcW w:w="1502" w:type="dxa"/>
            <w:tcBorders>
              <w:top w:val="single" w:color="auto" w:sz="8" w:space="0"/>
              <w:left w:val="single" w:color="auto" w:sz="4" w:space="0"/>
              <w:bottom w:val="single" w:color="auto" w:sz="8" w:space="0"/>
              <w:right w:val="single" w:color="auto" w:sz="4" w:space="0"/>
            </w:tcBorders>
            <w:vAlign w:val="center"/>
          </w:tcPr>
          <w:p w14:paraId="533587A1">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val="0"/>
                <w:bCs w:val="0"/>
                <w:color w:val="auto"/>
                <w:kern w:val="0"/>
                <w:sz w:val="21"/>
                <w:szCs w:val="21"/>
                <w:highlight w:val="none"/>
              </w:rPr>
            </w:pPr>
            <w:r>
              <w:rPr>
                <w:rFonts w:hint="eastAsia" w:ascii="宋体" w:hAnsi="宋体" w:cs="宋体"/>
                <w:b w:val="0"/>
                <w:bCs w:val="0"/>
                <w:color w:val="auto"/>
                <w:kern w:val="0"/>
                <w:sz w:val="21"/>
                <w:szCs w:val="21"/>
                <w:highlight w:val="none"/>
                <w:lang w:val="en-US" w:eastAsia="zh-CN"/>
              </w:rPr>
              <w:t>服务期</w:t>
            </w:r>
            <w:r>
              <w:rPr>
                <w:rFonts w:hint="eastAsia" w:ascii="宋体" w:hAnsi="宋体" w:eastAsia="宋体" w:cs="宋体"/>
                <w:b w:val="0"/>
                <w:bCs w:val="0"/>
                <w:color w:val="auto"/>
                <w:kern w:val="0"/>
                <w:sz w:val="21"/>
                <w:szCs w:val="21"/>
                <w:highlight w:val="none"/>
              </w:rPr>
              <w:t>要求</w:t>
            </w:r>
          </w:p>
        </w:tc>
        <w:tc>
          <w:tcPr>
            <w:tcW w:w="7255" w:type="dxa"/>
            <w:tcBorders>
              <w:top w:val="single" w:color="auto" w:sz="8" w:space="0"/>
              <w:left w:val="single" w:color="auto" w:sz="4" w:space="0"/>
              <w:bottom w:val="single" w:color="auto" w:sz="8" w:space="0"/>
              <w:right w:val="single" w:color="auto" w:sz="8" w:space="0"/>
            </w:tcBorders>
            <w:vAlign w:val="center"/>
          </w:tcPr>
          <w:p w14:paraId="31659A06">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60" w:lineRule="exact"/>
              <w:ind w:left="42" w:leftChars="20" w:right="42" w:rightChars="2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自合同签订之日起50个日历天内完成，具体执行招标人要求。</w:t>
            </w:r>
          </w:p>
        </w:tc>
      </w:tr>
      <w:tr w14:paraId="354558CC">
        <w:tblPrEx>
          <w:tblCellMar>
            <w:top w:w="0" w:type="dxa"/>
            <w:left w:w="0" w:type="dxa"/>
            <w:bottom w:w="0" w:type="dxa"/>
            <w:right w:w="0" w:type="dxa"/>
          </w:tblCellMar>
        </w:tblPrEx>
        <w:trPr>
          <w:trHeight w:val="425" w:hRule="atLeast"/>
        </w:trPr>
        <w:tc>
          <w:tcPr>
            <w:tcW w:w="831" w:type="dxa"/>
            <w:tcBorders>
              <w:top w:val="single" w:color="auto" w:sz="8" w:space="0"/>
              <w:left w:val="single" w:color="auto" w:sz="8" w:space="0"/>
              <w:bottom w:val="single" w:color="auto" w:sz="8" w:space="0"/>
              <w:right w:val="single" w:color="auto" w:sz="8" w:space="0"/>
            </w:tcBorders>
            <w:vAlign w:val="center"/>
          </w:tcPr>
          <w:p w14:paraId="132E7FD3">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4</w:t>
            </w:r>
          </w:p>
        </w:tc>
        <w:tc>
          <w:tcPr>
            <w:tcW w:w="1502" w:type="dxa"/>
            <w:tcBorders>
              <w:top w:val="single" w:color="auto" w:sz="8" w:space="0"/>
              <w:left w:val="single" w:color="auto" w:sz="4" w:space="0"/>
              <w:bottom w:val="single" w:color="auto" w:sz="8" w:space="0"/>
              <w:right w:val="single" w:color="auto" w:sz="4" w:space="0"/>
            </w:tcBorders>
            <w:vAlign w:val="center"/>
          </w:tcPr>
          <w:p w14:paraId="4790B8D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质量标准</w:t>
            </w:r>
          </w:p>
        </w:tc>
        <w:tc>
          <w:tcPr>
            <w:tcW w:w="7255" w:type="dxa"/>
            <w:tcBorders>
              <w:top w:val="single" w:color="auto" w:sz="8" w:space="0"/>
              <w:left w:val="single" w:color="auto" w:sz="4" w:space="0"/>
              <w:bottom w:val="single" w:color="auto" w:sz="8" w:space="0"/>
              <w:right w:val="single" w:color="auto" w:sz="8" w:space="0"/>
            </w:tcBorders>
            <w:vAlign w:val="center"/>
          </w:tcPr>
          <w:p w14:paraId="04F597FD">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63" w:leftChars="30" w:right="63" w:rightChars="30"/>
              <w:textAlignment w:val="auto"/>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符合《建设工程造价咨询成果文件质量标准》（CECA/GC7-2012)要求</w:t>
            </w:r>
          </w:p>
        </w:tc>
      </w:tr>
      <w:tr w14:paraId="612E6474">
        <w:tblPrEx>
          <w:tblCellMar>
            <w:top w:w="0" w:type="dxa"/>
            <w:left w:w="0" w:type="dxa"/>
            <w:bottom w:w="0" w:type="dxa"/>
            <w:right w:w="0" w:type="dxa"/>
          </w:tblCellMar>
        </w:tblPrEx>
        <w:trPr>
          <w:trHeight w:val="286" w:hRule="atLeast"/>
        </w:trPr>
        <w:tc>
          <w:tcPr>
            <w:tcW w:w="831" w:type="dxa"/>
            <w:tcBorders>
              <w:top w:val="single" w:color="auto" w:sz="8" w:space="0"/>
              <w:left w:val="single" w:color="auto" w:sz="8" w:space="0"/>
              <w:bottom w:val="single" w:color="auto" w:sz="8" w:space="0"/>
              <w:right w:val="single" w:color="auto" w:sz="8" w:space="0"/>
            </w:tcBorders>
            <w:vAlign w:val="center"/>
          </w:tcPr>
          <w:p w14:paraId="6804E433">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b w:val="0"/>
                <w:bCs w:val="0"/>
                <w:color w:val="auto"/>
                <w:kern w:val="0"/>
                <w:sz w:val="24"/>
                <w:szCs w:val="24"/>
                <w:highlight w:val="none"/>
              </w:rPr>
            </w:pPr>
          </w:p>
        </w:tc>
        <w:tc>
          <w:tcPr>
            <w:tcW w:w="1502" w:type="dxa"/>
            <w:tcBorders>
              <w:top w:val="single" w:color="auto" w:sz="8" w:space="0"/>
              <w:left w:val="single" w:color="auto" w:sz="4" w:space="0"/>
              <w:bottom w:val="single" w:color="auto" w:sz="8" w:space="0"/>
              <w:right w:val="single" w:color="auto" w:sz="4" w:space="0"/>
            </w:tcBorders>
            <w:vAlign w:val="center"/>
          </w:tcPr>
          <w:p w14:paraId="3307D5E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lang w:val="en-US" w:eastAsia="zh-CN"/>
              </w:rPr>
              <w:t>最高限价</w:t>
            </w:r>
          </w:p>
        </w:tc>
        <w:tc>
          <w:tcPr>
            <w:tcW w:w="7255" w:type="dxa"/>
            <w:tcBorders>
              <w:top w:val="single" w:color="auto" w:sz="8" w:space="0"/>
              <w:left w:val="single" w:color="auto" w:sz="4" w:space="0"/>
              <w:bottom w:val="single" w:color="auto" w:sz="8" w:space="0"/>
              <w:right w:val="single" w:color="auto" w:sz="8" w:space="0"/>
            </w:tcBorders>
            <w:vAlign w:val="center"/>
          </w:tcPr>
          <w:p w14:paraId="51D1B56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42" w:leftChars="20" w:right="42" w:rightChars="20"/>
              <w:jc w:val="left"/>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eastAsia="zh-CN"/>
              </w:rPr>
              <w:t>环琅琊山景观道（滁州学院-丰乐亭）生态走廊修复EPC工程</w:t>
            </w:r>
            <w:r>
              <w:rPr>
                <w:rFonts w:hint="eastAsia" w:ascii="宋体" w:hAnsi="宋体" w:eastAsia="宋体" w:cs="宋体"/>
                <w:b w:val="0"/>
                <w:bCs w:val="0"/>
                <w:color w:val="auto"/>
                <w:kern w:val="0"/>
                <w:sz w:val="21"/>
                <w:szCs w:val="21"/>
                <w:highlight w:val="none"/>
                <w:lang w:val="en-US" w:eastAsia="zh-CN"/>
              </w:rPr>
              <w:t>基本费8000元</w:t>
            </w:r>
            <w:r>
              <w:rPr>
                <w:rFonts w:hint="eastAsia" w:ascii="宋体" w:hAnsi="宋体" w:cs="宋体"/>
                <w:b w:val="0"/>
                <w:bCs w:val="0"/>
                <w:color w:val="auto"/>
                <w:kern w:val="0"/>
                <w:sz w:val="21"/>
                <w:szCs w:val="21"/>
                <w:highlight w:val="none"/>
                <w:lang w:eastAsia="zh-CN"/>
              </w:rPr>
              <w:t>、琅琊山南门民宿项目EPC工程</w:t>
            </w:r>
            <w:r>
              <w:rPr>
                <w:rFonts w:hint="eastAsia" w:ascii="宋体" w:hAnsi="宋体" w:eastAsia="宋体" w:cs="宋体"/>
                <w:b w:val="0"/>
                <w:bCs w:val="0"/>
                <w:color w:val="auto"/>
                <w:kern w:val="0"/>
                <w:sz w:val="21"/>
                <w:szCs w:val="21"/>
                <w:highlight w:val="none"/>
                <w:lang w:val="en-US" w:eastAsia="zh-CN"/>
              </w:rPr>
              <w:t>基本费1000</w:t>
            </w:r>
            <w:r>
              <w:rPr>
                <w:rFonts w:hint="eastAsia" w:ascii="宋体" w:hAnsi="宋体" w:cs="宋体"/>
                <w:b w:val="0"/>
                <w:bCs w:val="0"/>
                <w:color w:val="auto"/>
                <w:kern w:val="0"/>
                <w:sz w:val="21"/>
                <w:szCs w:val="21"/>
                <w:highlight w:val="none"/>
                <w:lang w:val="en-US" w:eastAsia="zh-CN"/>
              </w:rPr>
              <w:t>0</w:t>
            </w:r>
            <w:r>
              <w:rPr>
                <w:rFonts w:hint="eastAsia" w:ascii="宋体" w:hAnsi="宋体" w:eastAsia="宋体" w:cs="宋体"/>
                <w:b w:val="0"/>
                <w:bCs w:val="0"/>
                <w:color w:val="auto"/>
                <w:kern w:val="0"/>
                <w:sz w:val="21"/>
                <w:szCs w:val="21"/>
                <w:highlight w:val="none"/>
                <w:lang w:val="en-US" w:eastAsia="zh-CN"/>
              </w:rPr>
              <w:t>元</w:t>
            </w:r>
            <w:r>
              <w:rPr>
                <w:rFonts w:hint="eastAsia" w:ascii="宋体" w:hAnsi="宋体" w:cs="宋体"/>
                <w:b w:val="0"/>
                <w:bCs w:val="0"/>
                <w:color w:val="auto"/>
                <w:kern w:val="0"/>
                <w:sz w:val="21"/>
                <w:szCs w:val="21"/>
                <w:highlight w:val="none"/>
                <w:lang w:eastAsia="zh-CN"/>
              </w:rPr>
              <w:t>、滁州琅琊山二道河漂流设计采购施工（EPC）</w:t>
            </w:r>
            <w:r>
              <w:rPr>
                <w:rFonts w:hint="eastAsia" w:ascii="宋体" w:hAnsi="宋体" w:eastAsia="宋体" w:cs="宋体"/>
                <w:b w:val="0"/>
                <w:bCs w:val="0"/>
                <w:color w:val="auto"/>
                <w:kern w:val="0"/>
                <w:sz w:val="21"/>
                <w:szCs w:val="21"/>
                <w:highlight w:val="none"/>
                <w:lang w:val="en-US" w:eastAsia="zh-CN"/>
              </w:rPr>
              <w:t>项目基本费10000元</w:t>
            </w:r>
            <w:r>
              <w:rPr>
                <w:rFonts w:hint="eastAsia" w:ascii="宋体" w:hAnsi="宋体" w:cs="宋体"/>
                <w:b w:val="0"/>
                <w:bCs w:val="0"/>
                <w:color w:val="auto"/>
                <w:kern w:val="0"/>
                <w:sz w:val="21"/>
                <w:szCs w:val="21"/>
                <w:highlight w:val="none"/>
                <w:lang w:val="en-US" w:eastAsia="zh-CN"/>
              </w:rPr>
              <w:t>、</w:t>
            </w:r>
            <w:r>
              <w:rPr>
                <w:rFonts w:hint="eastAsia" w:ascii="宋体" w:hAnsi="宋体" w:cs="宋体"/>
                <w:b w:val="0"/>
                <w:bCs w:val="0"/>
                <w:color w:val="auto"/>
                <w:kern w:val="0"/>
                <w:sz w:val="21"/>
                <w:szCs w:val="21"/>
                <w:highlight w:val="none"/>
                <w:lang w:eastAsia="zh-CN"/>
              </w:rPr>
              <w:t>琅琊山摩崖石刻及碑刻安防设计施工一体化工程</w:t>
            </w:r>
            <w:r>
              <w:rPr>
                <w:rFonts w:hint="eastAsia" w:ascii="宋体" w:hAnsi="宋体" w:cs="宋体"/>
                <w:b w:val="0"/>
                <w:bCs w:val="0"/>
                <w:color w:val="auto"/>
                <w:kern w:val="0"/>
                <w:sz w:val="21"/>
                <w:szCs w:val="21"/>
                <w:highlight w:val="none"/>
                <w:lang w:val="en-US" w:eastAsia="zh-CN"/>
              </w:rPr>
              <w:t>项目基本费5000元</w:t>
            </w:r>
            <w:r>
              <w:rPr>
                <w:rFonts w:hint="eastAsia" w:ascii="宋体" w:hAnsi="宋体" w:eastAsia="宋体" w:cs="宋体"/>
                <w:b w:val="0"/>
                <w:bCs w:val="0"/>
                <w:color w:val="auto"/>
                <w:kern w:val="0"/>
                <w:sz w:val="21"/>
                <w:szCs w:val="21"/>
                <w:highlight w:val="none"/>
                <w:lang w:val="en-US" w:eastAsia="zh-CN"/>
              </w:rPr>
              <w:t>；审核成果费率4%。投标单位报折扣率，即投标价=</w:t>
            </w:r>
            <w:r>
              <w:rPr>
                <w:rFonts w:hint="eastAsia" w:ascii="宋体" w:hAnsi="宋体" w:cs="宋体"/>
                <w:b w:val="0"/>
                <w:bCs w:val="0"/>
                <w:color w:val="auto"/>
                <w:kern w:val="0"/>
                <w:sz w:val="21"/>
                <w:szCs w:val="21"/>
                <w:highlight w:val="none"/>
                <w:lang w:val="en-US" w:eastAsia="zh-CN"/>
              </w:rPr>
              <w:t>［</w:t>
            </w:r>
            <w:r>
              <w:rPr>
                <w:rFonts w:hint="eastAsia" w:ascii="宋体" w:hAnsi="宋体" w:eastAsia="宋体" w:cs="宋体"/>
                <w:b w:val="0"/>
                <w:bCs w:val="0"/>
                <w:color w:val="auto"/>
                <w:kern w:val="0"/>
                <w:sz w:val="21"/>
                <w:szCs w:val="21"/>
                <w:highlight w:val="none"/>
                <w:lang w:val="en-US" w:eastAsia="zh-CN"/>
              </w:rPr>
              <w:t>（基本费+核减额*4%）*折扣率〕，投标人折扣率报价不得高于100%，否则按无效标处理。（投标报价不可以填报0或负数，否则按无效标处理。注：服务费计算方式为：基本费+核减额*4%）*折扣率。其中，审核成果费计算基数为独立核减金额。）</w:t>
            </w:r>
          </w:p>
        </w:tc>
      </w:tr>
      <w:tr w14:paraId="461AFDFF">
        <w:tblPrEx>
          <w:tblCellMar>
            <w:top w:w="0" w:type="dxa"/>
            <w:left w:w="0" w:type="dxa"/>
            <w:bottom w:w="0" w:type="dxa"/>
            <w:right w:w="0" w:type="dxa"/>
          </w:tblCellMar>
        </w:tblPrEx>
        <w:trPr>
          <w:trHeight w:val="286" w:hRule="atLeast"/>
        </w:trPr>
        <w:tc>
          <w:tcPr>
            <w:tcW w:w="831" w:type="dxa"/>
            <w:tcBorders>
              <w:top w:val="single" w:color="auto" w:sz="8" w:space="0"/>
              <w:left w:val="single" w:color="auto" w:sz="8" w:space="0"/>
              <w:bottom w:val="single" w:color="auto" w:sz="8" w:space="0"/>
              <w:right w:val="single" w:color="auto" w:sz="8" w:space="0"/>
            </w:tcBorders>
            <w:vAlign w:val="center"/>
          </w:tcPr>
          <w:p w14:paraId="4D9AE634">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5</w:t>
            </w:r>
          </w:p>
        </w:tc>
        <w:tc>
          <w:tcPr>
            <w:tcW w:w="1502" w:type="dxa"/>
            <w:tcBorders>
              <w:top w:val="single" w:color="auto" w:sz="8" w:space="0"/>
              <w:left w:val="single" w:color="auto" w:sz="4" w:space="0"/>
              <w:bottom w:val="single" w:color="auto" w:sz="8" w:space="0"/>
              <w:right w:val="single" w:color="auto" w:sz="4" w:space="0"/>
            </w:tcBorders>
            <w:vAlign w:val="center"/>
          </w:tcPr>
          <w:p w14:paraId="58B59DA8">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00" w:lineRule="exact"/>
              <w:ind w:left="31680" w:right="0" w:hanging="1470" w:hangingChars="700"/>
              <w:jc w:val="center"/>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投标人资质</w:t>
            </w:r>
          </w:p>
          <w:p w14:paraId="4AE715A3">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00" w:lineRule="exact"/>
              <w:ind w:left="31680" w:right="0" w:hanging="1470" w:hangingChars="700"/>
              <w:jc w:val="center"/>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等级要求</w:t>
            </w:r>
          </w:p>
        </w:tc>
        <w:tc>
          <w:tcPr>
            <w:tcW w:w="7255" w:type="dxa"/>
            <w:tcBorders>
              <w:top w:val="single" w:color="auto" w:sz="8" w:space="0"/>
              <w:left w:val="single" w:color="auto" w:sz="4" w:space="0"/>
              <w:bottom w:val="single" w:color="auto" w:sz="8" w:space="0"/>
              <w:right w:val="single" w:color="auto" w:sz="8" w:space="0"/>
            </w:tcBorders>
            <w:vAlign w:val="center"/>
          </w:tcPr>
          <w:p w14:paraId="15840FBA">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63" w:leftChars="30" w:right="63" w:rightChars="3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一、投标人具有承担本项目相应服务能力的企业；</w:t>
            </w:r>
          </w:p>
          <w:p w14:paraId="2A83D6F5">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63" w:leftChars="30" w:right="63" w:rightChars="3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二、项目负责人要求：必须具有建设部颁发的中华人民共和国注册造价工程师（或一级造价师）注册执业证书，专业为土木建筑工程；</w:t>
            </w:r>
          </w:p>
          <w:p w14:paraId="1C1EFAF4">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63" w:leftChars="30" w:right="63" w:rightChars="3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三</w:t>
            </w:r>
            <w:r>
              <w:rPr>
                <w:rFonts w:hint="eastAsia" w:ascii="宋体" w:hAnsi="宋体" w:eastAsia="宋体" w:cs="宋体"/>
                <w:b w:val="0"/>
                <w:bCs w:val="0"/>
                <w:color w:val="auto"/>
                <w:kern w:val="0"/>
                <w:sz w:val="21"/>
                <w:szCs w:val="21"/>
                <w:highlight w:val="none"/>
                <w:lang w:val="en-US" w:eastAsia="zh-CN"/>
              </w:rPr>
              <w:t>、项目组其他成员（不含项目负责人）要求：不少于2名且具有在本单位注册的二级及以上造价工程师（土木建筑工程专业至少1名、安装工程专业至少1名）；</w:t>
            </w:r>
          </w:p>
          <w:p w14:paraId="3B12570A">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63" w:leftChars="30" w:right="63" w:rightChars="3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四</w:t>
            </w:r>
            <w:r>
              <w:rPr>
                <w:rFonts w:hint="eastAsia" w:ascii="宋体" w:hAnsi="宋体" w:eastAsia="宋体" w:cs="宋体"/>
                <w:b w:val="0"/>
                <w:bCs w:val="0"/>
                <w:color w:val="auto"/>
                <w:kern w:val="0"/>
                <w:sz w:val="21"/>
                <w:szCs w:val="21"/>
                <w:highlight w:val="none"/>
                <w:lang w:val="en-US" w:eastAsia="zh-CN"/>
              </w:rPr>
              <w:t>、本项目不接受联合体投标。</w:t>
            </w:r>
          </w:p>
        </w:tc>
      </w:tr>
      <w:tr w14:paraId="05C51022">
        <w:tblPrEx>
          <w:tblCellMar>
            <w:top w:w="0" w:type="dxa"/>
            <w:left w:w="0" w:type="dxa"/>
            <w:bottom w:w="0" w:type="dxa"/>
            <w:right w:w="0" w:type="dxa"/>
          </w:tblCellMar>
        </w:tblPrEx>
        <w:trPr>
          <w:trHeight w:val="656" w:hRule="atLeast"/>
        </w:trPr>
        <w:tc>
          <w:tcPr>
            <w:tcW w:w="831" w:type="dxa"/>
            <w:tcBorders>
              <w:top w:val="single" w:color="auto" w:sz="8" w:space="0"/>
              <w:left w:val="single" w:color="auto" w:sz="8" w:space="0"/>
              <w:bottom w:val="single" w:color="auto" w:sz="8" w:space="0"/>
              <w:right w:val="single" w:color="auto" w:sz="8" w:space="0"/>
            </w:tcBorders>
            <w:vAlign w:val="center"/>
          </w:tcPr>
          <w:p w14:paraId="7665D094">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6</w:t>
            </w:r>
          </w:p>
        </w:tc>
        <w:tc>
          <w:tcPr>
            <w:tcW w:w="1502" w:type="dxa"/>
            <w:tcBorders>
              <w:top w:val="single" w:color="auto" w:sz="8" w:space="0"/>
              <w:left w:val="single" w:color="auto" w:sz="4" w:space="0"/>
              <w:bottom w:val="single" w:color="auto" w:sz="8" w:space="0"/>
              <w:right w:val="single" w:color="auto" w:sz="4" w:space="0"/>
            </w:tcBorders>
            <w:vAlign w:val="center"/>
          </w:tcPr>
          <w:p w14:paraId="7CF44DB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勘察现场及投标预备会</w:t>
            </w:r>
          </w:p>
        </w:tc>
        <w:tc>
          <w:tcPr>
            <w:tcW w:w="7255" w:type="dxa"/>
            <w:tcBorders>
              <w:top w:val="single" w:color="auto" w:sz="8" w:space="0"/>
              <w:left w:val="single" w:color="auto" w:sz="4" w:space="0"/>
              <w:bottom w:val="single" w:color="auto" w:sz="8" w:space="0"/>
              <w:right w:val="single" w:color="auto" w:sz="8" w:space="0"/>
            </w:tcBorders>
            <w:vAlign w:val="center"/>
          </w:tcPr>
          <w:p w14:paraId="54BF0EC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exact"/>
              <w:ind w:left="42" w:leftChars="20" w:right="42" w:rightChars="20"/>
              <w:jc w:val="left"/>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不再集中召开招标答疑会；投标人自行组织勘察现场。</w:t>
            </w:r>
          </w:p>
        </w:tc>
      </w:tr>
      <w:tr w14:paraId="5BDEE392">
        <w:tblPrEx>
          <w:tblCellMar>
            <w:top w:w="0" w:type="dxa"/>
            <w:left w:w="0" w:type="dxa"/>
            <w:bottom w:w="0" w:type="dxa"/>
            <w:right w:w="0" w:type="dxa"/>
          </w:tblCellMar>
        </w:tblPrEx>
        <w:trPr>
          <w:trHeight w:val="435" w:hRule="atLeast"/>
        </w:trPr>
        <w:tc>
          <w:tcPr>
            <w:tcW w:w="831" w:type="dxa"/>
            <w:tcBorders>
              <w:top w:val="single" w:color="auto" w:sz="8" w:space="0"/>
              <w:left w:val="single" w:color="auto" w:sz="8" w:space="0"/>
              <w:bottom w:val="single" w:color="auto" w:sz="8" w:space="0"/>
              <w:right w:val="single" w:color="auto" w:sz="8" w:space="0"/>
            </w:tcBorders>
            <w:vAlign w:val="center"/>
          </w:tcPr>
          <w:p w14:paraId="1BC55AE2">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7</w:t>
            </w:r>
          </w:p>
        </w:tc>
        <w:tc>
          <w:tcPr>
            <w:tcW w:w="1502" w:type="dxa"/>
            <w:tcBorders>
              <w:top w:val="single" w:color="auto" w:sz="8" w:space="0"/>
              <w:left w:val="single" w:color="auto" w:sz="4" w:space="0"/>
              <w:bottom w:val="single" w:color="auto" w:sz="8" w:space="0"/>
              <w:right w:val="single" w:color="auto" w:sz="4" w:space="0"/>
            </w:tcBorders>
            <w:vAlign w:val="center"/>
          </w:tcPr>
          <w:p w14:paraId="2EABC9FB">
            <w:pPr>
              <w:pStyle w:val="25"/>
              <w:keepNext w:val="0"/>
              <w:keepLines w:val="0"/>
              <w:pageBreakBefore w:val="0"/>
              <w:widowControl/>
              <w:suppressLineNumbers w:val="0"/>
              <w:shd w:val="clear"/>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b w:val="0"/>
                <w:bCs w:val="0"/>
                <w:color w:val="auto"/>
                <w:kern w:val="0"/>
                <w:sz w:val="21"/>
                <w:szCs w:val="21"/>
                <w:highlight w:val="none"/>
              </w:rPr>
            </w:pPr>
            <w:r>
              <w:rPr>
                <w:rFonts w:hint="default" w:cs="Times New Roman"/>
                <w:highlight w:val="none"/>
              </w:rPr>
              <w:t>投标人提出</w:t>
            </w:r>
            <w:r>
              <w:rPr>
                <w:rFonts w:hint="default" w:cs="Times New Roman"/>
                <w:highlight w:val="none"/>
                <w:u w:val="single"/>
              </w:rPr>
              <w:t>疑问</w:t>
            </w:r>
            <w:r>
              <w:rPr>
                <w:rFonts w:hint="default" w:cs="Times New Roman"/>
                <w:highlight w:val="none"/>
              </w:rPr>
              <w:t>的截止时间及方式</w:t>
            </w:r>
          </w:p>
        </w:tc>
        <w:tc>
          <w:tcPr>
            <w:tcW w:w="7255" w:type="dxa"/>
            <w:tcBorders>
              <w:top w:val="single" w:color="auto" w:sz="8" w:space="0"/>
              <w:left w:val="single" w:color="auto" w:sz="4" w:space="0"/>
              <w:bottom w:val="single" w:color="auto" w:sz="8" w:space="0"/>
              <w:right w:val="single" w:color="auto" w:sz="8" w:space="0"/>
            </w:tcBorders>
            <w:vAlign w:val="center"/>
          </w:tcPr>
          <w:p w14:paraId="079218F9">
            <w:pPr>
              <w:pStyle w:val="25"/>
              <w:keepNext w:val="0"/>
              <w:keepLines w:val="0"/>
              <w:pageBreakBefore w:val="0"/>
              <w:suppressLineNumbers w:val="0"/>
              <w:shd w:val="clear"/>
              <w:kinsoku/>
              <w:wordWrap w:val="0"/>
              <w:overflowPunct/>
              <w:topLinePunct w:val="0"/>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b w:val="0"/>
                <w:bCs w:val="0"/>
                <w:color w:val="auto"/>
                <w:kern w:val="0"/>
                <w:sz w:val="21"/>
                <w:szCs w:val="21"/>
                <w:highlight w:val="none"/>
              </w:rPr>
            </w:pPr>
            <w:r>
              <w:rPr>
                <w:rFonts w:hint="eastAsia" w:ascii="宋体" w:hAnsi="宋体" w:cs="宋体"/>
                <w:kern w:val="0"/>
                <w:szCs w:val="21"/>
                <w:highlight w:val="none"/>
              </w:rPr>
              <w:t>如投标人对招标文件有疑问，</w:t>
            </w:r>
            <w:r>
              <w:rPr>
                <w:rFonts w:hint="eastAsia" w:ascii="宋体" w:hAnsi="宋体" w:eastAsia="宋体" w:cs="宋体"/>
                <w:kern w:val="0"/>
                <w:szCs w:val="21"/>
                <w:highlight w:val="none"/>
              </w:rPr>
              <w:t>请于202</w:t>
            </w: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年</w:t>
            </w:r>
            <w:r>
              <w:rPr>
                <w:rFonts w:hint="eastAsia" w:cs="宋体"/>
                <w:kern w:val="0"/>
                <w:szCs w:val="21"/>
                <w:highlight w:val="none"/>
                <w:lang w:val="en-US" w:eastAsia="zh-CN"/>
              </w:rPr>
              <w:t>8</w:t>
            </w:r>
            <w:r>
              <w:rPr>
                <w:rFonts w:hint="eastAsia" w:ascii="宋体" w:hAnsi="宋体" w:eastAsia="宋体" w:cs="宋体"/>
                <w:kern w:val="0"/>
                <w:szCs w:val="21"/>
                <w:highlight w:val="none"/>
              </w:rPr>
              <w:t>月</w:t>
            </w:r>
            <w:r>
              <w:rPr>
                <w:rFonts w:hint="eastAsia" w:hAnsi="宋体" w:cs="宋体"/>
                <w:kern w:val="0"/>
                <w:szCs w:val="21"/>
                <w:highlight w:val="none"/>
                <w:lang w:val="en-US" w:eastAsia="zh-CN"/>
              </w:rPr>
              <w:t>10</w:t>
            </w:r>
            <w:r>
              <w:rPr>
                <w:rFonts w:hint="eastAsia" w:ascii="宋体" w:hAnsi="宋体" w:eastAsia="宋体" w:cs="宋体"/>
                <w:kern w:val="0"/>
                <w:szCs w:val="21"/>
                <w:highlight w:val="none"/>
              </w:rPr>
              <w:t>日17时前</w:t>
            </w:r>
            <w:r>
              <w:rPr>
                <w:rFonts w:hint="eastAsia" w:ascii="宋体" w:hAnsi="宋体" w:eastAsia="宋体" w:cs="宋体"/>
                <w:color w:val="auto"/>
                <w:szCs w:val="21"/>
                <w:highlight w:val="none"/>
                <w:lang w:val="en-US" w:eastAsia="zh-CN"/>
              </w:rPr>
              <w:t>登录新点电子交易平台【滁州专区】线上提出</w:t>
            </w:r>
            <w:r>
              <w:rPr>
                <w:rFonts w:hint="default" w:ascii="宋体" w:hAnsi="宋体" w:eastAsia="宋体" w:cs="宋体"/>
                <w:color w:val="auto"/>
                <w:highlight w:val="none"/>
              </w:rPr>
              <w:t>。</w:t>
            </w:r>
          </w:p>
        </w:tc>
      </w:tr>
      <w:tr w14:paraId="75258EF9">
        <w:tblPrEx>
          <w:tblCellMar>
            <w:top w:w="0" w:type="dxa"/>
            <w:left w:w="0" w:type="dxa"/>
            <w:bottom w:w="0" w:type="dxa"/>
            <w:right w:w="0" w:type="dxa"/>
          </w:tblCellMar>
        </w:tblPrEx>
        <w:trPr>
          <w:trHeight w:val="435" w:hRule="atLeast"/>
        </w:trPr>
        <w:tc>
          <w:tcPr>
            <w:tcW w:w="831" w:type="dxa"/>
            <w:tcBorders>
              <w:top w:val="single" w:color="auto" w:sz="8" w:space="0"/>
              <w:left w:val="single" w:color="auto" w:sz="8" w:space="0"/>
              <w:bottom w:val="single" w:color="auto" w:sz="8" w:space="0"/>
              <w:right w:val="single" w:color="auto" w:sz="8" w:space="0"/>
            </w:tcBorders>
            <w:vAlign w:val="center"/>
          </w:tcPr>
          <w:p w14:paraId="5BED77EC">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8</w:t>
            </w:r>
          </w:p>
        </w:tc>
        <w:tc>
          <w:tcPr>
            <w:tcW w:w="1502" w:type="dxa"/>
            <w:tcBorders>
              <w:top w:val="single" w:color="auto" w:sz="8" w:space="0"/>
              <w:left w:val="single" w:color="auto" w:sz="4" w:space="0"/>
              <w:bottom w:val="single" w:color="auto" w:sz="8" w:space="0"/>
              <w:right w:val="single" w:color="auto" w:sz="4" w:space="0"/>
            </w:tcBorders>
            <w:vAlign w:val="center"/>
          </w:tcPr>
          <w:p w14:paraId="0C7D7277">
            <w:pPr>
              <w:pStyle w:val="25"/>
              <w:keepNext w:val="0"/>
              <w:keepLines w:val="0"/>
              <w:pageBreakBefore w:val="0"/>
              <w:widowControl/>
              <w:suppressLineNumbers w:val="0"/>
              <w:shd w:val="clear"/>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b w:val="0"/>
                <w:bCs w:val="0"/>
                <w:color w:val="auto"/>
                <w:kern w:val="0"/>
                <w:sz w:val="21"/>
                <w:szCs w:val="21"/>
                <w:highlight w:val="none"/>
              </w:rPr>
            </w:pPr>
            <w:r>
              <w:rPr>
                <w:rFonts w:hint="default" w:cs="Times New Roman"/>
                <w:highlight w:val="none"/>
              </w:rPr>
              <w:t>招标人澄清的时间及方式</w:t>
            </w:r>
          </w:p>
        </w:tc>
        <w:tc>
          <w:tcPr>
            <w:tcW w:w="7255" w:type="dxa"/>
            <w:tcBorders>
              <w:top w:val="single" w:color="auto" w:sz="8" w:space="0"/>
              <w:left w:val="single" w:color="auto" w:sz="4" w:space="0"/>
              <w:bottom w:val="single" w:color="auto" w:sz="8" w:space="0"/>
              <w:right w:val="single" w:color="auto" w:sz="8" w:space="0"/>
            </w:tcBorders>
            <w:vAlign w:val="center"/>
          </w:tcPr>
          <w:p w14:paraId="705B1AE0">
            <w:pPr>
              <w:keepNext w:val="0"/>
              <w:keepLines w:val="0"/>
              <w:pageBreakBefore w:val="0"/>
              <w:suppressLineNumbers w:val="0"/>
              <w:shd w:val="clear"/>
              <w:kinsoku/>
              <w:wordWrap w:val="0"/>
              <w:overflowPunct/>
              <w:topLinePunct w:val="0"/>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000000"/>
                <w:kern w:val="2"/>
                <w:sz w:val="21"/>
                <w:szCs w:val="21"/>
                <w:highlight w:val="none"/>
                <w:u w:color="000000"/>
                <w:lang w:val="en-US" w:eastAsia="zh-CN" w:bidi="ar"/>
              </w:rPr>
              <w:t>招标人将在202</w:t>
            </w:r>
            <w:r>
              <w:rPr>
                <w:rFonts w:hint="eastAsia" w:ascii="宋体" w:hAnsi="宋体" w:cs="宋体"/>
                <w:b w:val="0"/>
                <w:bCs w:val="0"/>
                <w:color w:val="000000"/>
                <w:kern w:val="2"/>
                <w:sz w:val="21"/>
                <w:szCs w:val="21"/>
                <w:highlight w:val="none"/>
                <w:u w:color="000000"/>
                <w:lang w:val="en-US" w:eastAsia="zh-CN" w:bidi="ar"/>
              </w:rPr>
              <w:t>5</w:t>
            </w:r>
            <w:r>
              <w:rPr>
                <w:rFonts w:hint="eastAsia" w:ascii="宋体" w:hAnsi="宋体" w:eastAsia="宋体" w:cs="宋体"/>
                <w:b w:val="0"/>
                <w:bCs w:val="0"/>
                <w:color w:val="000000"/>
                <w:kern w:val="2"/>
                <w:sz w:val="21"/>
                <w:szCs w:val="21"/>
                <w:highlight w:val="none"/>
                <w:u w:color="000000"/>
                <w:lang w:val="en-US" w:eastAsia="zh-CN" w:bidi="ar"/>
              </w:rPr>
              <w:t>年</w:t>
            </w:r>
            <w:r>
              <w:rPr>
                <w:rFonts w:hint="eastAsia" w:ascii="宋体" w:hAnsi="宋体" w:cs="宋体"/>
                <w:b w:val="0"/>
                <w:bCs w:val="0"/>
                <w:color w:val="000000"/>
                <w:kern w:val="2"/>
                <w:sz w:val="21"/>
                <w:szCs w:val="21"/>
                <w:highlight w:val="none"/>
                <w:u w:color="000000"/>
                <w:lang w:val="en-US" w:eastAsia="zh-CN" w:bidi="ar"/>
              </w:rPr>
              <w:t>8</w:t>
            </w:r>
            <w:r>
              <w:rPr>
                <w:rFonts w:hint="eastAsia" w:ascii="宋体" w:hAnsi="宋体" w:eastAsia="宋体" w:cs="宋体"/>
                <w:b w:val="0"/>
                <w:bCs w:val="0"/>
                <w:color w:val="000000"/>
                <w:kern w:val="2"/>
                <w:sz w:val="21"/>
                <w:szCs w:val="21"/>
                <w:highlight w:val="none"/>
                <w:u w:color="000000"/>
                <w:lang w:val="en-US" w:eastAsia="zh-CN" w:bidi="ar"/>
              </w:rPr>
              <w:t>月</w:t>
            </w:r>
            <w:r>
              <w:rPr>
                <w:rFonts w:hint="eastAsia" w:ascii="宋体" w:hAnsi="宋体" w:cs="宋体"/>
                <w:b w:val="0"/>
                <w:bCs w:val="0"/>
                <w:color w:val="000000"/>
                <w:kern w:val="2"/>
                <w:sz w:val="21"/>
                <w:szCs w:val="21"/>
                <w:highlight w:val="none"/>
                <w:u w:color="000000"/>
                <w:lang w:val="en-US" w:eastAsia="zh-CN" w:bidi="ar"/>
              </w:rPr>
              <w:t>11</w:t>
            </w:r>
            <w:r>
              <w:rPr>
                <w:rFonts w:hint="eastAsia" w:ascii="宋体" w:hAnsi="宋体" w:eastAsia="宋体" w:cs="宋体"/>
                <w:b w:val="0"/>
                <w:bCs w:val="0"/>
                <w:color w:val="000000"/>
                <w:kern w:val="2"/>
                <w:sz w:val="21"/>
                <w:szCs w:val="21"/>
                <w:highlight w:val="none"/>
                <w:u w:color="000000"/>
                <w:lang w:val="en-US" w:eastAsia="zh-CN" w:bidi="ar"/>
              </w:rPr>
              <w:t>日17时后以澄清公告形式在</w:t>
            </w:r>
            <w:r>
              <w:rPr>
                <w:rFonts w:hint="eastAsia" w:ascii="宋体" w:hAnsi="宋体" w:cs="宋体"/>
                <w:color w:val="auto"/>
                <w:kern w:val="0"/>
                <w:sz w:val="21"/>
                <w:szCs w:val="21"/>
                <w:highlight w:val="none"/>
                <w:u w:val="single"/>
                <w:lang w:val="en-US" w:eastAsia="zh-CN" w:bidi="ar"/>
              </w:rPr>
              <w:t>琅琊山风景名胜区管理委员会网站（https://lgw.chuzhou.gov.cn/）、</w:t>
            </w:r>
            <w:r>
              <w:rPr>
                <w:rFonts w:hint="eastAsia" w:ascii="宋体" w:hAnsi="宋体" w:eastAsia="宋体" w:cs="宋体"/>
                <w:color w:val="auto"/>
                <w:kern w:val="0"/>
                <w:sz w:val="21"/>
                <w:szCs w:val="21"/>
                <w:highlight w:val="none"/>
                <w:u w:val="single"/>
                <w:lang w:val="en-US" w:eastAsia="zh-CN" w:bidi="ar"/>
              </w:rPr>
              <w:t>安徽省琅琊山旅游发展有限公司网站</w:t>
            </w:r>
            <w:r>
              <w:rPr>
                <w:rFonts w:hint="eastAsia" w:ascii="宋体" w:hAnsi="宋体" w:cs="宋体"/>
                <w:color w:val="auto"/>
                <w:kern w:val="0"/>
                <w:sz w:val="21"/>
                <w:szCs w:val="21"/>
                <w:highlight w:val="none"/>
                <w:u w:val="single"/>
                <w:lang w:val="en-US" w:eastAsia="zh-CN" w:bidi="ar"/>
              </w:rPr>
              <w:t>(</w:t>
            </w:r>
            <w:r>
              <w:rPr>
                <w:rFonts w:hint="eastAsia" w:ascii="宋体" w:hAnsi="宋体" w:eastAsia="宋体" w:cs="宋体"/>
                <w:color w:val="auto"/>
                <w:kern w:val="0"/>
                <w:sz w:val="21"/>
                <w:szCs w:val="21"/>
                <w:highlight w:val="none"/>
                <w:u w:val="single"/>
                <w:lang w:val="en-US" w:eastAsia="zh-CN" w:bidi="ar"/>
              </w:rPr>
              <w:t>https://www.lysfjq.cn/</w:t>
            </w:r>
            <w:r>
              <w:rPr>
                <w:rFonts w:hint="eastAsia" w:ascii="宋体" w:hAnsi="宋体" w:cs="宋体"/>
                <w:color w:val="auto"/>
                <w:kern w:val="0"/>
                <w:sz w:val="21"/>
                <w:szCs w:val="21"/>
                <w:highlight w:val="none"/>
                <w:u w:val="single"/>
                <w:lang w:val="en-US" w:eastAsia="zh-CN" w:bidi="ar"/>
              </w:rPr>
              <w:t>)、滁州市城投工程咨询管理有限公司网站（https://www.czctgczx.com/)</w:t>
            </w:r>
            <w:r>
              <w:rPr>
                <w:rFonts w:hint="eastAsia" w:ascii="宋体" w:hAnsi="宋体" w:eastAsia="宋体" w:cs="宋体"/>
                <w:b w:val="0"/>
                <w:bCs w:val="0"/>
                <w:color w:val="000000"/>
                <w:kern w:val="2"/>
                <w:sz w:val="21"/>
                <w:szCs w:val="21"/>
                <w:highlight w:val="none"/>
                <w:u w:color="000000"/>
                <w:lang w:val="en-US" w:eastAsia="zh-CN" w:bidi="ar"/>
              </w:rPr>
              <w:t>发布，但不指明澄清问题的来源。如果澄清内容影响投标文件编制的，将相应延长投标截止时间。</w:t>
            </w:r>
          </w:p>
        </w:tc>
      </w:tr>
      <w:tr w14:paraId="279BC376">
        <w:tblPrEx>
          <w:tblCellMar>
            <w:top w:w="0" w:type="dxa"/>
            <w:left w:w="0" w:type="dxa"/>
            <w:bottom w:w="0" w:type="dxa"/>
            <w:right w:w="0" w:type="dxa"/>
          </w:tblCellMar>
        </w:tblPrEx>
        <w:trPr>
          <w:trHeight w:val="435" w:hRule="atLeast"/>
        </w:trPr>
        <w:tc>
          <w:tcPr>
            <w:tcW w:w="831" w:type="dxa"/>
            <w:tcBorders>
              <w:top w:val="single" w:color="auto" w:sz="8" w:space="0"/>
              <w:left w:val="single" w:color="auto" w:sz="8" w:space="0"/>
              <w:bottom w:val="single" w:color="auto" w:sz="8" w:space="0"/>
              <w:right w:val="single" w:color="auto" w:sz="8" w:space="0"/>
            </w:tcBorders>
            <w:vAlign w:val="center"/>
          </w:tcPr>
          <w:p w14:paraId="33A3855A">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b w:val="0"/>
                <w:bCs w:val="0"/>
                <w:color w:val="auto"/>
                <w:kern w:val="0"/>
                <w:sz w:val="24"/>
                <w:szCs w:val="24"/>
                <w:highlight w:val="none"/>
                <w:lang w:eastAsia="zh-CN"/>
              </w:rPr>
            </w:pPr>
            <w:r>
              <w:rPr>
                <w:rFonts w:hint="eastAsia" w:ascii="宋体" w:hAnsi="宋体" w:cs="宋体"/>
                <w:b w:val="0"/>
                <w:bCs w:val="0"/>
                <w:color w:val="auto"/>
                <w:kern w:val="0"/>
                <w:sz w:val="24"/>
                <w:szCs w:val="24"/>
                <w:highlight w:val="none"/>
                <w:lang w:val="en-US" w:eastAsia="zh-CN"/>
              </w:rPr>
              <w:t>9</w:t>
            </w:r>
          </w:p>
        </w:tc>
        <w:tc>
          <w:tcPr>
            <w:tcW w:w="1502" w:type="dxa"/>
            <w:tcBorders>
              <w:top w:val="single" w:color="auto" w:sz="8" w:space="0"/>
              <w:left w:val="single" w:color="auto" w:sz="4" w:space="0"/>
              <w:bottom w:val="single" w:color="auto" w:sz="8" w:space="0"/>
              <w:right w:val="single" w:color="auto" w:sz="4" w:space="0"/>
            </w:tcBorders>
            <w:vAlign w:val="center"/>
          </w:tcPr>
          <w:p w14:paraId="3D4EE622">
            <w:pPr>
              <w:pStyle w:val="27"/>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00" w:lineRule="exact"/>
              <w:ind w:left="31680" w:right="0" w:hanging="1260" w:hangingChars="600"/>
              <w:jc w:val="center"/>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投标文件份数</w:t>
            </w:r>
          </w:p>
        </w:tc>
        <w:tc>
          <w:tcPr>
            <w:tcW w:w="7255" w:type="dxa"/>
            <w:tcBorders>
              <w:top w:val="single" w:color="auto" w:sz="8" w:space="0"/>
              <w:left w:val="single" w:color="auto" w:sz="4" w:space="0"/>
              <w:bottom w:val="single" w:color="auto" w:sz="8" w:space="0"/>
              <w:right w:val="single" w:color="auto" w:sz="8" w:space="0"/>
            </w:tcBorders>
            <w:vAlign w:val="center"/>
          </w:tcPr>
          <w:p w14:paraId="1A0C3A66">
            <w:pPr>
              <w:keepNext w:val="0"/>
              <w:keepLines w:val="0"/>
              <w:suppressLineNumbers w:val="0"/>
              <w:shd w:val="clear"/>
              <w:spacing w:before="0" w:beforeAutospacing="0" w:after="0" w:afterAutospacing="0"/>
              <w:ind w:left="0" w:right="0"/>
              <w:rPr>
                <w:rFonts w:hint="eastAsia" w:ascii="宋体" w:hAnsi="宋体" w:eastAsia="宋体" w:cs="宋体"/>
                <w:highlight w:val="none"/>
              </w:rPr>
            </w:pPr>
            <w:r>
              <w:rPr>
                <w:rFonts w:hint="eastAsia" w:ascii="宋体" w:hAnsi="宋体" w:eastAsia="宋体" w:cs="宋体"/>
                <w:highlight w:val="none"/>
              </w:rPr>
              <w:t>本项目仅接受投标人在投标截止时间前登录新点电子交易平台【滁州专区】（https://www.etrading.cn/BREpointSSO/login/oauth2login?regioncode=DQ_ChuZhou）交易系统递交的加密电子投标文件。</w:t>
            </w:r>
          </w:p>
          <w:p w14:paraId="2BD19952">
            <w:pPr>
              <w:keepNext w:val="0"/>
              <w:keepLines w:val="0"/>
              <w:suppressLineNumbers w:val="0"/>
              <w:shd w:val="clear"/>
              <w:spacing w:before="0" w:beforeAutospacing="0" w:after="0" w:afterAutospacing="0"/>
              <w:ind w:left="0" w:right="0"/>
              <w:rPr>
                <w:rFonts w:hint="eastAsia" w:ascii="宋体" w:hAnsi="宋体" w:eastAsia="宋体" w:cs="宋体"/>
                <w:b w:val="0"/>
                <w:bCs w:val="0"/>
                <w:color w:val="auto"/>
                <w:kern w:val="0"/>
                <w:sz w:val="21"/>
                <w:szCs w:val="21"/>
                <w:highlight w:val="none"/>
              </w:rPr>
            </w:pPr>
            <w:r>
              <w:rPr>
                <w:rFonts w:hint="eastAsia" w:ascii="宋体" w:hAnsi="宋体" w:eastAsia="宋体" w:cs="宋体"/>
                <w:b/>
                <w:bCs/>
                <w:highlight w:val="none"/>
              </w:rPr>
              <w:t>（投标人中标后须递交与网上电子投标文件完全一致的纸质版投标文件，并按要求加盖单位章；份数：正本1份，副本2份；中标单位领取中标通知书时，一并递交给代理机构）</w:t>
            </w:r>
          </w:p>
        </w:tc>
      </w:tr>
      <w:tr w14:paraId="0B83F398">
        <w:tblPrEx>
          <w:tblCellMar>
            <w:top w:w="0" w:type="dxa"/>
            <w:left w:w="0" w:type="dxa"/>
            <w:bottom w:w="0" w:type="dxa"/>
            <w:right w:w="0" w:type="dxa"/>
          </w:tblCellMar>
        </w:tblPrEx>
        <w:trPr>
          <w:trHeight w:val="1089" w:hRule="atLeast"/>
        </w:trPr>
        <w:tc>
          <w:tcPr>
            <w:tcW w:w="831" w:type="dxa"/>
            <w:tcBorders>
              <w:top w:val="single" w:color="auto" w:sz="8" w:space="0"/>
              <w:left w:val="single" w:color="auto" w:sz="8" w:space="0"/>
              <w:bottom w:val="single" w:color="auto" w:sz="8" w:space="0"/>
              <w:right w:val="single" w:color="auto" w:sz="8" w:space="0"/>
            </w:tcBorders>
            <w:vAlign w:val="center"/>
          </w:tcPr>
          <w:p w14:paraId="204A8D03">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10</w:t>
            </w:r>
          </w:p>
        </w:tc>
        <w:tc>
          <w:tcPr>
            <w:tcW w:w="1502" w:type="dxa"/>
            <w:tcBorders>
              <w:top w:val="single" w:color="auto" w:sz="8" w:space="0"/>
              <w:left w:val="single" w:color="auto" w:sz="4" w:space="0"/>
              <w:bottom w:val="single" w:color="auto" w:sz="8" w:space="0"/>
              <w:right w:val="single" w:color="auto" w:sz="4" w:space="0"/>
            </w:tcBorders>
            <w:vAlign w:val="center"/>
          </w:tcPr>
          <w:p w14:paraId="02855123">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投标文件提交截止时间</w:t>
            </w:r>
          </w:p>
        </w:tc>
        <w:tc>
          <w:tcPr>
            <w:tcW w:w="7255" w:type="dxa"/>
            <w:tcBorders>
              <w:top w:val="single" w:color="auto" w:sz="8" w:space="0"/>
              <w:left w:val="single" w:color="auto" w:sz="4" w:space="0"/>
              <w:bottom w:val="single" w:color="auto" w:sz="8" w:space="0"/>
              <w:right w:val="single" w:color="auto" w:sz="8" w:space="0"/>
            </w:tcBorders>
            <w:vAlign w:val="center"/>
          </w:tcPr>
          <w:p w14:paraId="6DFB9794">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60" w:lineRule="exact"/>
              <w:ind w:left="42" w:leftChars="20" w:right="42" w:rightChars="2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szCs w:val="21"/>
                <w:highlight w:val="none"/>
              </w:rPr>
              <w:t>在202</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年</w:t>
            </w:r>
            <w:r>
              <w:rPr>
                <w:rFonts w:hint="eastAsia" w:ascii="宋体" w:hAnsi="宋体" w:eastAsia="宋体" w:cs="宋体"/>
                <w:szCs w:val="21"/>
                <w:highlight w:val="none"/>
                <w:lang w:val="en-US" w:eastAsia="zh-CN"/>
              </w:rPr>
              <w:t>8</w:t>
            </w:r>
            <w:r>
              <w:rPr>
                <w:rFonts w:hint="eastAsia" w:ascii="宋体" w:hAnsi="宋体" w:eastAsia="宋体" w:cs="宋体"/>
                <w:szCs w:val="21"/>
                <w:highlight w:val="none"/>
              </w:rPr>
              <w:t>月</w:t>
            </w:r>
            <w:r>
              <w:rPr>
                <w:rFonts w:hint="eastAsia" w:ascii="宋体" w:hAnsi="宋体" w:cs="宋体"/>
                <w:szCs w:val="21"/>
                <w:highlight w:val="none"/>
                <w:lang w:val="en-US" w:eastAsia="zh-CN"/>
              </w:rPr>
              <w:t>14</w:t>
            </w:r>
            <w:r>
              <w:rPr>
                <w:rFonts w:hint="eastAsia" w:ascii="宋体" w:hAnsi="宋体" w:eastAsia="宋体" w:cs="宋体"/>
                <w:szCs w:val="21"/>
                <w:highlight w:val="none"/>
              </w:rPr>
              <w:t>日</w:t>
            </w:r>
            <w:r>
              <w:rPr>
                <w:rFonts w:hint="eastAsia" w:ascii="宋体" w:hAnsi="宋体" w:eastAsia="宋体" w:cs="宋体"/>
                <w:szCs w:val="21"/>
                <w:highlight w:val="none"/>
                <w:lang w:val="en-US" w:eastAsia="zh-CN"/>
              </w:rPr>
              <w:t>1</w:t>
            </w:r>
            <w:r>
              <w:rPr>
                <w:rFonts w:hint="eastAsia" w:ascii="宋体" w:hAnsi="宋体" w:cs="宋体"/>
                <w:szCs w:val="21"/>
                <w:highlight w:val="none"/>
                <w:lang w:val="en-US" w:eastAsia="zh-CN"/>
              </w:rPr>
              <w:t>5</w:t>
            </w:r>
            <w:r>
              <w:rPr>
                <w:rFonts w:hint="eastAsia" w:ascii="宋体" w:hAnsi="宋体" w:eastAsia="宋体" w:cs="宋体"/>
                <w:szCs w:val="21"/>
                <w:highlight w:val="none"/>
              </w:rPr>
              <w:t>时</w:t>
            </w:r>
            <w:r>
              <w:rPr>
                <w:rFonts w:hint="eastAsia" w:ascii="宋体" w:hAnsi="宋体" w:cs="宋体"/>
                <w:szCs w:val="21"/>
                <w:highlight w:val="none"/>
                <w:lang w:val="en-US" w:eastAsia="zh-CN"/>
              </w:rPr>
              <w:t>0</w:t>
            </w:r>
            <w:r>
              <w:rPr>
                <w:rFonts w:hint="eastAsia" w:ascii="宋体" w:hAnsi="宋体" w:eastAsia="宋体" w:cs="宋体"/>
                <w:szCs w:val="21"/>
                <w:highlight w:val="none"/>
              </w:rPr>
              <w:t>0分（北京时间）</w:t>
            </w:r>
          </w:p>
        </w:tc>
      </w:tr>
      <w:tr w14:paraId="6474E574">
        <w:tblPrEx>
          <w:tblCellMar>
            <w:top w:w="0" w:type="dxa"/>
            <w:left w:w="0" w:type="dxa"/>
            <w:bottom w:w="0" w:type="dxa"/>
            <w:right w:w="0" w:type="dxa"/>
          </w:tblCellMar>
        </w:tblPrEx>
        <w:trPr>
          <w:trHeight w:val="786" w:hRule="atLeast"/>
        </w:trPr>
        <w:tc>
          <w:tcPr>
            <w:tcW w:w="831" w:type="dxa"/>
            <w:tcBorders>
              <w:top w:val="single" w:color="auto" w:sz="8" w:space="0"/>
              <w:left w:val="single" w:color="auto" w:sz="8" w:space="0"/>
              <w:bottom w:val="single" w:color="auto" w:sz="8" w:space="0"/>
              <w:right w:val="single" w:color="auto" w:sz="8" w:space="0"/>
            </w:tcBorders>
            <w:vAlign w:val="center"/>
          </w:tcPr>
          <w:p w14:paraId="04871074">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11</w:t>
            </w:r>
          </w:p>
        </w:tc>
        <w:tc>
          <w:tcPr>
            <w:tcW w:w="1502" w:type="dxa"/>
            <w:tcBorders>
              <w:top w:val="single" w:color="auto" w:sz="8" w:space="0"/>
              <w:left w:val="single" w:color="auto" w:sz="4" w:space="0"/>
              <w:bottom w:val="single" w:color="auto" w:sz="8" w:space="0"/>
              <w:right w:val="single" w:color="auto" w:sz="4" w:space="0"/>
            </w:tcBorders>
            <w:vAlign w:val="center"/>
          </w:tcPr>
          <w:p w14:paraId="0B798D57">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7255" w:type="dxa"/>
            <w:tcBorders>
              <w:top w:val="single" w:color="auto" w:sz="8" w:space="0"/>
              <w:left w:val="single" w:color="auto" w:sz="4" w:space="0"/>
              <w:bottom w:val="single" w:color="auto" w:sz="8" w:space="0"/>
              <w:right w:val="single" w:color="auto" w:sz="8" w:space="0"/>
            </w:tcBorders>
            <w:vAlign w:val="center"/>
          </w:tcPr>
          <w:p w14:paraId="133CC975">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color w:val="000000"/>
                <w:kern w:val="2"/>
                <w:sz w:val="21"/>
                <w:szCs w:val="21"/>
                <w:highlight w:val="none"/>
                <w:u w:color="000000"/>
                <w:lang w:val="en-US" w:eastAsia="zh-CN" w:bidi="ar"/>
              </w:rPr>
              <w:t>否</w:t>
            </w:r>
          </w:p>
        </w:tc>
      </w:tr>
      <w:tr w14:paraId="4E34F020">
        <w:tblPrEx>
          <w:tblCellMar>
            <w:top w:w="0" w:type="dxa"/>
            <w:left w:w="0" w:type="dxa"/>
            <w:bottom w:w="0" w:type="dxa"/>
            <w:right w:w="0" w:type="dxa"/>
          </w:tblCellMar>
        </w:tblPrEx>
        <w:trPr>
          <w:trHeight w:val="786" w:hRule="atLeast"/>
        </w:trPr>
        <w:tc>
          <w:tcPr>
            <w:tcW w:w="831" w:type="dxa"/>
            <w:tcBorders>
              <w:top w:val="single" w:color="auto" w:sz="8" w:space="0"/>
              <w:left w:val="single" w:color="auto" w:sz="8" w:space="0"/>
              <w:bottom w:val="single" w:color="auto" w:sz="8" w:space="0"/>
              <w:right w:val="single" w:color="auto" w:sz="8" w:space="0"/>
            </w:tcBorders>
            <w:vAlign w:val="center"/>
          </w:tcPr>
          <w:p w14:paraId="3BEB7F10">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12</w:t>
            </w:r>
          </w:p>
        </w:tc>
        <w:tc>
          <w:tcPr>
            <w:tcW w:w="1502" w:type="dxa"/>
            <w:tcBorders>
              <w:top w:val="single" w:color="auto" w:sz="8" w:space="0"/>
              <w:left w:val="single" w:color="auto" w:sz="4" w:space="0"/>
              <w:bottom w:val="single" w:color="auto" w:sz="8" w:space="0"/>
              <w:right w:val="single" w:color="auto" w:sz="4" w:space="0"/>
            </w:tcBorders>
            <w:vAlign w:val="center"/>
          </w:tcPr>
          <w:p w14:paraId="63341912">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开标时间及地点</w:t>
            </w:r>
          </w:p>
        </w:tc>
        <w:tc>
          <w:tcPr>
            <w:tcW w:w="7255" w:type="dxa"/>
            <w:tcBorders>
              <w:top w:val="single" w:color="auto" w:sz="8" w:space="0"/>
              <w:left w:val="single" w:color="auto" w:sz="4" w:space="0"/>
              <w:bottom w:val="single" w:color="auto" w:sz="8" w:space="0"/>
              <w:right w:val="single" w:color="auto" w:sz="8" w:space="0"/>
            </w:tcBorders>
            <w:vAlign w:val="center"/>
          </w:tcPr>
          <w:p w14:paraId="0EC66C98">
            <w:pPr>
              <w:keepNext w:val="0"/>
              <w:keepLines w:val="0"/>
              <w:pageBreakBefore w:val="0"/>
              <w:widowControl w:val="0"/>
              <w:suppressLineNumbers w:val="0"/>
              <w:shd w:val="clear"/>
              <w:kinsoku/>
              <w:wordWrap w:val="0"/>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w:t>
            </w:r>
            <w:r>
              <w:rPr>
                <w:rFonts w:hint="eastAsia" w:ascii="宋体" w:hAnsi="宋体" w:eastAsia="宋体" w:cs="宋体"/>
                <w:szCs w:val="21"/>
                <w:highlight w:val="none"/>
              </w:rPr>
              <w:t>202</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年</w:t>
            </w:r>
            <w:r>
              <w:rPr>
                <w:rFonts w:hint="eastAsia" w:ascii="宋体" w:hAnsi="宋体" w:eastAsia="宋体" w:cs="宋体"/>
                <w:szCs w:val="21"/>
                <w:highlight w:val="none"/>
                <w:lang w:val="en-US" w:eastAsia="zh-CN"/>
              </w:rPr>
              <w:t>8</w:t>
            </w:r>
            <w:r>
              <w:rPr>
                <w:rFonts w:hint="eastAsia" w:ascii="宋体" w:hAnsi="宋体" w:eastAsia="宋体" w:cs="宋体"/>
                <w:szCs w:val="21"/>
                <w:highlight w:val="none"/>
              </w:rPr>
              <w:t>月</w:t>
            </w:r>
            <w:r>
              <w:rPr>
                <w:rFonts w:hint="eastAsia" w:ascii="宋体" w:hAnsi="宋体" w:cs="宋体"/>
                <w:szCs w:val="21"/>
                <w:highlight w:val="none"/>
                <w:lang w:val="en-US" w:eastAsia="zh-CN"/>
              </w:rPr>
              <w:t>14</w:t>
            </w:r>
            <w:r>
              <w:rPr>
                <w:rFonts w:hint="eastAsia" w:ascii="宋体" w:hAnsi="宋体" w:eastAsia="宋体" w:cs="宋体"/>
                <w:szCs w:val="21"/>
                <w:highlight w:val="none"/>
              </w:rPr>
              <w:t>日</w:t>
            </w:r>
            <w:r>
              <w:rPr>
                <w:rFonts w:hint="eastAsia" w:ascii="宋体" w:hAnsi="宋体" w:eastAsia="宋体" w:cs="宋体"/>
                <w:szCs w:val="21"/>
                <w:highlight w:val="none"/>
                <w:lang w:val="en-US" w:eastAsia="zh-CN"/>
              </w:rPr>
              <w:t>1</w:t>
            </w:r>
            <w:r>
              <w:rPr>
                <w:rFonts w:hint="eastAsia" w:ascii="宋体" w:hAnsi="宋体" w:cs="宋体"/>
                <w:szCs w:val="21"/>
                <w:highlight w:val="none"/>
                <w:lang w:val="en-US" w:eastAsia="zh-CN"/>
              </w:rPr>
              <w:t>5</w:t>
            </w:r>
            <w:r>
              <w:rPr>
                <w:rFonts w:hint="eastAsia" w:ascii="宋体" w:hAnsi="宋体" w:eastAsia="宋体" w:cs="宋体"/>
                <w:szCs w:val="21"/>
                <w:highlight w:val="none"/>
              </w:rPr>
              <w:t>时</w:t>
            </w:r>
            <w:r>
              <w:rPr>
                <w:rFonts w:hint="eastAsia" w:ascii="宋体" w:hAnsi="宋体" w:cs="宋体"/>
                <w:szCs w:val="21"/>
                <w:highlight w:val="none"/>
                <w:lang w:val="en-US" w:eastAsia="zh-CN"/>
              </w:rPr>
              <w:t>0</w:t>
            </w:r>
            <w:r>
              <w:rPr>
                <w:rFonts w:hint="eastAsia" w:ascii="宋体" w:hAnsi="宋体" w:eastAsia="宋体" w:cs="宋体"/>
                <w:szCs w:val="21"/>
                <w:highlight w:val="none"/>
              </w:rPr>
              <w:t>0分</w:t>
            </w:r>
            <w:r>
              <w:rPr>
                <w:rFonts w:hint="eastAsia" w:ascii="宋体" w:hAnsi="宋体" w:eastAsia="宋体" w:cs="宋体"/>
                <w:color w:val="000000"/>
                <w:kern w:val="2"/>
                <w:sz w:val="21"/>
                <w:szCs w:val="21"/>
                <w:highlight w:val="none"/>
                <w:u w:color="000000"/>
                <w:lang w:val="en-US" w:eastAsia="zh-CN" w:bidi="ar"/>
              </w:rPr>
              <w:t>（北京时间）</w:t>
            </w:r>
          </w:p>
          <w:p w14:paraId="6DEB16F4">
            <w:pPr>
              <w:keepNext w:val="0"/>
              <w:keepLines w:val="0"/>
              <w:pageBreakBefore w:val="0"/>
              <w:widowControl w:val="0"/>
              <w:suppressLineNumbers w:val="0"/>
              <w:shd w:val="clear"/>
              <w:kinsoku/>
              <w:wordWrap w:val="0"/>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imes New Roman" w:hAnsi="Times New Roman" w:eastAsia="宋体" w:cs="Times New Roman"/>
                <w:highlight w:val="none"/>
                <w:lang w:val="en-US" w:eastAsia="zh-CN"/>
              </w:rPr>
            </w:pPr>
            <w:r>
              <w:rPr>
                <w:rFonts w:hint="eastAsia" w:ascii="宋体" w:hAnsi="宋体" w:eastAsia="宋体" w:cs="宋体"/>
                <w:color w:val="auto"/>
                <w:szCs w:val="21"/>
                <w:highlight w:val="none"/>
                <w:lang w:val="en-US" w:eastAsia="zh-CN"/>
              </w:rPr>
              <w:t>方式：</w:t>
            </w:r>
            <w:r>
              <w:rPr>
                <w:rFonts w:hint="eastAsia" w:ascii="Times New Roman" w:hAnsi="Times New Roman" w:eastAsia="宋体" w:cs="Times New Roman"/>
                <w:highlight w:val="none"/>
                <w:lang w:val="en-US" w:eastAsia="zh-CN"/>
              </w:rPr>
              <w:t>采用不见面开标，投标人登录滁州市城投工程咨询有限公司不见面开标系统参与网上开标（网址：</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"http://js.etrading.cn/EpointBidOpening/bidopeninghallaction/hall/login）。" </w:instrText>
            </w:r>
            <w:r>
              <w:rPr>
                <w:rFonts w:hint="eastAsia" w:ascii="Times New Roman" w:hAnsi="Times New Roman" w:eastAsia="宋体" w:cs="Times New Roman"/>
                <w:highlight w:val="none"/>
                <w:lang w:val="en-US" w:eastAsia="zh-CN"/>
              </w:rPr>
              <w:fldChar w:fldCharType="separate"/>
            </w:r>
            <w:r>
              <w:rPr>
                <w:rStyle w:val="56"/>
                <w:rFonts w:hint="eastAsia" w:ascii="Times New Roman" w:hAnsi="Times New Roman" w:eastAsia="宋体" w:cs="Times New Roman"/>
                <w:highlight w:val="none"/>
                <w:lang w:val="en-US" w:eastAsia="zh-CN"/>
              </w:rPr>
              <w:t>http://js.etrading.cn/EpointBidOpening/bidopeninghallaction/hall/login）。</w:t>
            </w:r>
            <w:r>
              <w:rPr>
                <w:rFonts w:hint="eastAsia" w:ascii="Times New Roman" w:hAnsi="Times New Roman" w:eastAsia="宋体" w:cs="Times New Roman"/>
                <w:highlight w:val="none"/>
                <w:lang w:val="en-US" w:eastAsia="zh-CN"/>
              </w:rPr>
              <w:fldChar w:fldCharType="end"/>
            </w:r>
          </w:p>
          <w:p w14:paraId="19C3B09A">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宋体" w:hAnsi="宋体" w:eastAsia="宋体" w:cs="宋体"/>
                <w:b w:val="0"/>
                <w:bCs w:val="0"/>
                <w:color w:val="auto"/>
                <w:sz w:val="21"/>
                <w:szCs w:val="21"/>
                <w:highlight w:val="none"/>
                <w:u w:val="single"/>
              </w:rPr>
            </w:pPr>
            <w:r>
              <w:rPr>
                <w:rFonts w:hint="eastAsia" w:ascii="宋体" w:hAnsi="宋体" w:eastAsia="宋体" w:cs="宋体"/>
                <w:color w:val="auto"/>
                <w:szCs w:val="21"/>
                <w:highlight w:val="none"/>
                <w:lang w:val="en-US" w:eastAsia="zh-CN"/>
              </w:rPr>
              <w:t>解密时间：投标人须</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u w:val="single"/>
              </w:rPr>
              <w:t>202</w:t>
            </w:r>
            <w:r>
              <w:rPr>
                <w:rFonts w:hint="eastAsia" w:ascii="宋体" w:hAnsi="宋体" w:eastAsia="宋体" w:cs="宋体"/>
                <w:color w:val="auto"/>
                <w:szCs w:val="21"/>
                <w:highlight w:val="none"/>
                <w:u w:val="single"/>
                <w:lang w:val="en-US" w:eastAsia="zh-CN"/>
              </w:rPr>
              <w:t>5</w:t>
            </w:r>
            <w:r>
              <w:rPr>
                <w:rFonts w:hint="eastAsia" w:ascii="宋体" w:hAnsi="宋体" w:eastAsia="宋体" w:cs="宋体"/>
                <w:color w:val="auto"/>
                <w:szCs w:val="21"/>
                <w:highlight w:val="none"/>
                <w:u w:val="single"/>
              </w:rPr>
              <w:t>年</w:t>
            </w:r>
            <w:r>
              <w:rPr>
                <w:rFonts w:hint="eastAsia" w:ascii="宋体" w:hAnsi="宋体" w:eastAsia="宋体" w:cs="宋体"/>
                <w:color w:val="auto"/>
                <w:szCs w:val="21"/>
                <w:highlight w:val="none"/>
                <w:u w:val="single"/>
                <w:lang w:val="en-US" w:eastAsia="zh-CN"/>
              </w:rPr>
              <w:t>8</w:t>
            </w:r>
            <w:r>
              <w:rPr>
                <w:rFonts w:hint="eastAsia" w:ascii="宋体" w:hAnsi="宋体" w:eastAsia="宋体" w:cs="宋体"/>
                <w:color w:val="auto"/>
                <w:szCs w:val="21"/>
                <w:highlight w:val="none"/>
                <w:u w:val="single"/>
              </w:rPr>
              <w:t>月</w:t>
            </w:r>
            <w:r>
              <w:rPr>
                <w:rFonts w:hint="eastAsia" w:ascii="宋体" w:hAnsi="宋体" w:cs="宋体"/>
                <w:color w:val="auto"/>
                <w:szCs w:val="21"/>
                <w:highlight w:val="none"/>
                <w:u w:val="single"/>
                <w:lang w:val="en-US" w:eastAsia="zh-CN"/>
              </w:rPr>
              <w:t>14</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u w:val="single"/>
                <w:lang w:val="en-US" w:eastAsia="zh-CN"/>
              </w:rPr>
              <w:t>1</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lang w:eastAsia="zh-CN"/>
              </w:rPr>
              <w:t>时</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lang w:val="en-US" w:eastAsia="zh-CN"/>
              </w:rPr>
              <w:t>0</w:t>
            </w:r>
            <w:r>
              <w:rPr>
                <w:rFonts w:hint="eastAsia" w:ascii="宋体" w:hAnsi="宋体" w:eastAsia="宋体" w:cs="宋体"/>
                <w:color w:val="auto"/>
                <w:szCs w:val="21"/>
                <w:highlight w:val="none"/>
                <w:u w:val="single"/>
                <w:lang w:eastAsia="zh-CN"/>
              </w:rPr>
              <w:t>分</w:t>
            </w:r>
            <w:r>
              <w:rPr>
                <w:rFonts w:hint="eastAsia" w:ascii="宋体" w:hAnsi="宋体" w:eastAsia="宋体" w:cs="宋体"/>
                <w:color w:val="auto"/>
                <w:szCs w:val="21"/>
                <w:highlight w:val="none"/>
                <w:u w:val="single"/>
                <w:lang w:val="en-US" w:eastAsia="zh-CN"/>
              </w:rPr>
              <w:t>至</w:t>
            </w:r>
            <w:r>
              <w:rPr>
                <w:rFonts w:hint="eastAsia" w:ascii="宋体" w:hAnsi="宋体" w:eastAsia="宋体" w:cs="宋体"/>
                <w:color w:val="auto"/>
                <w:szCs w:val="21"/>
                <w:highlight w:val="none"/>
                <w:u w:val="single"/>
              </w:rPr>
              <w:t>202</w:t>
            </w:r>
            <w:r>
              <w:rPr>
                <w:rFonts w:hint="eastAsia" w:ascii="宋体" w:hAnsi="宋体" w:eastAsia="宋体" w:cs="宋体"/>
                <w:color w:val="auto"/>
                <w:szCs w:val="21"/>
                <w:highlight w:val="none"/>
                <w:u w:val="single"/>
                <w:lang w:val="en-US" w:eastAsia="zh-CN"/>
              </w:rPr>
              <w:t>5</w:t>
            </w:r>
            <w:r>
              <w:rPr>
                <w:rFonts w:hint="eastAsia" w:ascii="宋体" w:hAnsi="宋体" w:eastAsia="宋体" w:cs="宋体"/>
                <w:color w:val="auto"/>
                <w:szCs w:val="21"/>
                <w:highlight w:val="none"/>
                <w:u w:val="single"/>
              </w:rPr>
              <w:t>年</w:t>
            </w:r>
            <w:r>
              <w:rPr>
                <w:rFonts w:hint="eastAsia" w:ascii="宋体" w:hAnsi="宋体" w:eastAsia="宋体" w:cs="宋体"/>
                <w:color w:val="auto"/>
                <w:szCs w:val="21"/>
                <w:highlight w:val="none"/>
                <w:u w:val="single"/>
                <w:lang w:val="en-US" w:eastAsia="zh-CN"/>
              </w:rPr>
              <w:t>8</w:t>
            </w:r>
            <w:r>
              <w:rPr>
                <w:rFonts w:hint="eastAsia" w:ascii="宋体" w:hAnsi="宋体" w:eastAsia="宋体" w:cs="宋体"/>
                <w:color w:val="auto"/>
                <w:szCs w:val="21"/>
                <w:highlight w:val="none"/>
                <w:u w:val="single"/>
              </w:rPr>
              <w:t>月</w:t>
            </w:r>
            <w:r>
              <w:rPr>
                <w:rFonts w:hint="eastAsia" w:ascii="宋体" w:hAnsi="宋体" w:cs="宋体"/>
                <w:color w:val="auto"/>
                <w:szCs w:val="21"/>
                <w:highlight w:val="none"/>
                <w:u w:val="single"/>
                <w:lang w:val="en-US" w:eastAsia="zh-CN"/>
              </w:rPr>
              <w:t>14</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u w:val="single"/>
                <w:lang w:val="en-US" w:eastAsia="zh-CN"/>
              </w:rPr>
              <w:t>1</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rPr>
              <w:t>时</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0分</w:t>
            </w:r>
            <w:r>
              <w:rPr>
                <w:rFonts w:hint="eastAsia" w:ascii="宋体" w:hAnsi="宋体" w:eastAsia="宋体" w:cs="宋体"/>
                <w:color w:val="auto"/>
                <w:szCs w:val="21"/>
                <w:highlight w:val="none"/>
                <w:u w:val="single"/>
                <w:lang w:val="en-US" w:eastAsia="zh-CN"/>
              </w:rPr>
              <w:t>解密；未在规定时间内完成解密的，退回其投标文件；如有因系统因系统原因造成的故障，代理机构可申请延迟解密时间。</w:t>
            </w:r>
          </w:p>
        </w:tc>
      </w:tr>
      <w:tr w14:paraId="7A60E9D2">
        <w:tblPrEx>
          <w:tblCellMar>
            <w:top w:w="0" w:type="dxa"/>
            <w:left w:w="0" w:type="dxa"/>
            <w:bottom w:w="0" w:type="dxa"/>
            <w:right w:w="0" w:type="dxa"/>
          </w:tblCellMar>
        </w:tblPrEx>
        <w:trPr>
          <w:trHeight w:val="167" w:hRule="atLeast"/>
        </w:trPr>
        <w:tc>
          <w:tcPr>
            <w:tcW w:w="831" w:type="dxa"/>
            <w:tcBorders>
              <w:top w:val="single" w:color="auto" w:sz="8" w:space="0"/>
              <w:left w:val="single" w:color="auto" w:sz="8" w:space="0"/>
              <w:bottom w:val="single" w:color="auto" w:sz="8" w:space="0"/>
              <w:right w:val="single" w:color="auto" w:sz="8" w:space="0"/>
            </w:tcBorders>
            <w:vAlign w:val="center"/>
          </w:tcPr>
          <w:p w14:paraId="723A5AA5">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ascii="宋体" w:hAnsi="宋体" w:cs="宋体"/>
                <w:b w:val="0"/>
                <w:bCs w:val="0"/>
                <w:color w:val="auto"/>
                <w:kern w:val="0"/>
                <w:sz w:val="24"/>
                <w:szCs w:val="24"/>
                <w:highlight w:val="none"/>
                <w:lang w:val="en-US" w:eastAsia="zh-CN"/>
              </w:rPr>
            </w:pPr>
            <w:bookmarkStart w:id="6" w:name="_Toc25340"/>
            <w:r>
              <w:rPr>
                <w:rFonts w:hint="eastAsia" w:ascii="宋体" w:hAnsi="宋体" w:cs="宋体"/>
                <w:b w:val="0"/>
                <w:bCs w:val="0"/>
                <w:color w:val="auto"/>
                <w:kern w:val="0"/>
                <w:sz w:val="24"/>
                <w:szCs w:val="24"/>
                <w:highlight w:val="none"/>
                <w:lang w:val="en-US" w:eastAsia="zh-CN"/>
              </w:rPr>
              <w:t>13</w:t>
            </w:r>
          </w:p>
        </w:tc>
        <w:tc>
          <w:tcPr>
            <w:tcW w:w="1502" w:type="dxa"/>
            <w:tcBorders>
              <w:top w:val="single" w:color="auto" w:sz="8" w:space="0"/>
              <w:left w:val="single" w:color="auto" w:sz="4" w:space="0"/>
              <w:bottom w:val="single" w:color="auto" w:sz="8" w:space="0"/>
              <w:right w:val="single" w:color="auto" w:sz="4" w:space="0"/>
            </w:tcBorders>
            <w:shd w:val="clear" w:color="auto" w:fill="auto"/>
            <w:vAlign w:val="center"/>
          </w:tcPr>
          <w:p w14:paraId="3FC57423">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b w:val="0"/>
                <w:bCs w:val="0"/>
                <w:color w:val="auto"/>
                <w:kern w:val="0"/>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开标程序</w:t>
            </w:r>
          </w:p>
        </w:tc>
        <w:tc>
          <w:tcPr>
            <w:tcW w:w="7255" w:type="dxa"/>
            <w:tcBorders>
              <w:top w:val="single" w:color="auto" w:sz="8" w:space="0"/>
              <w:left w:val="single" w:color="auto" w:sz="4" w:space="0"/>
              <w:bottom w:val="single" w:color="auto" w:sz="8" w:space="0"/>
              <w:right w:val="single" w:color="auto" w:sz="8" w:space="0"/>
            </w:tcBorders>
            <w:shd w:val="clear" w:color="auto" w:fill="auto"/>
            <w:vAlign w:val="center"/>
          </w:tcPr>
          <w:p w14:paraId="535648F4">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color w:val="auto"/>
                <w:szCs w:val="21"/>
                <w:highlight w:val="none"/>
              </w:rPr>
              <w:t>开标顺序：解密电子投标文件后，由评标委员会评审。</w:t>
            </w:r>
          </w:p>
        </w:tc>
      </w:tr>
      <w:tr w14:paraId="01EFD645">
        <w:tblPrEx>
          <w:tblCellMar>
            <w:top w:w="0" w:type="dxa"/>
            <w:left w:w="0" w:type="dxa"/>
            <w:bottom w:w="0" w:type="dxa"/>
            <w:right w:w="0" w:type="dxa"/>
          </w:tblCellMar>
        </w:tblPrEx>
        <w:trPr>
          <w:trHeight w:val="167" w:hRule="atLeast"/>
        </w:trPr>
        <w:tc>
          <w:tcPr>
            <w:tcW w:w="831" w:type="dxa"/>
            <w:tcBorders>
              <w:top w:val="single" w:color="auto" w:sz="8" w:space="0"/>
              <w:left w:val="single" w:color="auto" w:sz="8" w:space="0"/>
              <w:bottom w:val="single" w:color="auto" w:sz="8" w:space="0"/>
              <w:right w:val="single" w:color="auto" w:sz="8" w:space="0"/>
            </w:tcBorders>
            <w:vAlign w:val="center"/>
          </w:tcPr>
          <w:p w14:paraId="23D43C81">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ascii="宋体" w:hAnsi="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14</w:t>
            </w:r>
          </w:p>
        </w:tc>
        <w:tc>
          <w:tcPr>
            <w:tcW w:w="1502" w:type="dxa"/>
            <w:tcBorders>
              <w:top w:val="single" w:color="auto" w:sz="8" w:space="0"/>
              <w:left w:val="single" w:color="auto" w:sz="4" w:space="0"/>
              <w:bottom w:val="single" w:color="auto" w:sz="8" w:space="0"/>
              <w:right w:val="single" w:color="auto" w:sz="4" w:space="0"/>
            </w:tcBorders>
            <w:shd w:val="clear" w:color="auto" w:fill="auto"/>
            <w:vAlign w:val="center"/>
          </w:tcPr>
          <w:p w14:paraId="58091C03">
            <w:pPr>
              <w:pStyle w:val="25"/>
              <w:keepNext w:val="0"/>
              <w:keepLines w:val="0"/>
              <w:pageBreakBefore w:val="0"/>
              <w:widowControl/>
              <w:suppressLineNumbers w:val="0"/>
              <w:shd w:val="clear"/>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b w:val="0"/>
                <w:bCs w:val="0"/>
                <w:color w:val="auto"/>
                <w:kern w:val="0"/>
                <w:sz w:val="21"/>
                <w:szCs w:val="21"/>
                <w:highlight w:val="none"/>
                <w:lang w:val="en-US" w:eastAsia="zh-CN"/>
              </w:rPr>
            </w:pPr>
            <w:r>
              <w:rPr>
                <w:rFonts w:hint="default" w:cs="Times New Roman"/>
                <w:highlight w:val="none"/>
              </w:rPr>
              <w:t>评标委员会的组建</w:t>
            </w:r>
          </w:p>
        </w:tc>
        <w:tc>
          <w:tcPr>
            <w:tcW w:w="7255" w:type="dxa"/>
            <w:tcBorders>
              <w:top w:val="single" w:color="auto" w:sz="8" w:space="0"/>
              <w:left w:val="single" w:color="auto" w:sz="4" w:space="0"/>
              <w:bottom w:val="single" w:color="auto" w:sz="8" w:space="0"/>
              <w:right w:val="single" w:color="auto" w:sz="8" w:space="0"/>
            </w:tcBorders>
            <w:shd w:val="clear" w:color="auto" w:fill="auto"/>
            <w:vAlign w:val="center"/>
          </w:tcPr>
          <w:p w14:paraId="17FD7D80">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依法组建。</w:t>
            </w:r>
          </w:p>
        </w:tc>
      </w:tr>
      <w:tr w14:paraId="272AC81F">
        <w:tblPrEx>
          <w:tblCellMar>
            <w:top w:w="0" w:type="dxa"/>
            <w:left w:w="0" w:type="dxa"/>
            <w:bottom w:w="0" w:type="dxa"/>
            <w:right w:w="0" w:type="dxa"/>
          </w:tblCellMar>
        </w:tblPrEx>
        <w:trPr>
          <w:trHeight w:val="167" w:hRule="atLeast"/>
        </w:trPr>
        <w:tc>
          <w:tcPr>
            <w:tcW w:w="831" w:type="dxa"/>
            <w:tcBorders>
              <w:top w:val="single" w:color="auto" w:sz="8" w:space="0"/>
              <w:left w:val="single" w:color="auto" w:sz="8" w:space="0"/>
              <w:bottom w:val="single" w:color="auto" w:sz="8" w:space="0"/>
              <w:right w:val="single" w:color="auto" w:sz="8" w:space="0"/>
            </w:tcBorders>
            <w:vAlign w:val="center"/>
          </w:tcPr>
          <w:p w14:paraId="207984D9">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ascii="宋体" w:hAnsi="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15</w:t>
            </w:r>
          </w:p>
        </w:tc>
        <w:tc>
          <w:tcPr>
            <w:tcW w:w="1502" w:type="dxa"/>
            <w:tcBorders>
              <w:top w:val="single" w:color="auto" w:sz="8" w:space="0"/>
              <w:left w:val="single" w:color="auto" w:sz="4" w:space="0"/>
              <w:bottom w:val="single" w:color="auto" w:sz="8" w:space="0"/>
              <w:right w:val="single" w:color="auto" w:sz="4" w:space="0"/>
            </w:tcBorders>
            <w:shd w:val="clear" w:color="auto" w:fill="auto"/>
            <w:vAlign w:val="center"/>
          </w:tcPr>
          <w:p w14:paraId="17674359">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cs="宋体"/>
                <w:b w:val="0"/>
                <w:bCs w:val="0"/>
                <w:color w:val="auto"/>
                <w:kern w:val="0"/>
                <w:sz w:val="21"/>
                <w:szCs w:val="21"/>
                <w:highlight w:val="none"/>
                <w:lang w:val="en-US" w:eastAsia="zh-CN"/>
              </w:rPr>
            </w:pPr>
            <w:r>
              <w:rPr>
                <w:rFonts w:hint="eastAsia" w:ascii="宋体" w:hAnsi="宋体" w:eastAsia="宋体" w:cs="宋体"/>
                <w:b w:val="0"/>
                <w:bCs w:val="0"/>
                <w:color w:val="auto"/>
                <w:sz w:val="21"/>
                <w:szCs w:val="21"/>
                <w:highlight w:val="none"/>
              </w:rPr>
              <w:t>评标委员会确定中标候选人的人数</w:t>
            </w:r>
          </w:p>
        </w:tc>
        <w:tc>
          <w:tcPr>
            <w:tcW w:w="7255" w:type="dxa"/>
            <w:tcBorders>
              <w:top w:val="single" w:color="auto" w:sz="8" w:space="0"/>
              <w:left w:val="single" w:color="auto" w:sz="4" w:space="0"/>
              <w:bottom w:val="single" w:color="auto" w:sz="8" w:space="0"/>
              <w:right w:val="single" w:color="auto" w:sz="8" w:space="0"/>
            </w:tcBorders>
            <w:shd w:val="clear" w:color="auto" w:fill="auto"/>
            <w:vAlign w:val="center"/>
          </w:tcPr>
          <w:p w14:paraId="1703C964">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名，并标明排序。</w:t>
            </w:r>
          </w:p>
        </w:tc>
      </w:tr>
      <w:tr w14:paraId="76937D03">
        <w:tblPrEx>
          <w:tblCellMar>
            <w:top w:w="0" w:type="dxa"/>
            <w:left w:w="0" w:type="dxa"/>
            <w:bottom w:w="0" w:type="dxa"/>
            <w:right w:w="0" w:type="dxa"/>
          </w:tblCellMar>
        </w:tblPrEx>
        <w:trPr>
          <w:trHeight w:val="167" w:hRule="atLeast"/>
        </w:trPr>
        <w:tc>
          <w:tcPr>
            <w:tcW w:w="831" w:type="dxa"/>
            <w:tcBorders>
              <w:top w:val="single" w:color="auto" w:sz="8" w:space="0"/>
              <w:left w:val="single" w:color="auto" w:sz="8" w:space="0"/>
              <w:bottom w:val="single" w:color="auto" w:sz="8" w:space="0"/>
              <w:right w:val="single" w:color="auto" w:sz="8" w:space="0"/>
            </w:tcBorders>
            <w:vAlign w:val="center"/>
          </w:tcPr>
          <w:p w14:paraId="538E18A3">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ascii="宋体" w:hAnsi="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16</w:t>
            </w:r>
          </w:p>
        </w:tc>
        <w:tc>
          <w:tcPr>
            <w:tcW w:w="1502" w:type="dxa"/>
            <w:tcBorders>
              <w:top w:val="single" w:color="auto" w:sz="8" w:space="0"/>
              <w:left w:val="single" w:color="auto" w:sz="4" w:space="0"/>
              <w:bottom w:val="single" w:color="auto" w:sz="8" w:space="0"/>
              <w:right w:val="single" w:color="auto" w:sz="4" w:space="0"/>
            </w:tcBorders>
            <w:shd w:val="clear" w:color="auto" w:fill="auto"/>
            <w:vAlign w:val="center"/>
          </w:tcPr>
          <w:p w14:paraId="5A8F465C">
            <w:pPr>
              <w:pStyle w:val="25"/>
              <w:keepNext w:val="0"/>
              <w:keepLines w:val="0"/>
              <w:pageBreakBefore w:val="0"/>
              <w:widowControl/>
              <w:suppressLineNumbers w:val="0"/>
              <w:shd w:val="clear"/>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b w:val="0"/>
                <w:bCs w:val="0"/>
                <w:color w:val="auto"/>
                <w:kern w:val="0"/>
                <w:sz w:val="21"/>
                <w:szCs w:val="21"/>
                <w:highlight w:val="none"/>
                <w:lang w:val="en-US" w:eastAsia="zh-CN"/>
              </w:rPr>
            </w:pPr>
            <w:r>
              <w:rPr>
                <w:rFonts w:hint="default" w:cs="Times New Roman"/>
                <w:highlight w:val="none"/>
              </w:rPr>
              <w:t>中标结果公告媒介</w:t>
            </w:r>
          </w:p>
        </w:tc>
        <w:tc>
          <w:tcPr>
            <w:tcW w:w="7255" w:type="dxa"/>
            <w:tcBorders>
              <w:top w:val="single" w:color="auto" w:sz="8" w:space="0"/>
              <w:left w:val="single" w:color="auto" w:sz="4" w:space="0"/>
              <w:bottom w:val="single" w:color="auto" w:sz="8" w:space="0"/>
              <w:right w:val="single" w:color="auto" w:sz="8" w:space="0"/>
            </w:tcBorders>
            <w:shd w:val="clear" w:color="auto" w:fill="auto"/>
            <w:vAlign w:val="top"/>
          </w:tcPr>
          <w:p w14:paraId="430E88C4">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47BE6D90">
            <w:pPr>
              <w:pStyle w:val="25"/>
              <w:keepNext w:val="0"/>
              <w:keepLines w:val="0"/>
              <w:pageBreakBefore w:val="0"/>
              <w:widowControl/>
              <w:suppressLineNumbers w:val="0"/>
              <w:shd w:val="clear"/>
              <w:kinsoku/>
              <w:wordWrap/>
              <w:overflowPunct/>
              <w:topLinePunct w:val="0"/>
              <w:autoSpaceDE w:val="0"/>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2E8AA286">
        <w:tblPrEx>
          <w:tblCellMar>
            <w:top w:w="0" w:type="dxa"/>
            <w:left w:w="0" w:type="dxa"/>
            <w:bottom w:w="0" w:type="dxa"/>
            <w:right w:w="0" w:type="dxa"/>
          </w:tblCellMar>
        </w:tblPrEx>
        <w:trPr>
          <w:trHeight w:val="167" w:hRule="atLeast"/>
        </w:trPr>
        <w:tc>
          <w:tcPr>
            <w:tcW w:w="831" w:type="dxa"/>
            <w:tcBorders>
              <w:top w:val="single" w:color="auto" w:sz="8" w:space="0"/>
              <w:left w:val="single" w:color="auto" w:sz="8" w:space="0"/>
              <w:bottom w:val="single" w:color="auto" w:sz="8" w:space="0"/>
              <w:right w:val="single" w:color="auto" w:sz="8" w:space="0"/>
            </w:tcBorders>
            <w:vAlign w:val="center"/>
          </w:tcPr>
          <w:p w14:paraId="09695818">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ascii="宋体" w:hAnsi="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17</w:t>
            </w:r>
          </w:p>
        </w:tc>
        <w:tc>
          <w:tcPr>
            <w:tcW w:w="1502" w:type="dxa"/>
            <w:tcBorders>
              <w:top w:val="single" w:color="auto" w:sz="8" w:space="0"/>
              <w:left w:val="single" w:color="auto" w:sz="4" w:space="0"/>
              <w:bottom w:val="single" w:color="auto" w:sz="8" w:space="0"/>
              <w:right w:val="single" w:color="auto" w:sz="4" w:space="0"/>
            </w:tcBorders>
            <w:shd w:val="clear" w:color="auto" w:fill="auto"/>
            <w:vAlign w:val="center"/>
          </w:tcPr>
          <w:p w14:paraId="11A02BBB">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b w:val="0"/>
                <w:bCs w:val="0"/>
                <w:color w:val="auto"/>
                <w:kern w:val="0"/>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中标通知书</w:t>
            </w:r>
          </w:p>
        </w:tc>
        <w:tc>
          <w:tcPr>
            <w:tcW w:w="7255" w:type="dxa"/>
            <w:tcBorders>
              <w:top w:val="single" w:color="auto" w:sz="8" w:space="0"/>
              <w:left w:val="single" w:color="auto" w:sz="4" w:space="0"/>
              <w:bottom w:val="single" w:color="auto" w:sz="8" w:space="0"/>
              <w:right w:val="single" w:color="auto" w:sz="8" w:space="0"/>
            </w:tcBorders>
            <w:shd w:val="clear" w:color="auto" w:fill="auto"/>
            <w:vAlign w:val="center"/>
          </w:tcPr>
          <w:p w14:paraId="64024E07">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中标通知书须加盖招标人、招标代理公司公章后发出。</w:t>
            </w:r>
          </w:p>
        </w:tc>
      </w:tr>
      <w:tr w14:paraId="1656D996">
        <w:tblPrEx>
          <w:tblCellMar>
            <w:top w:w="0" w:type="dxa"/>
            <w:left w:w="0" w:type="dxa"/>
            <w:bottom w:w="0" w:type="dxa"/>
            <w:right w:w="0" w:type="dxa"/>
          </w:tblCellMar>
        </w:tblPrEx>
        <w:trPr>
          <w:trHeight w:val="167" w:hRule="atLeast"/>
        </w:trPr>
        <w:tc>
          <w:tcPr>
            <w:tcW w:w="831" w:type="dxa"/>
            <w:tcBorders>
              <w:top w:val="single" w:color="auto" w:sz="8" w:space="0"/>
              <w:left w:val="single" w:color="auto" w:sz="8" w:space="0"/>
              <w:bottom w:val="single" w:color="auto" w:sz="8" w:space="0"/>
              <w:right w:val="single" w:color="auto" w:sz="8" w:space="0"/>
            </w:tcBorders>
            <w:vAlign w:val="center"/>
          </w:tcPr>
          <w:p w14:paraId="6D1CC5C5">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18</w:t>
            </w:r>
          </w:p>
        </w:tc>
        <w:tc>
          <w:tcPr>
            <w:tcW w:w="1502" w:type="dxa"/>
            <w:tcBorders>
              <w:top w:val="single" w:color="auto" w:sz="8" w:space="0"/>
              <w:left w:val="single" w:color="auto" w:sz="4" w:space="0"/>
              <w:bottom w:val="single" w:color="auto" w:sz="8" w:space="0"/>
              <w:right w:val="single" w:color="auto" w:sz="4" w:space="0"/>
            </w:tcBorders>
            <w:shd w:val="clear" w:color="auto" w:fill="auto"/>
            <w:vAlign w:val="center"/>
          </w:tcPr>
          <w:p w14:paraId="1DF27CE8">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lang w:val="en-US" w:eastAsia="zh-CN"/>
              </w:rPr>
              <w:t>特别要求</w:t>
            </w:r>
          </w:p>
        </w:tc>
        <w:tc>
          <w:tcPr>
            <w:tcW w:w="7255" w:type="dxa"/>
            <w:tcBorders>
              <w:top w:val="single" w:color="auto" w:sz="8" w:space="0"/>
              <w:left w:val="single" w:color="auto" w:sz="4" w:space="0"/>
              <w:bottom w:val="single" w:color="auto" w:sz="8" w:space="0"/>
              <w:right w:val="single" w:color="auto" w:sz="8" w:space="0"/>
            </w:tcBorders>
            <w:shd w:val="clear" w:color="auto" w:fill="auto"/>
            <w:vAlign w:val="center"/>
          </w:tcPr>
          <w:p w14:paraId="4E0E6A65">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63" w:leftChars="30" w:right="63" w:rightChars="3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1、项目建设期间，相关部门将对跟踪审计工作进行不定期检查，如发现有不符合《跟踪审计委托协议》相关工作要求的行为，将按照约定给予相应的处罚。</w:t>
            </w:r>
          </w:p>
          <w:p w14:paraId="64C927B7">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63" w:leftChars="30" w:right="63" w:rightChars="3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2、本项目执行《工程造价咨询服务管理办法》中相关规定</w:t>
            </w:r>
            <w:r>
              <w:rPr>
                <w:rFonts w:hint="eastAsia" w:ascii="宋体" w:hAnsi="宋体" w:cs="宋体"/>
                <w:b w:val="0"/>
                <w:bCs w:val="0"/>
                <w:color w:val="auto"/>
                <w:kern w:val="0"/>
                <w:sz w:val="21"/>
                <w:szCs w:val="21"/>
                <w:highlight w:val="none"/>
                <w:lang w:val="en-US" w:eastAsia="zh-CN"/>
              </w:rPr>
              <w:t>。</w:t>
            </w:r>
          </w:p>
          <w:p w14:paraId="45103D70">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63" w:leftChars="30" w:right="63" w:rightChars="3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3、中标单位项目组人员变更，变更后人员必须满足本项目招标要求。由中标单位向</w:t>
            </w:r>
            <w:r>
              <w:rPr>
                <w:rFonts w:hint="eastAsia" w:ascii="宋体" w:hAnsi="宋体" w:cs="宋体"/>
                <w:b w:val="0"/>
                <w:bCs w:val="0"/>
                <w:color w:val="auto"/>
                <w:kern w:val="0"/>
                <w:sz w:val="21"/>
                <w:szCs w:val="21"/>
                <w:highlight w:val="none"/>
                <w:lang w:val="en-US" w:eastAsia="zh-CN"/>
              </w:rPr>
              <w:t>招标人</w:t>
            </w:r>
            <w:r>
              <w:rPr>
                <w:rFonts w:hint="eastAsia" w:ascii="宋体" w:hAnsi="宋体" w:eastAsia="宋体" w:cs="宋体"/>
                <w:b w:val="0"/>
                <w:bCs w:val="0"/>
                <w:color w:val="auto"/>
                <w:kern w:val="0"/>
                <w:sz w:val="21"/>
                <w:szCs w:val="21"/>
                <w:highlight w:val="none"/>
                <w:lang w:val="en-US" w:eastAsia="zh-CN"/>
              </w:rPr>
              <w:t>提出申请并提供相应证明，由中标单位向业主单位提出申请并提供相应证明，业主单位会商提出意见，报业主单位领导批准后予以备案。</w:t>
            </w:r>
          </w:p>
          <w:p w14:paraId="1DCF9DBD">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60" w:lineRule="exact"/>
              <w:ind w:left="42" w:leftChars="20" w:right="42" w:rightChars="20"/>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rPr>
              <w:t>项目组负责人因以下原因变更不予处罚：①亡故；②重病（或重伤）三个月以上，不能履行职责；③受到刑事或行政处罚，不能胜任；④犯罪被羁押或判刑；⑤被责令停止职业资格。其他原因，造价企业须缴纳2万元违约金。</w:t>
            </w:r>
          </w:p>
        </w:tc>
      </w:tr>
      <w:tr w14:paraId="57C2587B">
        <w:tblPrEx>
          <w:tblCellMar>
            <w:top w:w="0" w:type="dxa"/>
            <w:left w:w="0" w:type="dxa"/>
            <w:bottom w:w="0" w:type="dxa"/>
            <w:right w:w="0" w:type="dxa"/>
          </w:tblCellMar>
        </w:tblPrEx>
        <w:trPr>
          <w:trHeight w:val="167" w:hRule="atLeast"/>
        </w:trPr>
        <w:tc>
          <w:tcPr>
            <w:tcW w:w="831" w:type="dxa"/>
            <w:tcBorders>
              <w:top w:val="single" w:color="auto" w:sz="8" w:space="0"/>
              <w:left w:val="single" w:color="auto" w:sz="8" w:space="0"/>
              <w:bottom w:val="single" w:color="auto" w:sz="8" w:space="0"/>
              <w:right w:val="single" w:color="auto" w:sz="8" w:space="0"/>
            </w:tcBorders>
            <w:vAlign w:val="center"/>
          </w:tcPr>
          <w:p w14:paraId="66B52AF1">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ascii="宋体" w:hAnsi="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19</w:t>
            </w:r>
          </w:p>
        </w:tc>
        <w:tc>
          <w:tcPr>
            <w:tcW w:w="1502" w:type="dxa"/>
            <w:tcBorders>
              <w:top w:val="single" w:color="auto" w:sz="8" w:space="0"/>
              <w:left w:val="single" w:color="auto" w:sz="4" w:space="0"/>
              <w:bottom w:val="single" w:color="auto" w:sz="8" w:space="0"/>
              <w:right w:val="single" w:color="auto" w:sz="4" w:space="0"/>
            </w:tcBorders>
            <w:shd w:val="clear" w:color="auto" w:fill="auto"/>
            <w:vAlign w:val="center"/>
          </w:tcPr>
          <w:p w14:paraId="198F075D">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lang w:val="en-US" w:eastAsia="zh-CN"/>
              </w:rPr>
              <w:t>付款方式</w:t>
            </w:r>
          </w:p>
        </w:tc>
        <w:tc>
          <w:tcPr>
            <w:tcW w:w="7255" w:type="dxa"/>
            <w:tcBorders>
              <w:top w:val="single" w:color="auto" w:sz="8" w:space="0"/>
              <w:left w:val="single" w:color="auto" w:sz="4" w:space="0"/>
              <w:bottom w:val="single" w:color="auto" w:sz="8" w:space="0"/>
              <w:right w:val="single" w:color="auto" w:sz="8" w:space="0"/>
            </w:tcBorders>
            <w:shd w:val="clear" w:color="auto" w:fill="auto"/>
            <w:vAlign w:val="center"/>
          </w:tcPr>
          <w:p w14:paraId="6D0ECF3E">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60" w:lineRule="exact"/>
              <w:ind w:left="42" w:leftChars="20" w:right="42" w:rightChars="20"/>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rPr>
              <w:t>各项目分别出具审核报告，交付招标人初审确认，报经招标人备案审查通过后，按照招标人审查备案金额结算支付审计服务费用。</w:t>
            </w:r>
          </w:p>
        </w:tc>
      </w:tr>
      <w:tr w14:paraId="1DA39639">
        <w:tblPrEx>
          <w:tblCellMar>
            <w:top w:w="0" w:type="dxa"/>
            <w:left w:w="0" w:type="dxa"/>
            <w:bottom w:w="0" w:type="dxa"/>
            <w:right w:w="0" w:type="dxa"/>
          </w:tblCellMar>
        </w:tblPrEx>
        <w:trPr>
          <w:trHeight w:val="167" w:hRule="atLeast"/>
        </w:trPr>
        <w:tc>
          <w:tcPr>
            <w:tcW w:w="831" w:type="dxa"/>
            <w:tcBorders>
              <w:top w:val="single" w:color="auto" w:sz="8" w:space="0"/>
              <w:left w:val="single" w:color="auto" w:sz="8" w:space="0"/>
              <w:bottom w:val="single" w:color="auto" w:sz="8" w:space="0"/>
              <w:right w:val="single" w:color="auto" w:sz="8" w:space="0"/>
            </w:tcBorders>
            <w:vAlign w:val="center"/>
          </w:tcPr>
          <w:p w14:paraId="768331BE">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ascii="宋体" w:hAnsi="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20</w:t>
            </w:r>
          </w:p>
        </w:tc>
        <w:tc>
          <w:tcPr>
            <w:tcW w:w="1502" w:type="dxa"/>
            <w:tcBorders>
              <w:top w:val="single" w:color="auto" w:sz="8" w:space="0"/>
              <w:left w:val="single" w:color="auto" w:sz="4" w:space="0"/>
              <w:bottom w:val="single" w:color="auto" w:sz="8" w:space="0"/>
              <w:right w:val="single" w:color="auto" w:sz="4" w:space="0"/>
            </w:tcBorders>
            <w:shd w:val="clear" w:color="auto" w:fill="auto"/>
            <w:vAlign w:val="center"/>
          </w:tcPr>
          <w:p w14:paraId="42793355">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lang w:val="en-US" w:eastAsia="zh-CN"/>
              </w:rPr>
              <w:t>招标代理服务费及专家评审费</w:t>
            </w:r>
          </w:p>
        </w:tc>
        <w:tc>
          <w:tcPr>
            <w:tcW w:w="7255" w:type="dxa"/>
            <w:tcBorders>
              <w:top w:val="single" w:color="auto" w:sz="8" w:space="0"/>
              <w:left w:val="single" w:color="auto" w:sz="4" w:space="0"/>
              <w:bottom w:val="single" w:color="auto" w:sz="8" w:space="0"/>
              <w:right w:val="single" w:color="auto" w:sz="8" w:space="0"/>
            </w:tcBorders>
            <w:shd w:val="clear" w:color="auto" w:fill="auto"/>
            <w:vAlign w:val="center"/>
          </w:tcPr>
          <w:p w14:paraId="77519D19">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60" w:lineRule="exact"/>
              <w:ind w:left="42" w:leftChars="20" w:right="42" w:rightChars="20"/>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lang w:val="en-US" w:eastAsia="zh-CN"/>
              </w:rPr>
              <w:t>本项目招标代理服务费2000元、专家评审费（约1240元，以实际发生为准），以上费用均由中标人在领取中标通知书时，一次性支付给代理公司。</w:t>
            </w:r>
          </w:p>
        </w:tc>
      </w:tr>
      <w:tr w14:paraId="4F8AE403">
        <w:tblPrEx>
          <w:tblCellMar>
            <w:top w:w="0" w:type="dxa"/>
            <w:left w:w="0" w:type="dxa"/>
            <w:bottom w:w="0" w:type="dxa"/>
            <w:right w:w="0" w:type="dxa"/>
          </w:tblCellMar>
        </w:tblPrEx>
        <w:trPr>
          <w:trHeight w:val="167" w:hRule="atLeast"/>
        </w:trPr>
        <w:tc>
          <w:tcPr>
            <w:tcW w:w="831" w:type="dxa"/>
            <w:tcBorders>
              <w:top w:val="single" w:color="auto" w:sz="8" w:space="0"/>
              <w:left w:val="single" w:color="auto" w:sz="8" w:space="0"/>
              <w:bottom w:val="single" w:color="auto" w:sz="8" w:space="0"/>
              <w:right w:val="single" w:color="auto" w:sz="8" w:space="0"/>
            </w:tcBorders>
            <w:vAlign w:val="center"/>
          </w:tcPr>
          <w:p w14:paraId="6E7C42C4">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ascii="宋体" w:hAnsi="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21</w:t>
            </w:r>
          </w:p>
        </w:tc>
        <w:tc>
          <w:tcPr>
            <w:tcW w:w="1502" w:type="dxa"/>
            <w:tcBorders>
              <w:top w:val="single" w:color="auto" w:sz="8" w:space="0"/>
              <w:left w:val="single" w:color="auto" w:sz="4" w:space="0"/>
              <w:bottom w:val="single" w:color="auto" w:sz="8" w:space="0"/>
              <w:right w:val="single" w:color="auto" w:sz="4" w:space="0"/>
            </w:tcBorders>
            <w:shd w:val="clear" w:color="auto" w:fill="auto"/>
            <w:vAlign w:val="center"/>
          </w:tcPr>
          <w:p w14:paraId="5F01266E">
            <w:pPr>
              <w:keepNext w:val="0"/>
              <w:keepLines w:val="0"/>
              <w:pageBreakBefore w:val="0"/>
              <w:widowControl/>
              <w:suppressLineNumbers w:val="0"/>
              <w:shd w:val="clear"/>
              <w:kinsoku/>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其他说明</w:t>
            </w:r>
          </w:p>
        </w:tc>
        <w:tc>
          <w:tcPr>
            <w:tcW w:w="7255" w:type="dxa"/>
            <w:tcBorders>
              <w:top w:val="single" w:color="auto" w:sz="8" w:space="0"/>
              <w:left w:val="single" w:color="auto" w:sz="4" w:space="0"/>
              <w:bottom w:val="single" w:color="auto" w:sz="8" w:space="0"/>
              <w:right w:val="single" w:color="auto" w:sz="8" w:space="0"/>
            </w:tcBorders>
            <w:shd w:val="clear" w:color="auto" w:fill="auto"/>
            <w:vAlign w:val="center"/>
          </w:tcPr>
          <w:p w14:paraId="5DDDF06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80" w:lineRule="exact"/>
              <w:ind w:left="63" w:leftChars="30" w:right="63" w:rightChars="3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1、本招标文件前后条款若有不一致之处，在澄清答疑时又未作出明确规定时，各投标人的投标文件只要满足其中任一条款，均视为对本招标文件的响应。</w:t>
            </w:r>
          </w:p>
          <w:p w14:paraId="7536895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80" w:lineRule="exact"/>
              <w:ind w:left="63" w:leftChars="30" w:right="63" w:rightChars="3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2、系统中提供的表格与招标文件中不一致时，以招标文件中提供的表格格式为准。</w:t>
            </w:r>
          </w:p>
          <w:p w14:paraId="5DEE443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80" w:lineRule="exact"/>
              <w:ind w:left="63" w:leftChars="30" w:right="63" w:rightChars="3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3、本项目招标公告与本招标文件不一致之处，以本招标文件为准。</w:t>
            </w:r>
          </w:p>
          <w:p w14:paraId="54F0AB0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80" w:lineRule="exact"/>
              <w:ind w:left="63" w:leftChars="30" w:right="63" w:rightChars="3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4、本文件的最终解释权归招标人、招标代理机构所有。</w:t>
            </w:r>
          </w:p>
        </w:tc>
      </w:tr>
      <w:tr w14:paraId="42641950">
        <w:tblPrEx>
          <w:tblCellMar>
            <w:top w:w="0" w:type="dxa"/>
            <w:left w:w="0" w:type="dxa"/>
            <w:bottom w:w="0" w:type="dxa"/>
            <w:right w:w="0" w:type="dxa"/>
          </w:tblCellMar>
        </w:tblPrEx>
        <w:trPr>
          <w:trHeight w:val="167" w:hRule="atLeast"/>
        </w:trPr>
        <w:tc>
          <w:tcPr>
            <w:tcW w:w="831" w:type="dxa"/>
            <w:tcBorders>
              <w:top w:val="single" w:color="auto" w:sz="8" w:space="0"/>
              <w:left w:val="single" w:color="auto" w:sz="8" w:space="0"/>
              <w:bottom w:val="single" w:color="auto" w:sz="8" w:space="0"/>
              <w:right w:val="single" w:color="auto" w:sz="8" w:space="0"/>
            </w:tcBorders>
            <w:vAlign w:val="center"/>
          </w:tcPr>
          <w:p w14:paraId="0E5D0E53">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default" w:ascii="宋体" w:hAnsi="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22</w:t>
            </w:r>
          </w:p>
        </w:tc>
        <w:tc>
          <w:tcPr>
            <w:tcW w:w="1502" w:type="dxa"/>
            <w:tcBorders>
              <w:top w:val="single" w:color="auto" w:sz="8" w:space="0"/>
              <w:left w:val="single" w:color="auto" w:sz="4" w:space="0"/>
              <w:bottom w:val="single" w:color="auto" w:sz="8" w:space="0"/>
              <w:right w:val="single" w:color="auto" w:sz="4" w:space="0"/>
            </w:tcBorders>
            <w:shd w:val="clear" w:color="auto" w:fill="auto"/>
            <w:vAlign w:val="center"/>
          </w:tcPr>
          <w:p w14:paraId="60933205">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cs="宋体"/>
                <w:b/>
                <w:bCs/>
                <w:color w:val="auto"/>
                <w:szCs w:val="21"/>
                <w:highlight w:val="none"/>
              </w:rPr>
            </w:pPr>
            <w:r>
              <w:rPr>
                <w:rFonts w:hint="eastAsia" w:ascii="宋体" w:hAnsi="宋体" w:eastAsia="宋体" w:cs="宋体"/>
                <w:b/>
                <w:bCs/>
                <w:color w:val="auto"/>
                <w:kern w:val="0"/>
                <w:sz w:val="21"/>
                <w:szCs w:val="21"/>
                <w:highlight w:val="none"/>
                <w:lang w:val="en-US" w:eastAsia="zh-CN"/>
              </w:rPr>
              <w:t>限制投标情形</w:t>
            </w:r>
          </w:p>
        </w:tc>
        <w:tc>
          <w:tcPr>
            <w:tcW w:w="7255" w:type="dxa"/>
            <w:tcBorders>
              <w:top w:val="single" w:color="auto" w:sz="8" w:space="0"/>
              <w:left w:val="single" w:color="auto" w:sz="4" w:space="0"/>
              <w:bottom w:val="single" w:color="auto" w:sz="8" w:space="0"/>
              <w:right w:val="single" w:color="auto" w:sz="8" w:space="0"/>
            </w:tcBorders>
            <w:shd w:val="clear" w:color="auto" w:fill="auto"/>
            <w:vAlign w:val="center"/>
          </w:tcPr>
          <w:p w14:paraId="05777A81">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80" w:lineRule="exact"/>
              <w:ind w:left="63" w:leftChars="30" w:right="63" w:rightChars="30"/>
              <w:textAlignment w:val="auto"/>
              <w:rPr>
                <w:rFonts w:hint="eastAsia" w:ascii="宋体" w:hAnsi="宋体" w:cs="宋体"/>
                <w:b/>
                <w:bCs/>
                <w:color w:val="auto"/>
                <w:szCs w:val="21"/>
                <w:highlight w:val="none"/>
              </w:rPr>
            </w:pPr>
            <w:r>
              <w:rPr>
                <w:rFonts w:hint="eastAsia" w:ascii="宋体" w:hAnsi="宋体" w:eastAsia="宋体" w:cs="宋体"/>
                <w:b/>
                <w:bCs/>
                <w:color w:val="auto"/>
                <w:kern w:val="0"/>
                <w:sz w:val="21"/>
                <w:szCs w:val="21"/>
                <w:highlight w:val="none"/>
                <w:lang w:val="en-US" w:eastAsia="zh-CN"/>
              </w:rPr>
              <w:t>本项目</w:t>
            </w:r>
            <w:r>
              <w:rPr>
                <w:rFonts w:hint="eastAsia" w:ascii="宋体" w:hAnsi="宋体" w:cs="宋体"/>
                <w:b/>
                <w:bCs/>
                <w:color w:val="auto"/>
                <w:kern w:val="0"/>
                <w:sz w:val="21"/>
                <w:szCs w:val="21"/>
                <w:highlight w:val="none"/>
                <w:lang w:val="en-US" w:eastAsia="zh-CN"/>
              </w:rPr>
              <w:t>所涉及的四个项目的施工单位、</w:t>
            </w:r>
            <w:r>
              <w:rPr>
                <w:rFonts w:hint="eastAsia" w:ascii="宋体" w:hAnsi="宋体" w:eastAsia="宋体" w:cs="宋体"/>
                <w:b/>
                <w:bCs/>
                <w:color w:val="auto"/>
                <w:kern w:val="0"/>
                <w:sz w:val="21"/>
                <w:szCs w:val="21"/>
                <w:highlight w:val="none"/>
                <w:lang w:val="en-US" w:eastAsia="zh-CN"/>
              </w:rPr>
              <w:t>招标代理单位、清单控制价编制单位、监理单位</w:t>
            </w:r>
            <w:r>
              <w:rPr>
                <w:rFonts w:hint="eastAsia" w:ascii="宋体" w:hAnsi="宋体" w:cs="宋体"/>
                <w:b/>
                <w:bCs/>
                <w:color w:val="auto"/>
                <w:kern w:val="0"/>
                <w:sz w:val="21"/>
                <w:szCs w:val="21"/>
                <w:highlight w:val="none"/>
                <w:lang w:val="en-US" w:eastAsia="zh-CN"/>
              </w:rPr>
              <w:t>、</w:t>
            </w:r>
            <w:r>
              <w:rPr>
                <w:rFonts w:hint="eastAsia" w:ascii="宋体" w:hAnsi="宋体" w:eastAsia="宋体" w:cs="宋体"/>
                <w:b/>
                <w:bCs/>
                <w:color w:val="auto"/>
                <w:kern w:val="0"/>
                <w:sz w:val="21"/>
                <w:szCs w:val="21"/>
                <w:highlight w:val="none"/>
                <w:lang w:val="en-US" w:eastAsia="zh-CN"/>
              </w:rPr>
              <w:t>项目跟踪审计</w:t>
            </w:r>
            <w:r>
              <w:rPr>
                <w:rFonts w:hint="eastAsia" w:ascii="宋体" w:hAnsi="宋体" w:cs="宋体"/>
                <w:b/>
                <w:bCs/>
                <w:color w:val="auto"/>
                <w:kern w:val="0"/>
                <w:sz w:val="21"/>
                <w:szCs w:val="21"/>
                <w:highlight w:val="none"/>
                <w:lang w:val="en-US" w:eastAsia="zh-CN"/>
              </w:rPr>
              <w:t>、项目结算审核单位均</w:t>
            </w:r>
            <w:r>
              <w:rPr>
                <w:rFonts w:hint="eastAsia" w:ascii="宋体" w:hAnsi="宋体" w:eastAsia="宋体" w:cs="宋体"/>
                <w:b/>
                <w:bCs/>
                <w:color w:val="auto"/>
                <w:kern w:val="0"/>
                <w:sz w:val="21"/>
                <w:szCs w:val="21"/>
                <w:highlight w:val="none"/>
                <w:lang w:val="en-US" w:eastAsia="zh-CN"/>
              </w:rPr>
              <w:t>不得参加</w:t>
            </w:r>
            <w:r>
              <w:rPr>
                <w:rFonts w:hint="eastAsia" w:ascii="宋体" w:hAnsi="宋体" w:cs="宋体"/>
                <w:b/>
                <w:bCs/>
                <w:color w:val="auto"/>
                <w:kern w:val="0"/>
                <w:sz w:val="21"/>
                <w:szCs w:val="21"/>
                <w:highlight w:val="none"/>
                <w:lang w:val="en-US" w:eastAsia="zh-CN"/>
              </w:rPr>
              <w:t>本项目</w:t>
            </w:r>
            <w:r>
              <w:rPr>
                <w:rFonts w:hint="eastAsia" w:ascii="宋体" w:hAnsi="宋体" w:eastAsia="宋体" w:cs="宋体"/>
                <w:b/>
                <w:bCs/>
                <w:color w:val="auto"/>
                <w:kern w:val="0"/>
                <w:sz w:val="21"/>
                <w:szCs w:val="21"/>
                <w:highlight w:val="none"/>
                <w:lang w:val="en-US" w:eastAsia="zh-CN"/>
              </w:rPr>
              <w:t>投标。</w:t>
            </w:r>
          </w:p>
        </w:tc>
      </w:tr>
      <w:tr w14:paraId="7C76885A">
        <w:tblPrEx>
          <w:tblCellMar>
            <w:top w:w="0" w:type="dxa"/>
            <w:left w:w="0" w:type="dxa"/>
            <w:bottom w:w="0" w:type="dxa"/>
            <w:right w:w="0" w:type="dxa"/>
          </w:tblCellMar>
        </w:tblPrEx>
        <w:trPr>
          <w:trHeight w:val="167" w:hRule="atLeast"/>
        </w:trPr>
        <w:tc>
          <w:tcPr>
            <w:tcW w:w="2333" w:type="dxa"/>
            <w:gridSpan w:val="2"/>
            <w:tcBorders>
              <w:top w:val="single" w:color="auto" w:sz="8" w:space="0"/>
              <w:left w:val="single" w:color="auto" w:sz="8" w:space="0"/>
              <w:bottom w:val="single" w:color="auto" w:sz="8" w:space="0"/>
              <w:right w:val="single" w:color="auto" w:sz="4" w:space="0"/>
            </w:tcBorders>
            <w:shd w:val="clear" w:color="auto" w:fill="auto"/>
            <w:vAlign w:val="center"/>
          </w:tcPr>
          <w:p w14:paraId="21E6CBB0">
            <w:pPr>
              <w:keepNext w:val="0"/>
              <w:keepLines w:val="0"/>
              <w:pageBreakBefore w:val="0"/>
              <w:suppressLineNumbers w:val="0"/>
              <w:shd w:val="clear"/>
              <w:kinsoku/>
              <w:wordWrap w:val="0"/>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sz w:val="21"/>
                <w:szCs w:val="21"/>
                <w:highlight w:val="none"/>
                <w:lang w:val="en-US" w:eastAsia="zh-CN"/>
              </w:rPr>
              <w:t>重要说明</w:t>
            </w:r>
          </w:p>
        </w:tc>
        <w:tc>
          <w:tcPr>
            <w:tcW w:w="7255" w:type="dxa"/>
            <w:tcBorders>
              <w:top w:val="single" w:color="auto" w:sz="8" w:space="0"/>
              <w:left w:val="single" w:color="auto" w:sz="4" w:space="0"/>
              <w:bottom w:val="single" w:color="auto" w:sz="8" w:space="0"/>
              <w:right w:val="single" w:color="auto" w:sz="8" w:space="0"/>
            </w:tcBorders>
            <w:shd w:val="clear" w:color="auto" w:fill="auto"/>
            <w:vAlign w:val="center"/>
          </w:tcPr>
          <w:p w14:paraId="1508E34A">
            <w:pPr>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请于公告发布之日起从滁州市城投工程咨询管理有限公司网站（https://www.czctgczx.com/），点击项目招标公告下方【我要投标】，登录新点电子交易平台后在【滁州专区】（https://www.etrading.cn/BREpointSSO/login/oauth2login?regioncode=DQ_ChuZhou）下载本项目招标文件。投标人自行承担因未按要求获取招标文件导致无法上传电子投标文件的风险。</w:t>
            </w:r>
          </w:p>
          <w:p w14:paraId="271DA2B4">
            <w:pPr>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投标人须登录新点电子交易平台【滁州专区】查询、获取招标文件。首次登录办理入库手续，办理入库不收取任何费用。新点电子招投标统一认证平台使用相关问题（如系统登录、信息登记、录入及提交、数字证书关联等）请拨打服务电话：4009280095-5（工作日）。 </w:t>
            </w:r>
          </w:p>
          <w:p w14:paraId="797F53F3">
            <w:pPr>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3.投标人登录新点电子交易平台【滁州专区】获取招标文件及其它资料（含澄清和补充说明等）。如在招标文件获取过程中遇到系统问题，请拨打技术支持服务热线4009280095或者网站首页在线客服。</w:t>
            </w:r>
          </w:p>
          <w:p w14:paraId="4B38180F">
            <w:pPr>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4.本项目采用不见面开标，投标人登录滁州市城投工程咨询有限公司不见面开标系统参与网上开标（网址：http://js.etrading.cn/EpointBidOpening/bidopeninghallaction/hall/login）。</w:t>
            </w:r>
          </w:p>
          <w:p w14:paraId="595CB074">
            <w:pPr>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5.投标人应在投标截止时间之前，登录新点电子交易平台【滁州专区】上传投标文件。投标人逾期上传投标文件的，电子系统不予受理。</w:t>
            </w:r>
          </w:p>
          <w:p w14:paraId="2DAF2CA0">
            <w:pPr>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6.投标人的联系人电话(手机)、电子邮箱等通讯方式在开标过程中必须保持畅通，否则因上述原因造成的后果，责任自负。</w:t>
            </w:r>
          </w:p>
          <w:p w14:paraId="3862F6BF">
            <w:pPr>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7.本项目采用电子招投标方式，请投标人在“新点电子交易平台”常用下载专区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45F23D66">
            <w:pPr>
              <w:keepNext w:val="0"/>
              <w:keepLines w:val="0"/>
              <w:pageBreakBefore w:val="0"/>
              <w:widowControl w:val="0"/>
              <w:suppressLineNumbers w:val="0"/>
              <w:shd w:val="clear"/>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8.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tc>
      </w:tr>
    </w:tbl>
    <w:p w14:paraId="4A0D5CE8">
      <w:pPr>
        <w:shd w:val="clea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E0B7975">
      <w:pPr>
        <w:pStyle w:val="6"/>
        <w:shd w:val="clear"/>
        <w:spacing w:before="0" w:after="0"/>
        <w:rPr>
          <w:rFonts w:hint="eastAsia" w:ascii="宋体" w:hAnsi="宋体" w:eastAsia="宋体" w:cs="宋体"/>
          <w:color w:val="auto"/>
          <w:highlight w:val="none"/>
        </w:rPr>
      </w:pPr>
      <w:bookmarkStart w:id="7" w:name="_Toc11622"/>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rPr>
        <w:t>章投标须知</w:t>
      </w:r>
      <w:bookmarkEnd w:id="6"/>
      <w:bookmarkEnd w:id="7"/>
    </w:p>
    <w:p w14:paraId="7D12FD9E">
      <w:pPr>
        <w:shd w:val="clear"/>
        <w:spacing w:line="400" w:lineRule="exact"/>
        <w:jc w:val="center"/>
        <w:outlineLvl w:val="1"/>
        <w:rPr>
          <w:rFonts w:hint="eastAsia" w:ascii="宋体" w:hAnsi="宋体" w:eastAsia="宋体" w:cs="宋体"/>
          <w:b/>
          <w:bCs/>
          <w:color w:val="auto"/>
          <w:sz w:val="28"/>
          <w:highlight w:val="none"/>
        </w:rPr>
      </w:pPr>
      <w:bookmarkStart w:id="8" w:name="_Toc515"/>
      <w:r>
        <w:rPr>
          <w:rFonts w:hint="eastAsia" w:ascii="宋体" w:hAnsi="宋体" w:eastAsia="宋体" w:cs="宋体"/>
          <w:b/>
          <w:bCs/>
          <w:color w:val="auto"/>
          <w:sz w:val="28"/>
          <w:highlight w:val="none"/>
        </w:rPr>
        <w:t>一、总  则</w:t>
      </w:r>
      <w:bookmarkEnd w:id="8"/>
    </w:p>
    <w:p w14:paraId="7336A24F">
      <w:pPr>
        <w:keepNext w:val="0"/>
        <w:keepLines w:val="0"/>
        <w:pageBreakBefore w:val="0"/>
        <w:widowControl w:val="0"/>
        <w:shd w:val="clear"/>
        <w:kinsoku/>
        <w:wordWrap/>
        <w:overflowPunct/>
        <w:topLinePunct w:val="0"/>
        <w:autoSpaceDE/>
        <w:autoSpaceDN/>
        <w:bidi w:val="0"/>
        <w:adjustRightInd/>
        <w:snapToGrid/>
        <w:spacing w:line="480" w:lineRule="exact"/>
        <w:ind w:left="0" w:leftChars="0"/>
        <w:jc w:val="lef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1.工程概况</w:t>
      </w:r>
    </w:p>
    <w:p w14:paraId="6675B3D1">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firstLine="0" w:firstLineChars="0"/>
        <w:jc w:val="left"/>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1.1</w:t>
      </w:r>
      <w:r>
        <w:rPr>
          <w:rFonts w:hint="eastAsia" w:ascii="宋体" w:hAnsi="宋体" w:cs="宋体"/>
          <w:color w:val="auto"/>
          <w:sz w:val="21"/>
          <w:szCs w:val="21"/>
          <w:highlight w:val="none"/>
          <w:lang w:val="en-US" w:eastAsia="zh-CN"/>
        </w:rPr>
        <w:t>项</w:t>
      </w:r>
      <w:r>
        <w:rPr>
          <w:rFonts w:hint="eastAsia" w:ascii="宋体" w:hAnsi="宋体" w:eastAsia="宋体" w:cs="宋体"/>
          <w:color w:val="auto"/>
          <w:sz w:val="21"/>
          <w:szCs w:val="21"/>
          <w:highlight w:val="none"/>
          <w:lang w:val="en-US" w:eastAsia="zh-CN"/>
        </w:rPr>
        <w:t>目</w:t>
      </w:r>
      <w:r>
        <w:rPr>
          <w:rFonts w:hint="eastAsia" w:ascii="宋体" w:hAnsi="宋体" w:eastAsia="宋体" w:cs="宋体"/>
          <w:color w:val="auto"/>
          <w:sz w:val="21"/>
          <w:szCs w:val="21"/>
          <w:highlight w:val="none"/>
        </w:rPr>
        <w:t>名称：</w:t>
      </w:r>
      <w:r>
        <w:rPr>
          <w:rFonts w:hint="eastAsia" w:ascii="宋体" w:hAnsi="宋体" w:cs="宋体"/>
          <w:color w:val="auto"/>
          <w:sz w:val="21"/>
          <w:szCs w:val="21"/>
          <w:highlight w:val="none"/>
          <w:u w:val="single"/>
          <w:lang w:val="en-US" w:eastAsia="zh-CN"/>
        </w:rPr>
        <w:t>琅琊山南门民宿等四个项目结算复核服务项目</w:t>
      </w:r>
    </w:p>
    <w:p w14:paraId="01C3A629">
      <w:pPr>
        <w:keepNext w:val="0"/>
        <w:keepLines w:val="0"/>
        <w:pageBreakBefore w:val="0"/>
        <w:widowControl w:val="0"/>
        <w:shd w:val="clear"/>
        <w:kinsoku/>
        <w:wordWrap/>
        <w:overflowPunct/>
        <w:topLinePunct w:val="0"/>
        <w:autoSpaceDE/>
        <w:autoSpaceDN/>
        <w:bidi w:val="0"/>
        <w:adjustRightInd/>
        <w:snapToGrid/>
        <w:spacing w:line="480" w:lineRule="exact"/>
        <w:ind w:left="1050" w:leftChars="0" w:hanging="1050" w:hangingChars="5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工程地址：</w:t>
      </w:r>
      <w:r>
        <w:rPr>
          <w:rFonts w:hint="eastAsia" w:ascii="宋体" w:hAnsi="宋体" w:eastAsia="宋体" w:cs="宋体"/>
          <w:color w:val="auto"/>
          <w:sz w:val="21"/>
          <w:szCs w:val="21"/>
          <w:highlight w:val="none"/>
          <w:u w:val="single"/>
        </w:rPr>
        <w:t>滁州市</w:t>
      </w:r>
      <w:r>
        <w:rPr>
          <w:rFonts w:hint="eastAsia" w:ascii="宋体" w:hAnsi="宋体" w:eastAsia="宋体" w:cs="宋体"/>
          <w:color w:val="auto"/>
          <w:sz w:val="21"/>
          <w:szCs w:val="21"/>
          <w:highlight w:val="none"/>
          <w:u w:val="single"/>
          <w:lang w:val="en-US" w:eastAsia="zh-CN"/>
        </w:rPr>
        <w:t>内</w:t>
      </w:r>
    </w:p>
    <w:p w14:paraId="4103F397">
      <w:pPr>
        <w:keepNext w:val="0"/>
        <w:keepLines w:val="0"/>
        <w:pageBreakBefore w:val="0"/>
        <w:widowControl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单位：</w:t>
      </w:r>
      <w:r>
        <w:rPr>
          <w:rFonts w:hint="eastAsia" w:ascii="宋体" w:hAnsi="宋体" w:cs="宋体"/>
          <w:color w:val="auto"/>
          <w:sz w:val="21"/>
          <w:szCs w:val="21"/>
          <w:highlight w:val="none"/>
          <w:u w:val="single"/>
          <w:lang w:eastAsia="zh-CN"/>
        </w:rPr>
        <w:t>安徽省琅琊山旅游发展有限公司</w:t>
      </w:r>
      <w:r>
        <w:rPr>
          <w:rFonts w:hint="eastAsia" w:ascii="宋体" w:hAnsi="宋体" w:eastAsia="宋体" w:cs="宋体"/>
          <w:color w:val="auto"/>
          <w:sz w:val="21"/>
          <w:szCs w:val="21"/>
          <w:highlight w:val="none"/>
          <w:u w:val="single"/>
          <w:lang w:eastAsia="zh-CN"/>
        </w:rPr>
        <w:t xml:space="preserve"> </w:t>
      </w:r>
    </w:p>
    <w:p w14:paraId="30C7A72D">
      <w:pPr>
        <w:keepNext w:val="0"/>
        <w:keepLines w:val="0"/>
        <w:pageBreakBefore w:val="0"/>
        <w:widowControl w:val="0"/>
        <w:shd w:val="clear"/>
        <w:kinsoku/>
        <w:wordWrap w:val="0"/>
        <w:overflowPunct/>
        <w:topLinePunct w:val="0"/>
        <w:autoSpaceDE/>
        <w:autoSpaceDN/>
        <w:bidi w:val="0"/>
        <w:adjustRightInd/>
        <w:snapToGrid/>
        <w:spacing w:line="480" w:lineRule="exact"/>
        <w:ind w:left="0" w:firstLine="0" w:firstLineChars="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1.2本工程建设规模：</w:t>
      </w:r>
      <w:r>
        <w:rPr>
          <w:rFonts w:hint="eastAsia" w:ascii="宋体" w:hAnsi="宋体" w:eastAsia="宋体" w:cs="宋体"/>
          <w:color w:val="auto"/>
          <w:sz w:val="21"/>
          <w:szCs w:val="21"/>
          <w:highlight w:val="none"/>
          <w:lang w:val="en-US" w:eastAsia="zh-CN"/>
        </w:rPr>
        <w:t>详见《投标须知前附表》要求</w:t>
      </w:r>
    </w:p>
    <w:p w14:paraId="7AB0A1F8">
      <w:pPr>
        <w:keepNext w:val="0"/>
        <w:keepLines w:val="0"/>
        <w:pageBreakBefore w:val="0"/>
        <w:widowControl w:val="0"/>
        <w:shd w:val="clear"/>
        <w:kinsoku/>
        <w:wordWrap/>
        <w:overflowPunct/>
        <w:topLinePunct w:val="0"/>
        <w:autoSpaceDE/>
        <w:autoSpaceDN/>
        <w:bidi w:val="0"/>
        <w:adjustRightInd/>
        <w:snapToGrid/>
        <w:spacing w:line="480" w:lineRule="exact"/>
        <w:jc w:val="left"/>
        <w:textAlignment w:val="auto"/>
        <w:outlineLvl w:val="2"/>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2. </w:t>
      </w:r>
      <w:r>
        <w:rPr>
          <w:rFonts w:hint="eastAsia" w:ascii="宋体" w:hAnsi="宋体" w:cs="宋体"/>
          <w:color w:val="auto"/>
          <w:sz w:val="21"/>
          <w:szCs w:val="21"/>
          <w:highlight w:val="none"/>
          <w:lang w:val="en-US" w:eastAsia="zh-CN"/>
        </w:rPr>
        <w:t>服务需求</w:t>
      </w:r>
    </w:p>
    <w:p w14:paraId="0A7AC20F">
      <w:pPr>
        <w:keepNext w:val="0"/>
        <w:keepLines w:val="0"/>
        <w:pageBreakBefore w:val="0"/>
        <w:widowControl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lang w:val="en-US" w:eastAsia="zh-CN"/>
        </w:rPr>
        <w:t>详见《投标须知前附表》要求</w:t>
      </w:r>
    </w:p>
    <w:p w14:paraId="5EF3FA35">
      <w:pPr>
        <w:keepNext w:val="0"/>
        <w:keepLines w:val="0"/>
        <w:pageBreakBefore w:val="0"/>
        <w:widowControl w:val="0"/>
        <w:shd w:val="clear"/>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3.承包方式</w:t>
      </w:r>
    </w:p>
    <w:p w14:paraId="6871F8D0">
      <w:pPr>
        <w:keepNext w:val="0"/>
        <w:keepLines w:val="0"/>
        <w:pageBreakBefore w:val="0"/>
        <w:widowControl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3.1承包方式：</w:t>
      </w:r>
      <w:r>
        <w:rPr>
          <w:rFonts w:hint="eastAsia" w:ascii="宋体" w:hAnsi="宋体" w:eastAsia="宋体" w:cs="宋体"/>
          <w:color w:val="auto"/>
          <w:sz w:val="21"/>
          <w:szCs w:val="21"/>
          <w:highlight w:val="none"/>
          <w:lang w:val="en-US" w:eastAsia="zh-CN"/>
        </w:rPr>
        <w:t>固定</w:t>
      </w:r>
      <w:r>
        <w:rPr>
          <w:rFonts w:hint="eastAsia" w:ascii="宋体" w:hAnsi="宋体" w:cs="宋体"/>
          <w:color w:val="auto"/>
          <w:sz w:val="21"/>
          <w:szCs w:val="21"/>
          <w:highlight w:val="none"/>
          <w:lang w:val="en-US" w:eastAsia="zh-CN"/>
        </w:rPr>
        <w:t>费率</w:t>
      </w:r>
      <w:r>
        <w:rPr>
          <w:rFonts w:hint="eastAsia" w:ascii="宋体" w:hAnsi="宋体" w:eastAsia="宋体" w:cs="宋体"/>
          <w:color w:val="auto"/>
          <w:sz w:val="21"/>
          <w:szCs w:val="21"/>
          <w:highlight w:val="none"/>
        </w:rPr>
        <w:t>。</w:t>
      </w:r>
    </w:p>
    <w:p w14:paraId="6BE02B12">
      <w:pPr>
        <w:keepNext w:val="0"/>
        <w:keepLines w:val="0"/>
        <w:pageBreakBefore w:val="0"/>
        <w:widowControl w:val="0"/>
        <w:shd w:val="clear"/>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val="en-US" w:eastAsia="zh-CN"/>
        </w:rPr>
        <w:t>服务期</w:t>
      </w:r>
      <w:r>
        <w:rPr>
          <w:rFonts w:hint="eastAsia" w:ascii="宋体" w:hAnsi="宋体" w:eastAsia="宋体" w:cs="宋体"/>
          <w:color w:val="auto"/>
          <w:sz w:val="21"/>
          <w:szCs w:val="21"/>
          <w:highlight w:val="none"/>
        </w:rPr>
        <w:t>要求</w:t>
      </w:r>
    </w:p>
    <w:p w14:paraId="0AB85889">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4.1</w:t>
      </w:r>
      <w:r>
        <w:rPr>
          <w:rFonts w:hint="eastAsia" w:ascii="宋体" w:hAnsi="宋体" w:cs="宋体"/>
          <w:color w:val="auto"/>
          <w:sz w:val="21"/>
          <w:szCs w:val="21"/>
          <w:highlight w:val="none"/>
          <w:lang w:val="en-US" w:eastAsia="zh-CN"/>
        </w:rPr>
        <w:t>服务期</w:t>
      </w:r>
      <w:r>
        <w:rPr>
          <w:rFonts w:hint="eastAsia" w:ascii="宋体" w:hAnsi="宋体" w:eastAsia="宋体" w:cs="宋体"/>
          <w:color w:val="auto"/>
          <w:sz w:val="21"/>
          <w:szCs w:val="21"/>
          <w:highlight w:val="none"/>
        </w:rPr>
        <w:t>要求</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详见《投标须知前附表》要求</w:t>
      </w:r>
      <w:r>
        <w:rPr>
          <w:rFonts w:hint="eastAsia" w:ascii="宋体" w:hAnsi="宋体" w:eastAsia="宋体" w:cs="宋体"/>
          <w:color w:val="auto"/>
          <w:kern w:val="0"/>
          <w:sz w:val="21"/>
          <w:szCs w:val="21"/>
          <w:highlight w:val="none"/>
        </w:rPr>
        <w:t>。</w:t>
      </w:r>
    </w:p>
    <w:p w14:paraId="7D3D78B5">
      <w:pPr>
        <w:keepNext w:val="0"/>
        <w:keepLines w:val="0"/>
        <w:pageBreakBefore w:val="0"/>
        <w:widowControl w:val="0"/>
        <w:shd w:val="clear"/>
        <w:kinsoku/>
        <w:wordWrap/>
        <w:overflowPunct/>
        <w:topLinePunct w:val="0"/>
        <w:autoSpaceDE/>
        <w:autoSpaceDN/>
        <w:bidi w:val="0"/>
        <w:adjustRightInd/>
        <w:snapToGrid/>
        <w:spacing w:line="480" w:lineRule="exac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5.质量要求</w:t>
      </w:r>
    </w:p>
    <w:p w14:paraId="72377DC4">
      <w:pPr>
        <w:keepNext w:val="0"/>
        <w:keepLines w:val="0"/>
        <w:pageBreakBefore w:val="0"/>
        <w:widowControl w:val="0"/>
        <w:shd w:val="clear"/>
        <w:kinsoku/>
        <w:wordWrap/>
        <w:overflowPunct/>
        <w:topLinePunct w:val="0"/>
        <w:autoSpaceDE/>
        <w:autoSpaceDN/>
        <w:bidi w:val="0"/>
        <w:adjustRightInd/>
        <w:snapToGrid/>
        <w:spacing w:line="480" w:lineRule="exac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r>
        <w:rPr>
          <w:rFonts w:hint="eastAsia" w:ascii="宋体" w:hAnsi="宋体" w:eastAsia="宋体" w:cs="宋体"/>
          <w:color w:val="auto"/>
          <w:sz w:val="21"/>
          <w:szCs w:val="21"/>
          <w:highlight w:val="none"/>
          <w:lang w:val="en-US" w:eastAsia="zh-CN"/>
        </w:rPr>
        <w:t>详见《投标须知前附表》要求</w:t>
      </w:r>
      <w:r>
        <w:rPr>
          <w:rFonts w:hint="eastAsia" w:ascii="宋体" w:hAnsi="宋体" w:eastAsia="宋体" w:cs="宋体"/>
          <w:color w:val="auto"/>
          <w:sz w:val="21"/>
          <w:szCs w:val="21"/>
          <w:highlight w:val="none"/>
        </w:rPr>
        <w:t>。</w:t>
      </w:r>
    </w:p>
    <w:p w14:paraId="57324A78">
      <w:pPr>
        <w:keepNext w:val="0"/>
        <w:keepLines w:val="0"/>
        <w:pageBreakBefore w:val="0"/>
        <w:widowControl w:val="0"/>
        <w:shd w:val="clear"/>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6.投标人资质等级要求</w:t>
      </w:r>
    </w:p>
    <w:p w14:paraId="41B31544">
      <w:pPr>
        <w:keepNext w:val="0"/>
        <w:keepLines w:val="0"/>
        <w:pageBreakBefore w:val="0"/>
        <w:widowControl w:val="0"/>
        <w:shd w:val="clear"/>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详见《投标须知前附表》要求。</w:t>
      </w:r>
    </w:p>
    <w:p w14:paraId="4BA612FD">
      <w:pPr>
        <w:keepNext w:val="0"/>
        <w:keepLines w:val="0"/>
        <w:pageBreakBefore w:val="0"/>
        <w:widowControl w:val="0"/>
        <w:shd w:val="clear"/>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7.资金来源</w:t>
      </w:r>
    </w:p>
    <w:p w14:paraId="1C99CA88">
      <w:pPr>
        <w:keepNext w:val="0"/>
        <w:keepLines w:val="0"/>
        <w:pageBreakBefore w:val="0"/>
        <w:widowControl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7.1资金来源：</w:t>
      </w:r>
      <w:r>
        <w:rPr>
          <w:rFonts w:hint="eastAsia" w:ascii="宋体" w:hAnsi="宋体" w:eastAsia="宋体" w:cs="宋体"/>
          <w:color w:val="auto"/>
          <w:sz w:val="21"/>
          <w:szCs w:val="21"/>
          <w:highlight w:val="none"/>
          <w:u w:val="none"/>
        </w:rPr>
        <w:t xml:space="preserve">各项目复审费用资金来源与项目建设费用一致（南门民宿、二道河漂流为旅游公司支付，生态走廊修复、摩崖石刻及碑刻安防为财政资金） </w:t>
      </w:r>
      <w:r>
        <w:rPr>
          <w:rFonts w:hint="eastAsia" w:ascii="宋体" w:hAnsi="宋体" w:eastAsia="宋体" w:cs="宋体"/>
          <w:color w:val="auto"/>
          <w:sz w:val="21"/>
          <w:szCs w:val="21"/>
          <w:highlight w:val="none"/>
        </w:rPr>
        <w:t>；资金已落实。</w:t>
      </w:r>
    </w:p>
    <w:p w14:paraId="0C6C9C7A">
      <w:pPr>
        <w:keepNext w:val="0"/>
        <w:keepLines w:val="0"/>
        <w:pageBreakBefore w:val="0"/>
        <w:widowControl w:val="0"/>
        <w:shd w:val="clear"/>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8.标段划分</w:t>
      </w:r>
    </w:p>
    <w:p w14:paraId="111836C0">
      <w:pPr>
        <w:keepNext w:val="0"/>
        <w:keepLines w:val="0"/>
        <w:pageBreakBefore w:val="0"/>
        <w:widowControl w:val="0"/>
        <w:shd w:val="clear"/>
        <w:kinsoku/>
        <w:wordWrap/>
        <w:overflowPunct/>
        <w:topLinePunct w:val="0"/>
        <w:autoSpaceDE/>
        <w:autoSpaceDN/>
        <w:bidi w:val="0"/>
        <w:adjustRightInd/>
        <w:snapToGrid/>
        <w:spacing w:line="480" w:lineRule="exact"/>
        <w:ind w:right="-155" w:rightChars="-7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8.1该</w:t>
      </w:r>
      <w:r>
        <w:rPr>
          <w:rFonts w:hint="eastAsia" w:ascii="宋体" w:hAnsi="宋体" w:cs="宋体"/>
          <w:color w:val="auto"/>
          <w:sz w:val="21"/>
          <w:szCs w:val="21"/>
          <w:highlight w:val="none"/>
          <w:lang w:val="en-US" w:eastAsia="zh-CN"/>
        </w:rPr>
        <w:t>项目</w:t>
      </w:r>
      <w:r>
        <w:rPr>
          <w:rFonts w:hint="eastAsia" w:ascii="宋体" w:hAnsi="宋体" w:eastAsia="宋体" w:cs="宋体"/>
          <w:color w:val="auto"/>
          <w:sz w:val="21"/>
          <w:szCs w:val="21"/>
          <w:highlight w:val="none"/>
        </w:rPr>
        <w:t>划分：</w:t>
      </w:r>
      <w:r>
        <w:rPr>
          <w:rFonts w:hint="eastAsia" w:ascii="宋体" w:hAnsi="宋体" w:eastAsia="宋体" w:cs="宋体"/>
          <w:color w:val="auto"/>
          <w:sz w:val="21"/>
          <w:szCs w:val="21"/>
          <w:highlight w:val="none"/>
          <w:u w:val="single"/>
        </w:rPr>
        <w:t xml:space="preserve"> 一 </w:t>
      </w:r>
      <w:r>
        <w:rPr>
          <w:rFonts w:hint="eastAsia" w:ascii="宋体" w:hAnsi="宋体" w:eastAsia="宋体" w:cs="宋体"/>
          <w:color w:val="auto"/>
          <w:sz w:val="21"/>
          <w:szCs w:val="21"/>
          <w:highlight w:val="none"/>
        </w:rPr>
        <w:t xml:space="preserve">个标段  </w:t>
      </w:r>
    </w:p>
    <w:p w14:paraId="52D3BD62">
      <w:pPr>
        <w:keepNext w:val="0"/>
        <w:keepLines w:val="0"/>
        <w:pageBreakBefore w:val="0"/>
        <w:widowControl w:val="0"/>
        <w:shd w:val="clear"/>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9.招标方式</w:t>
      </w:r>
    </w:p>
    <w:p w14:paraId="5158D071">
      <w:pPr>
        <w:keepNext w:val="0"/>
        <w:keepLines w:val="0"/>
        <w:pageBreakBefore w:val="0"/>
        <w:widowControl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9.1本</w:t>
      </w:r>
      <w:r>
        <w:rPr>
          <w:rFonts w:hint="eastAsia" w:ascii="宋体" w:hAnsi="宋体" w:cs="宋体"/>
          <w:color w:val="auto"/>
          <w:sz w:val="21"/>
          <w:szCs w:val="21"/>
          <w:highlight w:val="none"/>
          <w:lang w:val="en-US" w:eastAsia="zh-CN"/>
        </w:rPr>
        <w:t>项目</w:t>
      </w:r>
      <w:r>
        <w:rPr>
          <w:rFonts w:hint="eastAsia" w:ascii="宋体" w:hAnsi="宋体" w:eastAsia="宋体" w:cs="宋体"/>
          <w:color w:val="auto"/>
          <w:sz w:val="21"/>
          <w:szCs w:val="21"/>
          <w:highlight w:val="none"/>
        </w:rPr>
        <w:t>招标方式：</w:t>
      </w:r>
      <w:r>
        <w:rPr>
          <w:rFonts w:hint="eastAsia" w:ascii="宋体" w:hAnsi="宋体" w:eastAsia="宋体" w:cs="宋体"/>
          <w:color w:val="auto"/>
          <w:sz w:val="21"/>
          <w:szCs w:val="21"/>
          <w:highlight w:val="none"/>
          <w:u w:val="single"/>
        </w:rPr>
        <w:t xml:space="preserve"> 自行</w:t>
      </w:r>
      <w:r>
        <w:rPr>
          <w:rFonts w:hint="eastAsia" w:ascii="宋体" w:hAnsi="宋体" w:cs="宋体"/>
          <w:color w:val="auto"/>
          <w:sz w:val="21"/>
          <w:szCs w:val="21"/>
          <w:highlight w:val="none"/>
          <w:u w:val="single"/>
          <w:lang w:val="en-US" w:eastAsia="zh-CN"/>
        </w:rPr>
        <w:t>公开</w:t>
      </w:r>
      <w:r>
        <w:rPr>
          <w:rFonts w:hint="eastAsia" w:ascii="宋体" w:hAnsi="宋体" w:eastAsia="宋体" w:cs="宋体"/>
          <w:color w:val="auto"/>
          <w:sz w:val="21"/>
          <w:szCs w:val="21"/>
          <w:highlight w:val="none"/>
          <w:u w:val="single"/>
        </w:rPr>
        <w:t xml:space="preserve">招标 </w:t>
      </w:r>
      <w:r>
        <w:rPr>
          <w:rFonts w:hint="eastAsia" w:ascii="宋体" w:hAnsi="宋体" w:eastAsia="宋体" w:cs="宋体"/>
          <w:color w:val="auto"/>
          <w:sz w:val="21"/>
          <w:szCs w:val="21"/>
          <w:highlight w:val="none"/>
        </w:rPr>
        <w:t>。</w:t>
      </w:r>
    </w:p>
    <w:p w14:paraId="5E92E281">
      <w:pPr>
        <w:keepNext w:val="0"/>
        <w:keepLines w:val="0"/>
        <w:pageBreakBefore w:val="0"/>
        <w:widowControl w:val="0"/>
        <w:shd w:val="clear"/>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10.计价方式</w:t>
      </w:r>
    </w:p>
    <w:p w14:paraId="0B95D0FF">
      <w:pPr>
        <w:keepNext w:val="0"/>
        <w:keepLines w:val="0"/>
        <w:pageBreakBefore w:val="0"/>
        <w:widowControl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10.1本</w:t>
      </w:r>
      <w:r>
        <w:rPr>
          <w:rFonts w:hint="eastAsia" w:ascii="宋体" w:hAnsi="宋体" w:cs="宋体"/>
          <w:color w:val="auto"/>
          <w:sz w:val="21"/>
          <w:szCs w:val="21"/>
          <w:highlight w:val="none"/>
          <w:lang w:val="en-US" w:eastAsia="zh-CN"/>
        </w:rPr>
        <w:t>项目</w:t>
      </w:r>
      <w:r>
        <w:rPr>
          <w:rFonts w:hint="eastAsia" w:ascii="宋体" w:hAnsi="宋体" w:eastAsia="宋体" w:cs="宋体"/>
          <w:color w:val="auto"/>
          <w:sz w:val="21"/>
          <w:szCs w:val="21"/>
          <w:highlight w:val="none"/>
        </w:rPr>
        <w:t>合同计价方式：</w:t>
      </w:r>
      <w:r>
        <w:rPr>
          <w:rFonts w:hint="eastAsia" w:ascii="宋体" w:hAnsi="宋体" w:eastAsia="宋体" w:cs="宋体"/>
          <w:color w:val="auto"/>
          <w:sz w:val="21"/>
          <w:szCs w:val="21"/>
          <w:highlight w:val="none"/>
          <w:u w:val="single"/>
        </w:rPr>
        <w:t>固定</w:t>
      </w:r>
      <w:r>
        <w:rPr>
          <w:rFonts w:hint="eastAsia" w:ascii="宋体" w:hAnsi="宋体" w:eastAsia="宋体" w:cs="宋体"/>
          <w:color w:val="auto"/>
          <w:sz w:val="21"/>
          <w:szCs w:val="21"/>
          <w:highlight w:val="none"/>
          <w:u w:val="single"/>
          <w:lang w:val="en-US" w:eastAsia="zh-CN"/>
        </w:rPr>
        <w:t>费率</w:t>
      </w:r>
      <w:r>
        <w:rPr>
          <w:rFonts w:hint="eastAsia" w:ascii="宋体" w:hAnsi="宋体" w:eastAsia="宋体" w:cs="宋体"/>
          <w:color w:val="auto"/>
          <w:sz w:val="21"/>
          <w:szCs w:val="21"/>
          <w:highlight w:val="none"/>
        </w:rPr>
        <w:t>。</w:t>
      </w:r>
    </w:p>
    <w:p w14:paraId="5062FF3E">
      <w:pPr>
        <w:keepNext w:val="0"/>
        <w:keepLines w:val="0"/>
        <w:pageBreakBefore w:val="0"/>
        <w:widowControl w:val="0"/>
        <w:shd w:val="clear"/>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11.评标办法</w:t>
      </w:r>
    </w:p>
    <w:p w14:paraId="773B8038">
      <w:pPr>
        <w:keepNext w:val="0"/>
        <w:keepLines w:val="0"/>
        <w:pageBreakBefore w:val="0"/>
        <w:widowControl w:val="0"/>
        <w:shd w:val="clear"/>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11.1本</w:t>
      </w:r>
      <w:r>
        <w:rPr>
          <w:rFonts w:hint="eastAsia" w:ascii="宋体" w:hAnsi="宋体" w:cs="宋体"/>
          <w:color w:val="auto"/>
          <w:sz w:val="21"/>
          <w:szCs w:val="21"/>
          <w:highlight w:val="none"/>
          <w:lang w:val="en-US" w:eastAsia="zh-CN"/>
        </w:rPr>
        <w:t>项目</w:t>
      </w:r>
      <w:r>
        <w:rPr>
          <w:rFonts w:hint="eastAsia" w:ascii="宋体" w:hAnsi="宋体" w:eastAsia="宋体" w:cs="宋体"/>
          <w:color w:val="auto"/>
          <w:sz w:val="21"/>
          <w:szCs w:val="21"/>
          <w:highlight w:val="none"/>
        </w:rPr>
        <w:t>评标办法：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综合评估法</w:t>
      </w:r>
      <w:r>
        <w:rPr>
          <w:rFonts w:hint="eastAsia" w:ascii="宋体" w:hAnsi="宋体" w:eastAsia="宋体" w:cs="宋体"/>
          <w:color w:val="auto"/>
          <w:sz w:val="21"/>
          <w:szCs w:val="21"/>
          <w:highlight w:val="none"/>
        </w:rPr>
        <w:t>（详见第三章评标办法）。</w:t>
      </w:r>
    </w:p>
    <w:p w14:paraId="219AFF0D">
      <w:pPr>
        <w:keepNext w:val="0"/>
        <w:keepLines w:val="0"/>
        <w:pageBreakBefore w:val="0"/>
        <w:widowControl w:val="0"/>
        <w:shd w:val="clear"/>
        <w:kinsoku/>
        <w:wordWrap/>
        <w:overflowPunct/>
        <w:topLinePunct w:val="0"/>
        <w:autoSpaceDE/>
        <w:autoSpaceDN/>
        <w:bidi w:val="0"/>
        <w:spacing w:line="500" w:lineRule="exact"/>
        <w:jc w:val="center"/>
        <w:textAlignment w:val="auto"/>
        <w:outlineLvl w:val="1"/>
        <w:rPr>
          <w:rFonts w:hint="eastAsia" w:ascii="宋体" w:hAnsi="宋体" w:eastAsia="宋体" w:cs="宋体"/>
          <w:color w:val="auto"/>
          <w:sz w:val="28"/>
          <w:highlight w:val="none"/>
        </w:rPr>
      </w:pPr>
      <w:bookmarkStart w:id="9" w:name="_Toc29988"/>
    </w:p>
    <w:p w14:paraId="03A5C6F3">
      <w:pPr>
        <w:keepNext w:val="0"/>
        <w:keepLines w:val="0"/>
        <w:pageBreakBefore w:val="0"/>
        <w:widowControl w:val="0"/>
        <w:shd w:val="clear"/>
        <w:kinsoku/>
        <w:wordWrap/>
        <w:overflowPunct/>
        <w:topLinePunct w:val="0"/>
        <w:autoSpaceDE/>
        <w:autoSpaceDN/>
        <w:bidi w:val="0"/>
        <w:spacing w:line="500" w:lineRule="exact"/>
        <w:jc w:val="center"/>
        <w:textAlignment w:val="auto"/>
        <w:outlineLvl w:val="1"/>
        <w:rPr>
          <w:rFonts w:hint="eastAsia" w:ascii="宋体" w:hAnsi="宋体" w:eastAsia="宋体" w:cs="宋体"/>
          <w:color w:val="auto"/>
          <w:sz w:val="28"/>
          <w:highlight w:val="none"/>
        </w:rPr>
      </w:pPr>
      <w:r>
        <w:rPr>
          <w:rFonts w:hint="eastAsia" w:ascii="宋体" w:hAnsi="宋体" w:eastAsia="宋体" w:cs="宋体"/>
          <w:color w:val="auto"/>
          <w:sz w:val="28"/>
          <w:highlight w:val="none"/>
        </w:rPr>
        <w:t>二、招标文件</w:t>
      </w:r>
      <w:bookmarkEnd w:id="9"/>
    </w:p>
    <w:p w14:paraId="6C2831E0">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招标文件的编制依据</w:t>
      </w:r>
    </w:p>
    <w:p w14:paraId="7A71EAF5">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   根据《中华人民共和国招标投标法》、《工程建设项目施工招标投标办法》（七部委联合部令第30号）、《评标委员会和评标方法暂行规定》（七部委联合部令第12号）、《建设工程工程量清单计价规范》（GB50500-2013）、《安徽省建设工程工程量清单计价规范》（DBJ34/T-206-2005）和《滁州市工程量清单计价方式招标评标实施细则（试行）》等相关法律法规和规章及部、省、市级规范性文件的规定，编制本招标文件。</w:t>
      </w:r>
    </w:p>
    <w:p w14:paraId="376860D3">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13.</w:t>
      </w:r>
      <w:r>
        <w:rPr>
          <w:rFonts w:hint="eastAsia" w:ascii="宋体" w:hAnsi="宋体" w:eastAsia="宋体" w:cs="宋体"/>
          <w:bCs/>
          <w:color w:val="auto"/>
          <w:sz w:val="21"/>
          <w:szCs w:val="21"/>
          <w:highlight w:val="none"/>
        </w:rPr>
        <w:t>招标文件的组成</w:t>
      </w:r>
    </w:p>
    <w:p w14:paraId="0F573F35">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  招标文件包括内容：</w:t>
      </w:r>
    </w:p>
    <w:p w14:paraId="7CE5D79F">
      <w:pPr>
        <w:keepNext w:val="0"/>
        <w:keepLines w:val="0"/>
        <w:pageBreakBefore w:val="0"/>
        <w:widowControl w:val="0"/>
        <w:shd w:val="clear"/>
        <w:kinsoku/>
        <w:wordWrap/>
        <w:overflowPunct/>
        <w:topLinePunct w:val="0"/>
        <w:autoSpaceDE/>
        <w:autoSpaceDN/>
        <w:bidi w:val="0"/>
        <w:spacing w:line="500" w:lineRule="exact"/>
        <w:ind w:firstLine="1050" w:firstLineChars="5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第一章  投标须知前附表</w:t>
      </w:r>
    </w:p>
    <w:p w14:paraId="126B54A3">
      <w:pPr>
        <w:keepNext w:val="0"/>
        <w:keepLines w:val="0"/>
        <w:pageBreakBefore w:val="0"/>
        <w:widowControl w:val="0"/>
        <w:shd w:val="clear"/>
        <w:kinsoku/>
        <w:wordWrap/>
        <w:overflowPunct/>
        <w:topLinePunct w:val="0"/>
        <w:autoSpaceDE/>
        <w:autoSpaceDN/>
        <w:bidi w:val="0"/>
        <w:spacing w:line="500" w:lineRule="exact"/>
        <w:ind w:firstLine="1050" w:firstLineChars="5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rPr>
        <w:t>章  投标须知前附表</w:t>
      </w:r>
    </w:p>
    <w:p w14:paraId="34C6E443">
      <w:pPr>
        <w:keepNext w:val="0"/>
        <w:keepLines w:val="0"/>
        <w:pageBreakBefore w:val="0"/>
        <w:widowControl w:val="0"/>
        <w:shd w:val="clear"/>
        <w:kinsoku/>
        <w:wordWrap/>
        <w:overflowPunct/>
        <w:topLinePunct w:val="0"/>
        <w:autoSpaceDE/>
        <w:autoSpaceDN/>
        <w:bidi w:val="0"/>
        <w:spacing w:line="500" w:lineRule="exact"/>
        <w:ind w:firstLine="1050" w:firstLineChars="5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rPr>
        <w:t>章  投标须知</w:t>
      </w:r>
    </w:p>
    <w:p w14:paraId="3647F538">
      <w:pPr>
        <w:keepNext w:val="0"/>
        <w:keepLines w:val="0"/>
        <w:pageBreakBefore w:val="0"/>
        <w:widowControl w:val="0"/>
        <w:shd w:val="clear"/>
        <w:kinsoku/>
        <w:wordWrap/>
        <w:overflowPunct/>
        <w:topLinePunct w:val="0"/>
        <w:autoSpaceDE/>
        <w:autoSpaceDN/>
        <w:bidi w:val="0"/>
        <w:spacing w:line="500" w:lineRule="exact"/>
        <w:ind w:firstLine="1050" w:firstLineChars="5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第</w:t>
      </w: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rPr>
        <w:t xml:space="preserve">章  </w:t>
      </w:r>
      <w:r>
        <w:rPr>
          <w:rFonts w:hint="eastAsia" w:ascii="宋体" w:hAnsi="宋体" w:cs="宋体"/>
          <w:color w:val="auto"/>
          <w:sz w:val="21"/>
          <w:szCs w:val="21"/>
          <w:highlight w:val="none"/>
          <w:lang w:val="en-US" w:eastAsia="zh-CN"/>
        </w:rPr>
        <w:t>评标办法</w:t>
      </w:r>
    </w:p>
    <w:p w14:paraId="1AFEEDCC">
      <w:pPr>
        <w:keepNext w:val="0"/>
        <w:keepLines w:val="0"/>
        <w:pageBreakBefore w:val="0"/>
        <w:widowControl w:val="0"/>
        <w:shd w:val="clear"/>
        <w:kinsoku/>
        <w:wordWrap/>
        <w:overflowPunct/>
        <w:topLinePunct w:val="0"/>
        <w:autoSpaceDE/>
        <w:autoSpaceDN/>
        <w:bidi w:val="0"/>
        <w:spacing w:line="500" w:lineRule="exact"/>
        <w:ind w:firstLine="1050" w:firstLineChars="5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cs="宋体"/>
          <w:color w:val="auto"/>
          <w:sz w:val="21"/>
          <w:szCs w:val="21"/>
          <w:highlight w:val="none"/>
          <w:lang w:val="en-US" w:eastAsia="zh-CN"/>
        </w:rPr>
        <w:t>五</w:t>
      </w:r>
      <w:r>
        <w:rPr>
          <w:rFonts w:hint="eastAsia" w:ascii="宋体" w:hAnsi="宋体" w:eastAsia="宋体" w:cs="宋体"/>
          <w:color w:val="auto"/>
          <w:sz w:val="21"/>
          <w:szCs w:val="21"/>
          <w:highlight w:val="none"/>
        </w:rPr>
        <w:t>章  合同条款</w:t>
      </w:r>
    </w:p>
    <w:p w14:paraId="615A877D">
      <w:pPr>
        <w:keepNext w:val="0"/>
        <w:keepLines w:val="0"/>
        <w:pageBreakBefore w:val="0"/>
        <w:widowControl w:val="0"/>
        <w:shd w:val="clear"/>
        <w:kinsoku/>
        <w:wordWrap/>
        <w:overflowPunct/>
        <w:topLinePunct w:val="0"/>
        <w:autoSpaceDE/>
        <w:autoSpaceDN/>
        <w:bidi w:val="0"/>
        <w:spacing w:line="500" w:lineRule="exact"/>
        <w:ind w:firstLine="1050" w:firstLineChars="5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cs="宋体"/>
          <w:color w:val="auto"/>
          <w:sz w:val="21"/>
          <w:szCs w:val="21"/>
          <w:highlight w:val="none"/>
          <w:lang w:val="en-US" w:eastAsia="zh-CN"/>
        </w:rPr>
        <w:t>六</w:t>
      </w:r>
      <w:r>
        <w:rPr>
          <w:rFonts w:hint="eastAsia" w:ascii="宋体" w:hAnsi="宋体" w:eastAsia="宋体" w:cs="宋体"/>
          <w:color w:val="auto"/>
          <w:sz w:val="21"/>
          <w:szCs w:val="21"/>
          <w:highlight w:val="none"/>
        </w:rPr>
        <w:t>章  投标文件格式</w:t>
      </w:r>
    </w:p>
    <w:p w14:paraId="493CADE7">
      <w:pPr>
        <w:keepNext w:val="0"/>
        <w:keepLines w:val="0"/>
        <w:pageBreakBefore w:val="0"/>
        <w:widowControl w:val="0"/>
        <w:shd w:val="clear"/>
        <w:kinsoku/>
        <w:wordWrap/>
        <w:overflowPunct/>
        <w:topLinePunct w:val="0"/>
        <w:autoSpaceDE/>
        <w:autoSpaceDN/>
        <w:bidi w:val="0"/>
        <w:adjustRightInd w:val="0"/>
        <w:snapToGrid w:val="0"/>
        <w:spacing w:line="500" w:lineRule="exact"/>
        <w:ind w:firstLine="1050" w:firstLineChars="500"/>
        <w:textAlignment w:val="auto"/>
        <w:rPr>
          <w:rFonts w:hint="eastAsia" w:ascii="宋体" w:hAnsi="宋体" w:eastAsia="宋体" w:cs="宋体"/>
          <w:color w:val="auto"/>
          <w:spacing w:val="-20"/>
          <w:sz w:val="21"/>
          <w:szCs w:val="21"/>
          <w:highlight w:val="none"/>
        </w:rPr>
      </w:pPr>
      <w:r>
        <w:rPr>
          <w:rFonts w:hint="eastAsia" w:ascii="宋体" w:hAnsi="宋体" w:eastAsia="宋体" w:cs="宋体"/>
          <w:color w:val="auto"/>
          <w:sz w:val="21"/>
          <w:szCs w:val="21"/>
          <w:highlight w:val="none"/>
        </w:rPr>
        <w:t>第</w:t>
      </w:r>
      <w:r>
        <w:rPr>
          <w:rFonts w:hint="eastAsia" w:ascii="宋体" w:hAnsi="宋体" w:cs="宋体"/>
          <w:color w:val="auto"/>
          <w:sz w:val="21"/>
          <w:szCs w:val="21"/>
          <w:highlight w:val="none"/>
          <w:lang w:val="en-US" w:eastAsia="zh-CN"/>
        </w:rPr>
        <w:t>七</w:t>
      </w:r>
      <w:r>
        <w:rPr>
          <w:rFonts w:hint="eastAsia" w:ascii="宋体" w:hAnsi="宋体" w:eastAsia="宋体" w:cs="宋体"/>
          <w:color w:val="auto"/>
          <w:sz w:val="21"/>
          <w:szCs w:val="21"/>
          <w:highlight w:val="none"/>
        </w:rPr>
        <w:t>章  招标单位、招标代理机构对本招标文件的确认</w:t>
      </w:r>
    </w:p>
    <w:p w14:paraId="0E71B4E6">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w:t>
      </w:r>
      <w:r>
        <w:rPr>
          <w:rFonts w:hint="eastAsia" w:ascii="宋体" w:hAnsi="宋体" w:eastAsia="宋体" w:cs="宋体"/>
          <w:color w:val="auto"/>
          <w:spacing w:val="-10"/>
          <w:sz w:val="21"/>
          <w:szCs w:val="21"/>
          <w:highlight w:val="none"/>
        </w:rPr>
        <w:t>除13.1内容外，招标答疑亦为招标文件的组成部分，对招标人和投标人起约束作用。</w:t>
      </w:r>
    </w:p>
    <w:p w14:paraId="68A2B9A2">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13.3</w:t>
      </w:r>
      <w:r>
        <w:rPr>
          <w:rFonts w:hint="eastAsia" w:ascii="宋体" w:hAnsi="宋体" w:eastAsia="宋体" w:cs="宋体"/>
          <w:b/>
          <w:bCs w:val="0"/>
          <w:color w:val="000000"/>
          <w:kern w:val="0"/>
          <w:sz w:val="21"/>
          <w:szCs w:val="21"/>
          <w:highlight w:val="none"/>
          <w:u w:color="000000"/>
          <w:lang w:val="en-US" w:eastAsia="zh-CN" w:bidi="ar"/>
        </w:rPr>
        <w:t>招标文件的澄清</w:t>
      </w:r>
    </w:p>
    <w:p w14:paraId="4FFB14FF">
      <w:pPr>
        <w:shd w:val="clear"/>
        <w:spacing w:line="440" w:lineRule="exact"/>
        <w:jc w:val="left"/>
        <w:rPr>
          <w:rFonts w:ascii="宋体" w:hAnsi="宋体" w:cs="宋体"/>
          <w:szCs w:val="21"/>
          <w:highlight w:val="none"/>
        </w:rPr>
      </w:pPr>
      <w:r>
        <w:rPr>
          <w:rFonts w:hint="eastAsia" w:ascii="宋体" w:hAnsi="宋体" w:cs="宋体"/>
          <w:szCs w:val="21"/>
          <w:highlight w:val="none"/>
          <w:lang w:val="en-US" w:eastAsia="zh-CN"/>
        </w:rPr>
        <w:t>13</w:t>
      </w:r>
      <w:r>
        <w:rPr>
          <w:rFonts w:hint="eastAsia" w:ascii="宋体" w:hAnsi="宋体" w:cs="宋体"/>
          <w:szCs w:val="21"/>
          <w:highlight w:val="none"/>
        </w:rPr>
        <w:t>.</w:t>
      </w:r>
      <w:r>
        <w:rPr>
          <w:rFonts w:hint="eastAsia" w:ascii="宋体" w:hAnsi="宋体" w:cs="宋体"/>
          <w:szCs w:val="21"/>
          <w:highlight w:val="none"/>
          <w:lang w:val="en-US" w:eastAsia="zh-CN"/>
        </w:rPr>
        <w:t>3.1</w:t>
      </w:r>
      <w:r>
        <w:rPr>
          <w:rFonts w:hint="eastAsia" w:ascii="宋体" w:hAnsi="宋体" w:cs="宋体"/>
          <w:szCs w:val="21"/>
          <w:highlight w:val="none"/>
        </w:rPr>
        <w:t xml:space="preserve"> 投标人应仔细阅读和检查招标文件的全部内容。如有疑问，应在投标人须知前附表规定的时间前</w:t>
      </w:r>
      <w:r>
        <w:rPr>
          <w:rFonts w:hint="eastAsia" w:ascii="宋体" w:hAnsi="宋体" w:eastAsia="宋体" w:cs="宋体"/>
          <w:color w:val="auto"/>
          <w:szCs w:val="21"/>
          <w:highlight w:val="none"/>
          <w:lang w:val="en-US" w:eastAsia="zh-CN"/>
        </w:rPr>
        <w:t>登录新点电子交易平台【滁州专区】线上提出，</w:t>
      </w:r>
      <w:r>
        <w:rPr>
          <w:rFonts w:hint="eastAsia" w:ascii="宋体" w:hAnsi="宋体" w:cs="宋体"/>
          <w:szCs w:val="21"/>
          <w:highlight w:val="none"/>
        </w:rPr>
        <w:t>要求招标人对招标文件予以澄清。</w:t>
      </w:r>
    </w:p>
    <w:p w14:paraId="77E92730">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cs="宋体"/>
          <w:szCs w:val="21"/>
          <w:highlight w:val="none"/>
        </w:rPr>
      </w:pPr>
      <w:r>
        <w:rPr>
          <w:rFonts w:hint="eastAsia" w:ascii="宋体" w:hAnsi="宋体" w:cs="宋体"/>
          <w:szCs w:val="21"/>
          <w:highlight w:val="none"/>
          <w:lang w:val="en-US" w:eastAsia="zh-CN"/>
        </w:rPr>
        <w:t>13</w:t>
      </w:r>
      <w:r>
        <w:rPr>
          <w:rFonts w:hint="eastAsia" w:ascii="宋体" w:hAnsi="宋体" w:cs="宋体"/>
          <w:szCs w:val="21"/>
          <w:highlight w:val="none"/>
        </w:rPr>
        <w:t>.</w:t>
      </w:r>
      <w:r>
        <w:rPr>
          <w:rFonts w:hint="eastAsia" w:ascii="宋体" w:hAnsi="宋体" w:cs="宋体"/>
          <w:szCs w:val="21"/>
          <w:highlight w:val="none"/>
          <w:lang w:val="en-US" w:eastAsia="zh-CN"/>
        </w:rPr>
        <w:t>3.2</w:t>
      </w:r>
      <w:r>
        <w:rPr>
          <w:rFonts w:hint="eastAsia" w:ascii="宋体" w:hAnsi="宋体" w:cs="宋体"/>
          <w:szCs w:val="21"/>
          <w:highlight w:val="none"/>
        </w:rPr>
        <w:t xml:space="preserve"> 招标文件的澄清将在</w:t>
      </w:r>
      <w:r>
        <w:rPr>
          <w:rFonts w:hint="eastAsia" w:ascii="宋体" w:hAnsi="宋体" w:cs="宋体"/>
          <w:color w:val="auto"/>
          <w:kern w:val="0"/>
          <w:sz w:val="21"/>
          <w:szCs w:val="21"/>
          <w:highlight w:val="none"/>
          <w:u w:val="none"/>
          <w:lang w:val="en-US" w:eastAsia="zh-CN" w:bidi="ar"/>
        </w:rPr>
        <w:t>琅琊山风景名胜区管理委员会网站（https://lgw.chuzhou.gov.cn/）、</w:t>
      </w:r>
      <w:r>
        <w:rPr>
          <w:rFonts w:hint="eastAsia" w:ascii="宋体" w:hAnsi="宋体" w:eastAsia="宋体" w:cs="宋体"/>
          <w:color w:val="auto"/>
          <w:kern w:val="0"/>
          <w:sz w:val="21"/>
          <w:szCs w:val="21"/>
          <w:highlight w:val="none"/>
          <w:u w:val="none"/>
          <w:lang w:val="en-US" w:eastAsia="zh-CN" w:bidi="ar"/>
        </w:rPr>
        <w:t>安徽省琅琊山旅游发展有限公司网站</w:t>
      </w:r>
      <w:r>
        <w:rPr>
          <w:rFonts w:hint="eastAsia" w:ascii="宋体" w:hAnsi="宋体" w:cs="宋体"/>
          <w:color w:val="auto"/>
          <w:kern w:val="0"/>
          <w:sz w:val="21"/>
          <w:szCs w:val="21"/>
          <w:highlight w:val="none"/>
          <w:u w:val="none"/>
          <w:lang w:val="en-US" w:eastAsia="zh-CN" w:bidi="ar"/>
        </w:rPr>
        <w:t>(</w:t>
      </w:r>
      <w:r>
        <w:rPr>
          <w:rFonts w:hint="eastAsia" w:ascii="宋体" w:hAnsi="宋体" w:eastAsia="宋体" w:cs="宋体"/>
          <w:color w:val="auto"/>
          <w:kern w:val="0"/>
          <w:sz w:val="21"/>
          <w:szCs w:val="21"/>
          <w:highlight w:val="none"/>
          <w:u w:val="none"/>
          <w:lang w:val="en-US" w:eastAsia="zh-CN" w:bidi="ar"/>
        </w:rPr>
        <w:t>https://www.lysfjq.cn/</w:t>
      </w:r>
      <w:r>
        <w:rPr>
          <w:rFonts w:hint="eastAsia" w:ascii="宋体" w:hAnsi="宋体" w:cs="宋体"/>
          <w:color w:val="auto"/>
          <w:kern w:val="0"/>
          <w:sz w:val="21"/>
          <w:szCs w:val="21"/>
          <w:highlight w:val="none"/>
          <w:u w:val="none"/>
          <w:lang w:val="en-US" w:eastAsia="zh-CN" w:bidi="ar"/>
        </w:rPr>
        <w:t>)、滁州市城投工程咨询管理有限公司网站（https://www.czctgczx.com/)</w:t>
      </w:r>
      <w:r>
        <w:rPr>
          <w:rFonts w:hint="eastAsia" w:ascii="宋体" w:hAnsi="宋体" w:cs="宋体"/>
          <w:szCs w:val="21"/>
          <w:highlight w:val="none"/>
          <w:u w:val="none"/>
        </w:rPr>
        <w:t>发布，</w:t>
      </w:r>
      <w:r>
        <w:rPr>
          <w:rFonts w:hint="eastAsia" w:ascii="宋体" w:hAnsi="宋体" w:cs="宋体"/>
          <w:szCs w:val="21"/>
          <w:highlight w:val="none"/>
        </w:rPr>
        <w:t>但不指明澄清问题的来源。</w:t>
      </w:r>
    </w:p>
    <w:p w14:paraId="6783DA15">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14.招标文件的修改、补充、解释</w:t>
      </w:r>
    </w:p>
    <w:p w14:paraId="52844B25">
      <w:pPr>
        <w:keepNext w:val="0"/>
        <w:keepLines w:val="0"/>
        <w:pageBreakBefore w:val="0"/>
        <w:widowControl w:val="0"/>
        <w:shd w:val="clear"/>
        <w:kinsoku/>
        <w:wordWrap w:val="0"/>
        <w:overflowPunct/>
        <w:topLinePunct w:val="0"/>
        <w:autoSpaceDE/>
        <w:autoSpaceDN/>
        <w:bidi w:val="0"/>
        <w:adjustRightInd/>
        <w:snapToGrid/>
        <w:spacing w:line="440" w:lineRule="exact"/>
        <w:jc w:val="left"/>
        <w:textAlignment w:val="auto"/>
        <w:rPr>
          <w:rFonts w:ascii="宋体" w:hAnsi="宋体" w:cs="宋体"/>
          <w:szCs w:val="21"/>
          <w:highlight w:val="none"/>
        </w:rPr>
      </w:pPr>
      <w:r>
        <w:rPr>
          <w:rFonts w:hint="eastAsia" w:ascii="宋体" w:hAnsi="宋体" w:eastAsia="宋体" w:cs="宋体"/>
          <w:color w:val="auto"/>
          <w:kern w:val="0"/>
          <w:sz w:val="21"/>
          <w:szCs w:val="21"/>
          <w:highlight w:val="none"/>
        </w:rPr>
        <w:t>14.1</w:t>
      </w:r>
      <w:r>
        <w:rPr>
          <w:rFonts w:hint="eastAsia" w:ascii="宋体" w:hAnsi="宋体" w:cs="宋体"/>
          <w:szCs w:val="21"/>
          <w:highlight w:val="none"/>
        </w:rPr>
        <w:t>招标人可以修改招标文件，并以澄清的方</w:t>
      </w:r>
      <w:r>
        <w:rPr>
          <w:rFonts w:hint="eastAsia" w:ascii="宋体" w:hAnsi="宋体" w:cs="宋体"/>
          <w:szCs w:val="21"/>
          <w:highlight w:val="none"/>
          <w:u w:val="none"/>
        </w:rPr>
        <w:t>式在</w:t>
      </w:r>
      <w:r>
        <w:rPr>
          <w:rFonts w:hint="eastAsia" w:ascii="宋体" w:hAnsi="宋体" w:cs="宋体"/>
          <w:color w:val="auto"/>
          <w:kern w:val="0"/>
          <w:sz w:val="21"/>
          <w:szCs w:val="21"/>
          <w:highlight w:val="none"/>
          <w:u w:val="none"/>
          <w:lang w:val="en-US" w:eastAsia="zh-CN" w:bidi="ar"/>
        </w:rPr>
        <w:t>琅琊山风景名胜区管理委员会网站（https://lgw.chuzhou.gov.cn/）、</w:t>
      </w:r>
      <w:r>
        <w:rPr>
          <w:rFonts w:hint="eastAsia" w:ascii="宋体" w:hAnsi="宋体" w:eastAsia="宋体" w:cs="宋体"/>
          <w:color w:val="auto"/>
          <w:kern w:val="0"/>
          <w:sz w:val="21"/>
          <w:szCs w:val="21"/>
          <w:highlight w:val="none"/>
          <w:u w:val="none"/>
          <w:lang w:val="en-US" w:eastAsia="zh-CN" w:bidi="ar"/>
        </w:rPr>
        <w:t>安徽省琅琊山旅游发展有限公司网站</w:t>
      </w:r>
      <w:r>
        <w:rPr>
          <w:rFonts w:hint="eastAsia" w:ascii="宋体" w:hAnsi="宋体" w:cs="宋体"/>
          <w:color w:val="auto"/>
          <w:kern w:val="0"/>
          <w:sz w:val="21"/>
          <w:szCs w:val="21"/>
          <w:highlight w:val="none"/>
          <w:u w:val="none"/>
          <w:lang w:val="en-US" w:eastAsia="zh-CN" w:bidi="ar"/>
        </w:rPr>
        <w:t>(</w:t>
      </w:r>
      <w:r>
        <w:rPr>
          <w:rFonts w:hint="eastAsia" w:ascii="宋体" w:hAnsi="宋体" w:eastAsia="宋体" w:cs="宋体"/>
          <w:color w:val="auto"/>
          <w:kern w:val="0"/>
          <w:sz w:val="21"/>
          <w:szCs w:val="21"/>
          <w:highlight w:val="none"/>
          <w:u w:val="none"/>
          <w:lang w:val="en-US" w:eastAsia="zh-CN" w:bidi="ar"/>
        </w:rPr>
        <w:t>https://www.lysfjq.cn/</w:t>
      </w:r>
      <w:r>
        <w:rPr>
          <w:rFonts w:hint="eastAsia" w:ascii="宋体" w:hAnsi="宋体" w:cs="宋体"/>
          <w:color w:val="auto"/>
          <w:kern w:val="0"/>
          <w:sz w:val="21"/>
          <w:szCs w:val="21"/>
          <w:highlight w:val="none"/>
          <w:u w:val="none"/>
          <w:lang w:val="en-US" w:eastAsia="zh-CN" w:bidi="ar"/>
        </w:rPr>
        <w:t>)、滁州市城投工程咨询管理有限公司网站（https://www.czctgczx.com/)</w:t>
      </w:r>
      <w:r>
        <w:rPr>
          <w:rFonts w:hint="eastAsia" w:ascii="宋体" w:hAnsi="宋体" w:cs="宋体"/>
          <w:szCs w:val="21"/>
          <w:highlight w:val="none"/>
          <w:u w:val="none"/>
        </w:rPr>
        <w:t>发布。但如果修</w:t>
      </w:r>
      <w:r>
        <w:rPr>
          <w:rFonts w:hint="eastAsia" w:ascii="宋体" w:hAnsi="宋体" w:cs="宋体"/>
          <w:szCs w:val="21"/>
          <w:highlight w:val="none"/>
        </w:rPr>
        <w:t>改内容影响投标文件编制的，将相应延长投标截止时间。</w:t>
      </w:r>
    </w:p>
    <w:p w14:paraId="09DFD600">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  本招标文件由招标人委托的招标代理机构负责解释。</w:t>
      </w:r>
    </w:p>
    <w:p w14:paraId="4DFEA43D">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15.踏勘现场及投标预备会</w:t>
      </w:r>
    </w:p>
    <w:p w14:paraId="2B35087F">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  踏勘现场</w:t>
      </w:r>
    </w:p>
    <w:p w14:paraId="6F131292">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15.1.1</w:t>
      </w:r>
      <w:r>
        <w:rPr>
          <w:rFonts w:hint="eastAsia" w:ascii="宋体" w:hAnsi="宋体" w:eastAsia="宋体" w:cs="宋体"/>
          <w:color w:val="auto"/>
          <w:kern w:val="0"/>
          <w:sz w:val="21"/>
          <w:szCs w:val="21"/>
          <w:highlight w:val="none"/>
        </w:rPr>
        <w:t>投标人自行组织勘察现场。</w:t>
      </w:r>
    </w:p>
    <w:p w14:paraId="17BFD1EA">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  投标预备会</w:t>
      </w:r>
    </w:p>
    <w:p w14:paraId="785464E0">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15.2.1</w:t>
      </w:r>
      <w:r>
        <w:rPr>
          <w:rFonts w:hint="eastAsia" w:ascii="宋体" w:hAnsi="宋体" w:eastAsia="宋体" w:cs="宋体"/>
          <w:bCs/>
          <w:color w:val="auto"/>
          <w:sz w:val="21"/>
          <w:szCs w:val="21"/>
          <w:highlight w:val="none"/>
        </w:rPr>
        <w:t>不召开投标预备会。</w:t>
      </w:r>
    </w:p>
    <w:p w14:paraId="1F248937">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 招标文件的发出</w:t>
      </w:r>
    </w:p>
    <w:p w14:paraId="12C57C89">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16.1招标文件、招标文件的澄清、修改、补充及招标答疑等均应报招标人备案后，方可发出。</w:t>
      </w:r>
    </w:p>
    <w:p w14:paraId="065607DC">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 最高投标限价的作用和说明</w:t>
      </w:r>
    </w:p>
    <w:p w14:paraId="1F52E4EF">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17.1环琅琊山景观道（滁州学院-丰乐亭）生态走廊修复EPC工程基本费8000元、琅琊山南门民宿项目EPC工程基本费1000</w:t>
      </w:r>
      <w:r>
        <w:rPr>
          <w:rFonts w:hint="eastAsia" w:ascii="宋体" w:hAnsi="宋体" w:cs="宋体"/>
          <w:b/>
          <w:bCs/>
          <w:color w:val="auto"/>
          <w:sz w:val="21"/>
          <w:szCs w:val="21"/>
          <w:highlight w:val="none"/>
          <w:lang w:val="en-US" w:eastAsia="zh-CN"/>
        </w:rPr>
        <w:t>0</w:t>
      </w:r>
      <w:r>
        <w:rPr>
          <w:rFonts w:hint="eastAsia" w:ascii="宋体" w:hAnsi="宋体" w:eastAsia="宋体" w:cs="宋体"/>
          <w:b/>
          <w:bCs/>
          <w:color w:val="auto"/>
          <w:sz w:val="21"/>
          <w:szCs w:val="21"/>
          <w:highlight w:val="none"/>
          <w:lang w:val="en-US" w:eastAsia="zh-CN"/>
        </w:rPr>
        <w:t>元、滁州琅琊山二道河漂流设计采购施工（EPC）项目基本费10000元、琅琊山摩崖石刻及碑刻安防设计施工一体化工程项目基本费5000元；审核成果费率4%。投标单位报折扣率，即投标价=（基本费+核减额*4%）*折扣率〕，投标人折扣率报价不得高于100%，否则按无效标处理。（投标报价不可以填报0或负数，否则按无效标处理。</w:t>
      </w:r>
    </w:p>
    <w:p w14:paraId="39F1BF36">
      <w:pPr>
        <w:keepNext w:val="0"/>
        <w:keepLines w:val="0"/>
        <w:pageBreakBefore w:val="0"/>
        <w:widowControl w:val="0"/>
        <w:shd w:val="clear"/>
        <w:kinsoku/>
        <w:wordWrap/>
        <w:overflowPunct/>
        <w:topLinePunct w:val="0"/>
        <w:autoSpaceDE/>
        <w:autoSpaceDN/>
        <w:bidi w:val="0"/>
        <w:spacing w:line="500" w:lineRule="exact"/>
        <w:jc w:val="center"/>
        <w:textAlignment w:val="auto"/>
        <w:outlineLvl w:val="1"/>
        <w:rPr>
          <w:rFonts w:hint="eastAsia" w:ascii="宋体" w:hAnsi="宋体" w:eastAsia="宋体" w:cs="宋体"/>
          <w:color w:val="auto"/>
          <w:sz w:val="28"/>
          <w:szCs w:val="28"/>
          <w:highlight w:val="none"/>
        </w:rPr>
      </w:pPr>
      <w:bookmarkStart w:id="10" w:name="_Toc24852"/>
      <w:r>
        <w:rPr>
          <w:rFonts w:hint="eastAsia" w:ascii="宋体" w:hAnsi="宋体" w:eastAsia="宋体" w:cs="宋体"/>
          <w:color w:val="auto"/>
          <w:sz w:val="28"/>
          <w:szCs w:val="28"/>
          <w:highlight w:val="none"/>
        </w:rPr>
        <w:t>三、投标文件的编制</w:t>
      </w:r>
      <w:bookmarkEnd w:id="10"/>
    </w:p>
    <w:p w14:paraId="01A4E2F2">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 投标文件的组成</w:t>
      </w:r>
      <w:r>
        <w:rPr>
          <w:rFonts w:hint="eastAsia" w:ascii="宋体" w:hAnsi="宋体" w:cs="宋体"/>
          <w:b/>
          <w:bCs/>
          <w:color w:val="auto"/>
          <w:sz w:val="21"/>
          <w:szCs w:val="21"/>
          <w:highlight w:val="none"/>
          <w:lang w:val="en-US" w:eastAsia="zh-CN"/>
        </w:rPr>
        <w:t xml:space="preserve"> </w:t>
      </w:r>
    </w:p>
    <w:p w14:paraId="213DD7D6">
      <w:pPr>
        <w:keepNext w:val="0"/>
        <w:keepLines w:val="0"/>
        <w:widowControl/>
        <w:suppressLineNumbers w:val="0"/>
        <w:shd w:val="clear"/>
        <w:spacing w:before="0" w:beforeAutospacing="0" w:after="0" w:afterAutospacing="0" w:line="400" w:lineRule="exact"/>
        <w:ind w:right="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cs="宋体"/>
          <w:bCs/>
          <w:color w:val="000000"/>
          <w:kern w:val="0"/>
          <w:sz w:val="21"/>
          <w:szCs w:val="21"/>
          <w:highlight w:val="none"/>
          <w:u w:color="000000"/>
          <w:lang w:val="en-US" w:eastAsia="zh-CN" w:bidi="ar"/>
        </w:rPr>
        <w:t>18</w:t>
      </w:r>
      <w:r>
        <w:rPr>
          <w:rFonts w:hint="eastAsia" w:ascii="宋体" w:hAnsi="宋体" w:eastAsia="宋体" w:cs="宋体"/>
          <w:bCs/>
          <w:color w:val="000000"/>
          <w:kern w:val="0"/>
          <w:sz w:val="21"/>
          <w:szCs w:val="21"/>
          <w:highlight w:val="none"/>
          <w:u w:color="000000"/>
          <w:lang w:val="en-US" w:eastAsia="zh-CN" w:bidi="ar"/>
        </w:rPr>
        <w:t>.1投标文件的组成</w:t>
      </w:r>
    </w:p>
    <w:p w14:paraId="458D520D">
      <w:pPr>
        <w:shd w:val="clear"/>
        <w:spacing w:line="440" w:lineRule="exact"/>
        <w:jc w:val="left"/>
        <w:rPr>
          <w:rFonts w:hint="default"/>
          <w:highlight w:val="none"/>
          <w:lang w:val="en-US" w:eastAsia="zh-CN"/>
        </w:rPr>
      </w:pPr>
      <w:r>
        <w:rPr>
          <w:rFonts w:hint="eastAsia" w:ascii="宋体" w:hAnsi="宋体" w:cs="宋体"/>
          <w:szCs w:val="21"/>
          <w:highlight w:val="none"/>
        </w:rPr>
        <w:t>具体要求详见本招标文件第</w:t>
      </w:r>
      <w:r>
        <w:rPr>
          <w:rFonts w:hint="eastAsia" w:ascii="宋体" w:hAnsi="宋体" w:cs="宋体"/>
          <w:szCs w:val="21"/>
          <w:highlight w:val="none"/>
          <w:lang w:val="en-US" w:eastAsia="zh-CN"/>
        </w:rPr>
        <w:t>六</w:t>
      </w:r>
      <w:r>
        <w:rPr>
          <w:rFonts w:hint="eastAsia" w:ascii="宋体" w:hAnsi="宋体" w:cs="宋体"/>
          <w:szCs w:val="21"/>
          <w:highlight w:val="none"/>
        </w:rPr>
        <w:t>章“投标文件格式”。</w:t>
      </w:r>
    </w:p>
    <w:p w14:paraId="737C25F3">
      <w:pPr>
        <w:keepNext w:val="0"/>
        <w:keepLines w:val="0"/>
        <w:widowControl/>
        <w:suppressLineNumbers w:val="0"/>
        <w:shd w:val="clear"/>
        <w:spacing w:before="0" w:beforeAutospacing="0" w:after="0" w:afterAutospacing="0" w:line="400" w:lineRule="exact"/>
        <w:ind w:right="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cs="宋体"/>
          <w:bCs/>
          <w:color w:val="000000"/>
          <w:kern w:val="0"/>
          <w:sz w:val="21"/>
          <w:szCs w:val="21"/>
          <w:highlight w:val="none"/>
          <w:u w:color="000000"/>
          <w:lang w:val="en-US" w:eastAsia="zh-CN" w:bidi="ar"/>
        </w:rPr>
        <w:t>18</w:t>
      </w:r>
      <w:r>
        <w:rPr>
          <w:rFonts w:hint="eastAsia" w:ascii="宋体" w:hAnsi="宋体" w:eastAsia="宋体" w:cs="宋体"/>
          <w:bCs/>
          <w:color w:val="000000"/>
          <w:kern w:val="0"/>
          <w:sz w:val="21"/>
          <w:szCs w:val="21"/>
          <w:highlight w:val="none"/>
          <w:u w:color="000000"/>
          <w:lang w:val="en-US" w:eastAsia="zh-CN" w:bidi="ar"/>
        </w:rPr>
        <w:t>.2投标文件的编制</w:t>
      </w:r>
    </w:p>
    <w:p w14:paraId="12BC9FD7">
      <w:pPr>
        <w:keepNext w:val="0"/>
        <w:keepLines w:val="0"/>
        <w:widowControl/>
        <w:suppressLineNumbers w:val="0"/>
        <w:shd w:val="clear"/>
        <w:spacing w:before="0" w:beforeAutospacing="0" w:after="0" w:afterAutospacing="0" w:line="400" w:lineRule="exact"/>
        <w:ind w:right="0"/>
        <w:jc w:val="both"/>
        <w:rPr>
          <w:rFonts w:hint="eastAsia" w:ascii="宋体" w:hAnsi="宋体" w:eastAsia="宋体" w:cs="宋体"/>
          <w:b/>
          <w:bCs/>
          <w:color w:val="auto"/>
          <w:sz w:val="21"/>
          <w:szCs w:val="21"/>
          <w:highlight w:val="none"/>
        </w:rPr>
      </w:pPr>
      <w:r>
        <w:rPr>
          <w:rFonts w:hint="eastAsia" w:ascii="宋体" w:hAnsi="宋体" w:eastAsia="宋体" w:cs="宋体"/>
          <w:bCs/>
          <w:color w:val="000000"/>
          <w:kern w:val="0"/>
          <w:sz w:val="21"/>
          <w:szCs w:val="21"/>
          <w:highlight w:val="none"/>
          <w:u w:color="000000"/>
          <w:lang w:val="en-US" w:eastAsia="zh-CN" w:bidi="ar"/>
        </w:rPr>
        <w:t>投标文件应按第</w:t>
      </w:r>
      <w:r>
        <w:rPr>
          <w:rFonts w:hint="eastAsia" w:ascii="宋体" w:hAnsi="宋体" w:cs="宋体"/>
          <w:bCs/>
          <w:color w:val="000000"/>
          <w:kern w:val="0"/>
          <w:sz w:val="21"/>
          <w:szCs w:val="21"/>
          <w:highlight w:val="none"/>
          <w:u w:color="000000"/>
          <w:lang w:val="en-US" w:eastAsia="zh-CN" w:bidi="ar"/>
        </w:rPr>
        <w:t>六</w:t>
      </w:r>
      <w:r>
        <w:rPr>
          <w:rFonts w:hint="eastAsia" w:ascii="宋体" w:hAnsi="宋体" w:eastAsia="宋体" w:cs="宋体"/>
          <w:bCs/>
          <w:color w:val="000000"/>
          <w:kern w:val="0"/>
          <w:sz w:val="21"/>
          <w:szCs w:val="21"/>
          <w:highlight w:val="none"/>
          <w:u w:color="000000"/>
          <w:lang w:val="en-US" w:eastAsia="zh-CN" w:bidi="ar"/>
        </w:rPr>
        <w:t>章“投标文件格式”进行编写，如有必要，可以增加附页，作为投标文件的组成部分。</w:t>
      </w:r>
    </w:p>
    <w:p w14:paraId="053EA6A5">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．投标报价</w:t>
      </w:r>
    </w:p>
    <w:p w14:paraId="6C6E0245">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.1 投标人的投标报价包括按合同规定的范围所提供的全部服务所需的费用，即招标范围内人员工资、办公费用、</w:t>
      </w:r>
      <w:r>
        <w:rPr>
          <w:rFonts w:hint="eastAsia" w:ascii="宋体" w:hAnsi="宋体" w:eastAsia="宋体" w:cs="宋体"/>
          <w:color w:val="auto"/>
          <w:sz w:val="21"/>
          <w:szCs w:val="21"/>
          <w:highlight w:val="none"/>
          <w:lang w:val="en-US" w:eastAsia="zh-CN"/>
        </w:rPr>
        <w:t>专家评审费、</w:t>
      </w:r>
      <w:r>
        <w:rPr>
          <w:rFonts w:hint="eastAsia" w:ascii="宋体" w:hAnsi="宋体" w:eastAsia="宋体" w:cs="宋体"/>
          <w:color w:val="auto"/>
          <w:sz w:val="21"/>
          <w:szCs w:val="21"/>
          <w:highlight w:val="none"/>
        </w:rPr>
        <w:t>成本、利润及税金等</w:t>
      </w:r>
      <w:r>
        <w:rPr>
          <w:rFonts w:hint="eastAsia" w:ascii="宋体" w:hAnsi="宋体" w:eastAsia="宋体" w:cs="宋体"/>
          <w:color w:val="auto"/>
          <w:sz w:val="21"/>
          <w:szCs w:val="21"/>
          <w:highlight w:val="none"/>
          <w:lang w:val="en-US" w:eastAsia="zh-CN"/>
        </w:rPr>
        <w:t>完成本项目所有工作所产生的</w:t>
      </w:r>
      <w:r>
        <w:rPr>
          <w:rFonts w:hint="eastAsia" w:ascii="宋体" w:hAnsi="宋体" w:eastAsia="宋体" w:cs="宋体"/>
          <w:color w:val="auto"/>
          <w:sz w:val="21"/>
          <w:szCs w:val="21"/>
          <w:highlight w:val="none"/>
        </w:rPr>
        <w:t>全部费用。</w:t>
      </w:r>
    </w:p>
    <w:p w14:paraId="50117D15">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.2 投标报价不按规定报价的，其投标文件按无效标处理。</w:t>
      </w:r>
    </w:p>
    <w:p w14:paraId="69906FEA">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.投标有效期</w:t>
      </w:r>
    </w:p>
    <w:p w14:paraId="3C8735AD">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.1投标有效期为</w:t>
      </w:r>
      <w:r>
        <w:rPr>
          <w:rFonts w:hint="eastAsia" w:ascii="宋体" w:hAnsi="宋体" w:eastAsia="宋体" w:cs="宋体"/>
          <w:color w:val="auto"/>
          <w:sz w:val="21"/>
          <w:szCs w:val="21"/>
          <w:highlight w:val="none"/>
          <w:u w:val="single"/>
        </w:rPr>
        <w:t>60</w:t>
      </w:r>
      <w:r>
        <w:rPr>
          <w:rFonts w:hint="eastAsia" w:ascii="宋体" w:hAnsi="宋体" w:eastAsia="宋体" w:cs="宋体"/>
          <w:color w:val="auto"/>
          <w:sz w:val="21"/>
          <w:szCs w:val="21"/>
          <w:highlight w:val="none"/>
        </w:rPr>
        <w:t>日历天（从投标截止之日算起）。在此期限内，凡符合本招标文件要求的投标文件均保持有效。</w:t>
      </w:r>
    </w:p>
    <w:p w14:paraId="445621FE">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.2 在特殊情况下，招标人在原定投标有效期内，可以根据需要以书面形式向投标人提出延长投标有效期的要求，对此要求投标人须以书面形式予以答复。投标人可以拒绝招标人这种要求，而不被没收投标保证金。同意延长投标有效期的投标人既不能要求也不允许修改其投标文件，但需要相应的延长投标担保的有效期，在延长的投标有效期内，本须知关于投标担保的退还与没收的规定仍然适用</w:t>
      </w:r>
      <w:r>
        <w:rPr>
          <w:rFonts w:hint="eastAsia" w:ascii="宋体" w:hAnsi="宋体" w:eastAsia="宋体" w:cs="宋体"/>
          <w:color w:val="auto"/>
          <w:sz w:val="24"/>
          <w:highlight w:val="none"/>
        </w:rPr>
        <w:t>。</w:t>
      </w:r>
    </w:p>
    <w:p w14:paraId="7E6DC598">
      <w:pPr>
        <w:keepNext w:val="0"/>
        <w:keepLines w:val="0"/>
        <w:pageBreakBefore w:val="0"/>
        <w:widowControl w:val="0"/>
        <w:shd w:val="clear"/>
        <w:kinsoku/>
        <w:wordWrap/>
        <w:overflowPunct/>
        <w:topLinePunct w:val="0"/>
        <w:autoSpaceDE/>
        <w:autoSpaceDN/>
        <w:bidi w:val="0"/>
        <w:spacing w:line="500" w:lineRule="exact"/>
        <w:jc w:val="center"/>
        <w:textAlignment w:val="auto"/>
        <w:outlineLvl w:val="1"/>
        <w:rPr>
          <w:rFonts w:hint="eastAsia" w:ascii="宋体" w:hAnsi="宋体" w:eastAsia="宋体" w:cs="宋体"/>
          <w:color w:val="auto"/>
          <w:sz w:val="24"/>
          <w:highlight w:val="none"/>
          <w:lang w:val="en-US" w:eastAsia="zh-CN"/>
        </w:rPr>
      </w:pPr>
      <w:bookmarkStart w:id="11" w:name="_Toc27519"/>
      <w:r>
        <w:rPr>
          <w:rFonts w:hint="eastAsia" w:ascii="宋体" w:hAnsi="宋体" w:eastAsia="宋体" w:cs="宋体"/>
          <w:color w:val="auto"/>
          <w:sz w:val="24"/>
          <w:highlight w:val="none"/>
          <w:lang w:val="en-US" w:eastAsia="zh-CN"/>
        </w:rPr>
        <w:t xml:space="preserve"> </w:t>
      </w:r>
    </w:p>
    <w:p w14:paraId="77672295">
      <w:pPr>
        <w:keepNext w:val="0"/>
        <w:keepLines w:val="0"/>
        <w:pageBreakBefore w:val="0"/>
        <w:widowControl w:val="0"/>
        <w:shd w:val="clear"/>
        <w:kinsoku/>
        <w:wordWrap/>
        <w:overflowPunct/>
        <w:topLinePunct w:val="0"/>
        <w:autoSpaceDE/>
        <w:autoSpaceDN/>
        <w:bidi w:val="0"/>
        <w:spacing w:line="500" w:lineRule="exact"/>
        <w:jc w:val="center"/>
        <w:textAlignment w:val="auto"/>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四、投标文件的密封和递交</w:t>
      </w:r>
      <w:bookmarkEnd w:id="11"/>
    </w:p>
    <w:p w14:paraId="447C2BE6">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   投标文件的份数和签署</w:t>
      </w:r>
    </w:p>
    <w:p w14:paraId="415914EF">
      <w:pPr>
        <w:keepNext w:val="0"/>
        <w:keepLines w:val="0"/>
        <w:widowControl/>
        <w:suppressLineNumbers w:val="0"/>
        <w:shd w:val="clear"/>
        <w:spacing w:before="0" w:beforeAutospacing="0" w:after="0" w:afterAutospacing="0" w:line="400" w:lineRule="exact"/>
        <w:ind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 xml:space="preserve">.1  </w:t>
      </w:r>
      <w:r>
        <w:rPr>
          <w:rFonts w:hint="eastAsia" w:ascii="宋体" w:hAnsi="宋体" w:eastAsia="宋体" w:cs="宋体"/>
          <w:color w:val="000000"/>
          <w:kern w:val="0"/>
          <w:sz w:val="21"/>
          <w:szCs w:val="21"/>
          <w:highlight w:val="none"/>
          <w:u w:color="000000"/>
          <w:lang w:val="en-US" w:eastAsia="zh-CN" w:bidi="ar"/>
        </w:rPr>
        <w:t>投标文件份数：一份电子加密文件。投标人中标后须递交与网上电子投标文件完全一致的纸质版投标文件，并按要求加盖公章；份数：正本1份，副本2份；中标单位领取中标通知书时，一并递交给招标代理机构。</w:t>
      </w:r>
    </w:p>
    <w:p w14:paraId="7CFAB3F4">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  按格式文件要求签字或盖章，否则经评委会一致认定且经过招标人同意后, 按照无效投标处理。</w:t>
      </w:r>
    </w:p>
    <w:p w14:paraId="6934E72E">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.投标文件的提交</w:t>
      </w:r>
    </w:p>
    <w:p w14:paraId="4CF8FFA5">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1本项目仅接受投标人在投标截止时间前登录新点电子交易平台【滁州专区】（https://www.etrading.cn/BREpointSSO/login/oauth2login?regioncode=DQ_ChuZhou）交易系统递交的加密电子投标文件。投标人逾期上传投标文件的，电子系统不予受理。</w:t>
      </w:r>
    </w:p>
    <w:p w14:paraId="3577272F">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.投标文件的修改与撤回</w:t>
      </w:r>
    </w:p>
    <w:p w14:paraId="730128C6">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.1在规定的投标截止时间前，投标人可以自行从网上招投标系统撤回已递交的投标文件，并可修改后重新上传，开标时以投标截止时间前投标人最终上传的投标文件为准。</w:t>
      </w:r>
    </w:p>
    <w:p w14:paraId="18D1C10F">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eastAsia="宋体" w:cs="宋体"/>
          <w:color w:val="auto"/>
          <w:sz w:val="28"/>
          <w:szCs w:val="28"/>
          <w:highlight w:val="none"/>
        </w:rPr>
      </w:pPr>
    </w:p>
    <w:p w14:paraId="63FC175B">
      <w:pPr>
        <w:keepNext w:val="0"/>
        <w:keepLines w:val="0"/>
        <w:pageBreakBefore w:val="0"/>
        <w:widowControl w:val="0"/>
        <w:shd w:val="clear"/>
        <w:kinsoku/>
        <w:wordWrap/>
        <w:overflowPunct/>
        <w:topLinePunct w:val="0"/>
        <w:autoSpaceDE/>
        <w:autoSpaceDN/>
        <w:bidi w:val="0"/>
        <w:spacing w:line="500" w:lineRule="exact"/>
        <w:jc w:val="center"/>
        <w:textAlignment w:val="auto"/>
        <w:outlineLvl w:val="1"/>
        <w:rPr>
          <w:rFonts w:hint="eastAsia" w:ascii="宋体" w:hAnsi="宋体" w:eastAsia="宋体" w:cs="宋体"/>
          <w:color w:val="auto"/>
          <w:sz w:val="28"/>
          <w:szCs w:val="28"/>
          <w:highlight w:val="none"/>
        </w:rPr>
      </w:pPr>
      <w:bookmarkStart w:id="12" w:name="_Toc18173"/>
      <w:r>
        <w:rPr>
          <w:rFonts w:hint="eastAsia" w:ascii="宋体" w:hAnsi="宋体" w:eastAsia="宋体" w:cs="宋体"/>
          <w:color w:val="auto"/>
          <w:sz w:val="28"/>
          <w:szCs w:val="28"/>
          <w:highlight w:val="none"/>
        </w:rPr>
        <w:t>五、开标、评标和定标</w:t>
      </w:r>
      <w:bookmarkEnd w:id="12"/>
    </w:p>
    <w:p w14:paraId="42233CF4">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   开标</w:t>
      </w:r>
    </w:p>
    <w:p w14:paraId="0B91566D">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.1  开标的时间和地点</w:t>
      </w:r>
    </w:p>
    <w:p w14:paraId="3273D498">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.1.1招标人在投标人须知前附表规定的投标截止时间（开标时间）和地点公开开标。</w:t>
      </w:r>
    </w:p>
    <w:p w14:paraId="5D07011C">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开标程序</w:t>
      </w:r>
    </w:p>
    <w:p w14:paraId="7EBD5908">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开标会议由 滁州市城投工程咨询管理有限公司 主持。</w:t>
      </w:r>
    </w:p>
    <w:p w14:paraId="6AD00D6A">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（1）宣布开标纪律；</w:t>
      </w:r>
    </w:p>
    <w:p w14:paraId="77633CDD">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（2）宣布采购人、代理机构主持人等有关人员姓名；</w:t>
      </w:r>
    </w:p>
    <w:p w14:paraId="61CA4ADB">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（3）公布投标人投标报价、服务期及其他内容，并记录在案；</w:t>
      </w:r>
    </w:p>
    <w:p w14:paraId="63B5DD1B">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（4）开标结束。</w:t>
      </w:r>
    </w:p>
    <w:p w14:paraId="0205AD3E">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.开标异议</w:t>
      </w:r>
    </w:p>
    <w:p w14:paraId="360D32F1">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投标人对开标有异议的，应当在开标过程中提出，招标人在开标过程中作出答复，并制作记录。</w:t>
      </w:r>
    </w:p>
    <w:p w14:paraId="796766FD">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27</w:t>
      </w:r>
      <w:r>
        <w:rPr>
          <w:rFonts w:hint="eastAsia" w:ascii="宋体" w:hAnsi="宋体" w:eastAsia="宋体" w:cs="宋体"/>
          <w:color w:val="auto"/>
          <w:sz w:val="21"/>
          <w:szCs w:val="21"/>
          <w:highlight w:val="none"/>
        </w:rPr>
        <w:t>.评标</w:t>
      </w:r>
    </w:p>
    <w:p w14:paraId="23847C62">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27</w:t>
      </w:r>
      <w:r>
        <w:rPr>
          <w:rFonts w:hint="eastAsia" w:ascii="宋体" w:hAnsi="宋体" w:eastAsia="宋体" w:cs="宋体"/>
          <w:color w:val="auto"/>
          <w:sz w:val="21"/>
          <w:szCs w:val="21"/>
          <w:highlight w:val="none"/>
        </w:rPr>
        <w:t>.1评标委员会按照第四章“评标办法”规定的方法、评审因素、标准和程序对投标文件进行评审。第四章“评标办法”没有规定的方法、评审因素和标准，不作为评标依据。</w:t>
      </w:r>
    </w:p>
    <w:p w14:paraId="1CFE8BC7">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27</w:t>
      </w:r>
      <w:r>
        <w:rPr>
          <w:rFonts w:hint="eastAsia" w:ascii="宋体" w:hAnsi="宋体" w:eastAsia="宋体" w:cs="宋体"/>
          <w:color w:val="auto"/>
          <w:sz w:val="21"/>
          <w:szCs w:val="21"/>
          <w:highlight w:val="none"/>
        </w:rPr>
        <w:t>.2评标完成后，评标委员会应向招标人提交书面评标报告和中标候选人名单。评标委员会推荐中标候选人的人数见投标人须知前附表。</w:t>
      </w:r>
    </w:p>
    <w:p w14:paraId="251E1073">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27</w:t>
      </w:r>
      <w:r>
        <w:rPr>
          <w:rFonts w:hint="eastAsia" w:ascii="宋体" w:hAnsi="宋体" w:eastAsia="宋体" w:cs="宋体"/>
          <w:color w:val="auto"/>
          <w:sz w:val="21"/>
          <w:szCs w:val="21"/>
          <w:highlight w:val="none"/>
        </w:rPr>
        <w:t>.3评标原则：</w:t>
      </w:r>
    </w:p>
    <w:p w14:paraId="163A3F75">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27</w:t>
      </w:r>
      <w:r>
        <w:rPr>
          <w:rFonts w:hint="eastAsia" w:ascii="宋体" w:hAnsi="宋体" w:eastAsia="宋体" w:cs="宋体"/>
          <w:color w:val="auto"/>
          <w:sz w:val="21"/>
          <w:szCs w:val="21"/>
          <w:highlight w:val="none"/>
        </w:rPr>
        <w:t>.3.1遵循公平、公正、科学和择优的原则。</w:t>
      </w:r>
    </w:p>
    <w:p w14:paraId="042AA35A">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27</w:t>
      </w:r>
      <w:r>
        <w:rPr>
          <w:rFonts w:hint="eastAsia" w:ascii="宋体" w:hAnsi="宋体" w:eastAsia="宋体" w:cs="宋体"/>
          <w:color w:val="auto"/>
          <w:sz w:val="21"/>
          <w:szCs w:val="21"/>
          <w:highlight w:val="none"/>
        </w:rPr>
        <w:t>.4报价合理性的判断</w:t>
      </w:r>
    </w:p>
    <w:p w14:paraId="097843BE">
      <w:pPr>
        <w:keepNext w:val="0"/>
        <w:keepLines w:val="0"/>
        <w:pageBreakBefore w:val="0"/>
        <w:widowControl w:val="0"/>
        <w:shd w:val="clear"/>
        <w:kinsoku/>
        <w:wordWrap/>
        <w:overflowPunct/>
        <w:topLinePunct w:val="0"/>
        <w:autoSpaceDE/>
        <w:autoSpaceDN/>
        <w:bidi w:val="0"/>
        <w:spacing w:line="500" w:lineRule="exact"/>
        <w:ind w:firstLine="525" w:firstLineChars="2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2015CAD">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27</w:t>
      </w:r>
      <w:r>
        <w:rPr>
          <w:rFonts w:hint="eastAsia" w:ascii="宋体" w:hAnsi="宋体" w:eastAsia="宋体" w:cs="宋体"/>
          <w:color w:val="auto"/>
          <w:sz w:val="21"/>
          <w:szCs w:val="21"/>
          <w:highlight w:val="none"/>
        </w:rPr>
        <w:t>.5评审意见分歧的处理办法</w:t>
      </w:r>
    </w:p>
    <w:p w14:paraId="21B12461">
      <w:pPr>
        <w:keepNext w:val="0"/>
        <w:keepLines w:val="0"/>
        <w:pageBreakBefore w:val="0"/>
        <w:widowControl w:val="0"/>
        <w:shd w:val="clear"/>
        <w:kinsoku/>
        <w:wordWrap/>
        <w:overflowPunct/>
        <w:topLinePunct w:val="0"/>
        <w:autoSpaceDE/>
        <w:autoSpaceDN/>
        <w:bidi w:val="0"/>
        <w:spacing w:line="500" w:lineRule="exact"/>
        <w:ind w:firstLine="525" w:firstLineChars="2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（1）评标委员会应当对投标人提供的报告、证明材料及详细说明认真研究。对存在意见分歧的，可采用投票方式表决决定（按多数评委意见为准）；</w:t>
      </w:r>
    </w:p>
    <w:p w14:paraId="476A76BA">
      <w:pPr>
        <w:keepNext w:val="0"/>
        <w:keepLines w:val="0"/>
        <w:pageBreakBefore w:val="0"/>
        <w:widowControl w:val="0"/>
        <w:shd w:val="clear"/>
        <w:kinsoku/>
        <w:wordWrap/>
        <w:overflowPunct/>
        <w:topLinePunct w:val="0"/>
        <w:autoSpaceDE/>
        <w:autoSpaceDN/>
        <w:bidi w:val="0"/>
        <w:spacing w:line="500" w:lineRule="exact"/>
        <w:ind w:firstLine="525" w:firstLineChars="2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（2）招标投标当事人对评标结果提出异议或者投诉，公共资源交易监督机构认为需要重新进行评标的，评标委员会成员应当按照公共资源交易监督机构要求重新评标。</w:t>
      </w:r>
    </w:p>
    <w:p w14:paraId="7BE79D24">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27</w:t>
      </w:r>
      <w:r>
        <w:rPr>
          <w:rFonts w:hint="eastAsia" w:ascii="宋体" w:hAnsi="宋体" w:eastAsia="宋体" w:cs="宋体"/>
          <w:color w:val="auto"/>
          <w:sz w:val="21"/>
          <w:szCs w:val="21"/>
          <w:highlight w:val="none"/>
        </w:rPr>
        <w:t>.6评标报告的签署</w:t>
      </w:r>
    </w:p>
    <w:p w14:paraId="74DDA440">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27</w:t>
      </w:r>
      <w:r>
        <w:rPr>
          <w:rFonts w:hint="eastAsia" w:ascii="宋体" w:hAnsi="宋体" w:eastAsia="宋体" w:cs="宋体"/>
          <w:color w:val="auto"/>
          <w:sz w:val="21"/>
          <w:szCs w:val="21"/>
          <w:highlight w:val="none"/>
        </w:rPr>
        <w:t>.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6D62AAA4">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27</w:t>
      </w:r>
      <w:r>
        <w:rPr>
          <w:rFonts w:hint="eastAsia" w:ascii="宋体" w:hAnsi="宋体" w:eastAsia="宋体" w:cs="宋体"/>
          <w:color w:val="auto"/>
          <w:sz w:val="21"/>
          <w:szCs w:val="21"/>
          <w:highlight w:val="none"/>
        </w:rPr>
        <w:t>.7评标过程的保密</w:t>
      </w:r>
    </w:p>
    <w:p w14:paraId="3AF3287D">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27</w:t>
      </w:r>
      <w:r>
        <w:rPr>
          <w:rFonts w:hint="eastAsia" w:ascii="宋体" w:hAnsi="宋体" w:eastAsia="宋体" w:cs="宋体"/>
          <w:color w:val="auto"/>
          <w:sz w:val="21"/>
          <w:szCs w:val="21"/>
          <w:highlight w:val="none"/>
        </w:rPr>
        <w:t>.7.1评标委员会成员和与评标活动有关的工作人员不得透露对投标文件的评审和比较、中标人的推荐情况以及与评标有关的其他情况。</w:t>
      </w:r>
    </w:p>
    <w:p w14:paraId="66B9C46B">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28</w:t>
      </w:r>
      <w:r>
        <w:rPr>
          <w:rFonts w:hint="eastAsia" w:ascii="宋体" w:hAnsi="宋体" w:eastAsia="宋体" w:cs="宋体"/>
          <w:b/>
          <w:bCs/>
          <w:color w:val="auto"/>
          <w:sz w:val="21"/>
          <w:szCs w:val="21"/>
          <w:highlight w:val="none"/>
        </w:rPr>
        <w:t>.变更采购方式</w:t>
      </w:r>
    </w:p>
    <w:p w14:paraId="785844F2">
      <w:pPr>
        <w:shd w:val="clear"/>
        <w:spacing w:line="440" w:lineRule="exact"/>
        <w:ind w:firstLine="625" w:firstLineChars="298"/>
        <w:jc w:val="left"/>
        <w:rPr>
          <w:rFonts w:hint="eastAsia" w:ascii="宋体" w:hAnsi="Times New Roman" w:eastAsia="宋体" w:cs="Times New Roman"/>
          <w:b w:val="0"/>
          <w:bCs/>
          <w:color w:val="auto"/>
          <w:szCs w:val="21"/>
          <w:highlight w:val="none"/>
          <w:lang w:val="en-US" w:eastAsia="zh-CN"/>
        </w:rPr>
      </w:pPr>
      <w:r>
        <w:rPr>
          <w:rFonts w:hint="eastAsia" w:ascii="宋体" w:hAnsi="Times New Roman" w:eastAsia="宋体" w:cs="Times New Roman"/>
          <w:b w:val="0"/>
          <w:bCs/>
          <w:color w:val="auto"/>
          <w:szCs w:val="21"/>
          <w:highlight w:val="none"/>
          <w:lang w:val="en-US" w:eastAsia="zh-CN"/>
        </w:rPr>
        <w:t>重新招标后，投标截止时间结束后提交投标文件的投标人少于3家或者符合专业条件的投标人或对招标文件作出实质性响应的投标人不足3家的，招标人可采取竞争性谈判、单一来源采购方式进行项目发包。</w:t>
      </w:r>
    </w:p>
    <w:p w14:paraId="7295FCC4">
      <w:pPr>
        <w:shd w:val="clear"/>
        <w:spacing w:line="440" w:lineRule="exact"/>
        <w:ind w:firstLine="625" w:firstLineChars="298"/>
        <w:jc w:val="left"/>
        <w:rPr>
          <w:rFonts w:hint="eastAsia" w:ascii="宋体" w:hAnsi="Times New Roman" w:eastAsia="宋体" w:cs="Times New Roman"/>
          <w:b w:val="0"/>
          <w:bCs/>
          <w:color w:val="auto"/>
          <w:szCs w:val="21"/>
          <w:highlight w:val="none"/>
          <w:lang w:val="en-US" w:eastAsia="zh-CN"/>
        </w:rPr>
      </w:pPr>
      <w:r>
        <w:rPr>
          <w:rFonts w:hint="eastAsia" w:ascii="宋体" w:hAnsi="Times New Roman" w:eastAsia="宋体" w:cs="Times New Roman"/>
          <w:b w:val="0"/>
          <w:bCs/>
          <w:color w:val="auto"/>
          <w:szCs w:val="21"/>
          <w:highlight w:val="none"/>
          <w:lang w:val="en-US" w:eastAsia="zh-CN"/>
        </w:rPr>
        <w:t xml:space="preserve">参加竞争性谈判、单一来源采购的投标人必须符合下列条件：①、投标资格符合招标文件要求；②、对招标文件作出实质性响应。 </w:t>
      </w:r>
    </w:p>
    <w:p w14:paraId="66E59FB3">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29</w:t>
      </w:r>
      <w:r>
        <w:rPr>
          <w:rFonts w:hint="eastAsia" w:ascii="宋体" w:hAnsi="宋体" w:eastAsia="宋体" w:cs="宋体"/>
          <w:color w:val="auto"/>
          <w:sz w:val="21"/>
          <w:szCs w:val="21"/>
          <w:highlight w:val="none"/>
        </w:rPr>
        <w:t xml:space="preserve">.重新招标 </w:t>
      </w:r>
    </w:p>
    <w:p w14:paraId="52A6496F">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29</w:t>
      </w:r>
      <w:r>
        <w:rPr>
          <w:rFonts w:hint="eastAsia" w:ascii="宋体" w:hAnsi="宋体" w:eastAsia="宋体" w:cs="宋体"/>
          <w:color w:val="auto"/>
          <w:sz w:val="21"/>
          <w:szCs w:val="21"/>
          <w:highlight w:val="none"/>
        </w:rPr>
        <w:t>.1有下列情形之一的，招标人将重新招标：</w:t>
      </w:r>
    </w:p>
    <w:p w14:paraId="65558522">
      <w:pPr>
        <w:keepNext w:val="0"/>
        <w:keepLines w:val="0"/>
        <w:pageBreakBefore w:val="0"/>
        <w:widowControl w:val="0"/>
        <w:shd w:val="clear"/>
        <w:kinsoku/>
        <w:wordWrap/>
        <w:overflowPunct/>
        <w:topLinePunct w:val="0"/>
        <w:autoSpaceDE/>
        <w:autoSpaceDN/>
        <w:bidi w:val="0"/>
        <w:spacing w:line="500" w:lineRule="exact"/>
        <w:ind w:firstLine="525" w:firstLineChars="2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(1)经评标委员会评审后否决所有投标的；</w:t>
      </w:r>
    </w:p>
    <w:p w14:paraId="3D06F5D4">
      <w:pPr>
        <w:keepNext w:val="0"/>
        <w:keepLines w:val="0"/>
        <w:pageBreakBefore w:val="0"/>
        <w:widowControl w:val="0"/>
        <w:shd w:val="clear"/>
        <w:kinsoku/>
        <w:wordWrap/>
        <w:overflowPunct/>
        <w:topLinePunct w:val="0"/>
        <w:autoSpaceDE/>
        <w:autoSpaceDN/>
        <w:bidi w:val="0"/>
        <w:spacing w:line="500" w:lineRule="exact"/>
        <w:ind w:firstLine="525" w:firstLineChars="2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(2)中标候选人均未与招标人签订合同的；</w:t>
      </w:r>
    </w:p>
    <w:p w14:paraId="2D194B1D">
      <w:pPr>
        <w:keepNext w:val="0"/>
        <w:keepLines w:val="0"/>
        <w:pageBreakBefore w:val="0"/>
        <w:widowControl w:val="0"/>
        <w:shd w:val="clear"/>
        <w:kinsoku/>
        <w:wordWrap/>
        <w:overflowPunct/>
        <w:topLinePunct w:val="0"/>
        <w:autoSpaceDE/>
        <w:autoSpaceDN/>
        <w:bidi w:val="0"/>
        <w:spacing w:line="500" w:lineRule="exact"/>
        <w:ind w:firstLine="525" w:firstLineChars="2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(3)法律、法规规定的其他情形。</w:t>
      </w:r>
    </w:p>
    <w:p w14:paraId="15E27550">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 定标</w:t>
      </w:r>
    </w:p>
    <w:p w14:paraId="42BB9C1D">
      <w:pPr>
        <w:keepNext w:val="0"/>
        <w:keepLines w:val="0"/>
        <w:pageBreakBefore w:val="0"/>
        <w:widowControl w:val="0"/>
        <w:shd w:val="clear"/>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.1  中标候选人和中标人的确定</w:t>
      </w:r>
    </w:p>
    <w:p w14:paraId="773EE1A9">
      <w:pPr>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.1.1</w:t>
      </w:r>
      <w:bookmarkStart w:id="13" w:name="_Toc21491"/>
      <w:r>
        <w:rPr>
          <w:rFonts w:hint="eastAsia" w:ascii="宋体" w:hAnsi="宋体" w:eastAsia="宋体" w:cs="宋体"/>
          <w:color w:val="auto"/>
          <w:sz w:val="21"/>
          <w:szCs w:val="21"/>
          <w:highlight w:val="none"/>
        </w:rPr>
        <w:t>本次评标采用</w:t>
      </w:r>
      <w:r>
        <w:rPr>
          <w:rFonts w:hint="eastAsia" w:ascii="宋体" w:hAnsi="宋体" w:eastAsia="宋体" w:cs="宋体"/>
          <w:color w:val="auto"/>
          <w:sz w:val="21"/>
          <w:szCs w:val="21"/>
          <w:highlight w:val="none"/>
          <w:lang w:val="en-US" w:eastAsia="zh-CN"/>
        </w:rPr>
        <w:t>综合评</w:t>
      </w:r>
      <w:r>
        <w:rPr>
          <w:rFonts w:hint="eastAsia" w:ascii="宋体" w:hAnsi="宋体" w:cs="宋体"/>
          <w:color w:val="auto"/>
          <w:sz w:val="21"/>
          <w:szCs w:val="21"/>
          <w:highlight w:val="none"/>
          <w:lang w:val="en-US" w:eastAsia="zh-CN"/>
        </w:rPr>
        <w:t>估</w:t>
      </w:r>
      <w:r>
        <w:rPr>
          <w:rFonts w:hint="eastAsia" w:ascii="宋体" w:hAnsi="宋体" w:eastAsia="宋体" w:cs="宋体"/>
          <w:color w:val="auto"/>
          <w:sz w:val="21"/>
          <w:szCs w:val="21"/>
          <w:highlight w:val="none"/>
          <w:lang w:val="en-US" w:eastAsia="zh-CN"/>
        </w:rPr>
        <w:t>法</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评标委员会对满足招标文件实质性要求的投标文件，按照本章规定的评分标准进行打分，</w:t>
      </w:r>
      <w:r>
        <w:rPr>
          <w:rFonts w:hint="eastAsia" w:ascii="宋体" w:hAnsi="宋体" w:cs="宋体"/>
          <w:b/>
          <w:bCs/>
          <w:color w:val="auto"/>
          <w:szCs w:val="21"/>
          <w:highlight w:val="none"/>
        </w:rPr>
        <w:t>并按总得分由高到低顺序推荐</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名中标候选人，并标明排序</w:t>
      </w:r>
      <w:r>
        <w:rPr>
          <w:rFonts w:hint="eastAsia" w:ascii="宋体" w:hAnsi="宋体" w:eastAsia="宋体" w:cs="宋体"/>
          <w:color w:val="auto"/>
          <w:sz w:val="21"/>
          <w:szCs w:val="21"/>
          <w:highlight w:val="none"/>
          <w:lang w:val="en-US" w:eastAsia="zh-CN"/>
        </w:rPr>
        <w:t>。得分最高的为第一中标候选人，第二高的为第二中标候选人。</w:t>
      </w:r>
      <w:r>
        <w:rPr>
          <w:rFonts w:hint="eastAsia" w:ascii="宋体" w:hAnsi="宋体" w:eastAsia="宋体" w:cs="宋体"/>
          <w:b/>
          <w:bCs/>
          <w:color w:val="auto"/>
          <w:sz w:val="21"/>
          <w:szCs w:val="21"/>
          <w:highlight w:val="none"/>
        </w:rPr>
        <w:t>如总得分相等，以投标报价低的优先，投标报价仍相等，由评标委员会或招标人随机抽取确定排名，不得并列</w:t>
      </w:r>
      <w:r>
        <w:rPr>
          <w:rFonts w:hint="eastAsia" w:ascii="宋体" w:hAnsi="宋体" w:eastAsia="宋体" w:cs="宋体"/>
          <w:color w:val="auto"/>
          <w:sz w:val="21"/>
          <w:szCs w:val="21"/>
          <w:highlight w:val="none"/>
        </w:rPr>
        <w:t>。</w:t>
      </w:r>
    </w:p>
    <w:p w14:paraId="666465B6">
      <w:pPr>
        <w:keepNext w:val="0"/>
        <w:keepLines w:val="0"/>
        <w:pageBreakBefore w:val="0"/>
        <w:widowControl w:val="0"/>
        <w:shd w:val="clear"/>
        <w:kinsoku/>
        <w:wordWrap/>
        <w:overflowPunct/>
        <w:topLinePunct w:val="0"/>
        <w:autoSpaceDE/>
        <w:autoSpaceDN/>
        <w:bidi w:val="0"/>
        <w:spacing w:line="500" w:lineRule="exact"/>
        <w:jc w:val="center"/>
        <w:textAlignment w:val="auto"/>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六、合同的授予</w:t>
      </w:r>
      <w:bookmarkEnd w:id="13"/>
    </w:p>
    <w:p w14:paraId="6EC25BDF">
      <w:pPr>
        <w:keepNext w:val="0"/>
        <w:keepLines w:val="0"/>
        <w:pageBreakBefore w:val="0"/>
        <w:widowControl w:val="0"/>
        <w:shd w:val="clear"/>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31</w:t>
      </w:r>
      <w:r>
        <w:rPr>
          <w:rFonts w:hint="eastAsia" w:ascii="宋体" w:hAnsi="宋体" w:eastAsia="宋体" w:cs="宋体"/>
          <w:color w:val="auto"/>
          <w:sz w:val="21"/>
          <w:szCs w:val="21"/>
          <w:highlight w:val="none"/>
        </w:rPr>
        <w:t>.   合同授予标准</w:t>
      </w:r>
    </w:p>
    <w:p w14:paraId="5F3327A4">
      <w:pPr>
        <w:keepNext w:val="0"/>
        <w:keepLines w:val="0"/>
        <w:pageBreakBefore w:val="0"/>
        <w:widowControl w:val="0"/>
        <w:shd w:val="clear"/>
        <w:kinsoku/>
        <w:wordWrap/>
        <w:overflowPunct/>
        <w:topLinePunct w:val="0"/>
        <w:autoSpaceDE/>
        <w:autoSpaceDN/>
        <w:bidi w:val="0"/>
        <w:adjustRightInd/>
        <w:snapToGrid/>
        <w:spacing w:line="460" w:lineRule="exact"/>
        <w:jc w:val="left"/>
        <w:textAlignment w:val="auto"/>
        <w:rPr>
          <w:rFonts w:hint="eastAsia" w:ascii="宋体" w:hAnsi="宋体" w:eastAsia="宋体" w:cs="宋体"/>
          <w:b/>
          <w:bCs/>
          <w:color w:val="auto"/>
          <w:sz w:val="21"/>
          <w:szCs w:val="21"/>
          <w:highlight w:val="none"/>
        </w:rPr>
      </w:pPr>
      <w:r>
        <w:rPr>
          <w:rFonts w:hint="eastAsia" w:ascii="宋体" w:hAnsi="宋体" w:cs="宋体"/>
          <w:color w:val="auto"/>
          <w:sz w:val="21"/>
          <w:szCs w:val="21"/>
          <w:highlight w:val="none"/>
          <w:lang w:val="en-US" w:eastAsia="zh-CN"/>
        </w:rPr>
        <w:t>31</w:t>
      </w:r>
      <w:r>
        <w:rPr>
          <w:rFonts w:hint="eastAsia" w:ascii="宋体" w:hAnsi="宋体" w:eastAsia="宋体" w:cs="宋体"/>
          <w:color w:val="auto"/>
          <w:sz w:val="21"/>
          <w:szCs w:val="21"/>
          <w:highlight w:val="none"/>
        </w:rPr>
        <w:t>.1  本招标工程的合同授予按本须知第3</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条规定所确定的中标人。</w:t>
      </w:r>
    </w:p>
    <w:p w14:paraId="380B29A3">
      <w:pPr>
        <w:keepNext w:val="0"/>
        <w:keepLines w:val="0"/>
        <w:pageBreakBefore w:val="0"/>
        <w:widowControl w:val="0"/>
        <w:shd w:val="clear"/>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32</w:t>
      </w:r>
      <w:r>
        <w:rPr>
          <w:rFonts w:hint="eastAsia" w:ascii="宋体" w:hAnsi="宋体" w:eastAsia="宋体" w:cs="宋体"/>
          <w:color w:val="auto"/>
          <w:sz w:val="21"/>
          <w:szCs w:val="21"/>
          <w:highlight w:val="none"/>
        </w:rPr>
        <w:t>.   合同协议书的签订</w:t>
      </w:r>
    </w:p>
    <w:p w14:paraId="32A806A5">
      <w:pPr>
        <w:keepNext w:val="0"/>
        <w:keepLines w:val="0"/>
        <w:pageBreakBefore w:val="0"/>
        <w:widowControl w:val="0"/>
        <w:shd w:val="clear"/>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.1  中标通知书发放后3</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日内，按照招标文件和中标人的投标文件订立书面合同。招标人和中标人不得再行订立背离合同实质性内容的其他协议。</w:t>
      </w:r>
    </w:p>
    <w:p w14:paraId="32236170">
      <w:pPr>
        <w:keepNext w:val="0"/>
        <w:keepLines w:val="0"/>
        <w:pageBreakBefore w:val="0"/>
        <w:widowControl w:val="0"/>
        <w:shd w:val="clear"/>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 xml:space="preserve">.2 </w:t>
      </w:r>
      <w:r>
        <w:rPr>
          <w:rFonts w:hint="eastAsia" w:ascii="宋体" w:hAnsi="宋体" w:eastAsia="宋体" w:cs="宋体"/>
          <w:color w:val="auto"/>
          <w:sz w:val="21"/>
          <w:szCs w:val="21"/>
          <w:highlight w:val="none"/>
        </w:rPr>
        <w:t xml:space="preserve"> 中标人如不按本投标须知第3</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条的规定与招标人订立合同，则招标人将取消其中标资格，给招标人造成的损失超过投标担保数额的，还应当对超过部分予以赔偿，同时依法承担相应法律责任。</w:t>
      </w:r>
    </w:p>
    <w:p w14:paraId="16DE7FDC">
      <w:pPr>
        <w:keepNext w:val="0"/>
        <w:keepLines w:val="0"/>
        <w:pageBreakBefore w:val="0"/>
        <w:widowControl w:val="0"/>
        <w:shd w:val="clear"/>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中标人应当按照合同约定履行义务，完成中标项目的实施，不得将中标项目转让（转包）给他人。</w:t>
      </w:r>
      <w:r>
        <w:rPr>
          <w:rFonts w:hint="eastAsia" w:ascii="宋体" w:hAnsi="宋体" w:eastAsia="宋体" w:cs="宋体"/>
          <w:color w:val="auto"/>
          <w:highlight w:val="none"/>
          <w:lang w:val="en-US" w:eastAsia="zh-CN"/>
        </w:rPr>
        <w:t xml:space="preserve"> </w:t>
      </w:r>
      <w:bookmarkStart w:id="14" w:name="_Toc3222"/>
      <w:bookmarkStart w:id="15" w:name="_Toc31589_WPSOffice_Level1"/>
      <w:bookmarkStart w:id="16" w:name="_Toc12737"/>
      <w:r>
        <w:rPr>
          <w:rFonts w:hint="eastAsia" w:ascii="宋体" w:hAnsi="宋体" w:eastAsia="宋体" w:cs="宋体"/>
          <w:color w:val="auto"/>
          <w:highlight w:val="none"/>
          <w:lang w:val="en-US" w:eastAsia="zh-CN"/>
        </w:rPr>
        <w:t xml:space="preserve"> </w:t>
      </w:r>
    </w:p>
    <w:p w14:paraId="3F8A7AE6">
      <w:pPr>
        <w:shd w:val="clea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br w:type="page"/>
      </w:r>
    </w:p>
    <w:p w14:paraId="0DEA534D">
      <w:pPr>
        <w:pStyle w:val="6"/>
        <w:numPr>
          <w:ilvl w:val="0"/>
          <w:numId w:val="2"/>
        </w:numPr>
        <w:shd w:val="clear"/>
        <w:spacing w:line="360" w:lineRule="exact"/>
        <w:jc w:val="center"/>
        <w:rPr>
          <w:rFonts w:hint="eastAsia" w:ascii="宋体" w:hAnsi="宋体" w:cs="宋体"/>
          <w:color w:val="auto"/>
          <w:sz w:val="32"/>
          <w:szCs w:val="32"/>
          <w:highlight w:val="none"/>
        </w:rPr>
      </w:pPr>
      <w:bookmarkStart w:id="17" w:name="_Toc19914"/>
      <w:bookmarkStart w:id="18" w:name="_Toc8201"/>
      <w:r>
        <w:rPr>
          <w:rFonts w:hint="eastAsia" w:ascii="宋体" w:hAnsi="宋体" w:cs="宋体"/>
          <w:color w:val="auto"/>
          <w:sz w:val="32"/>
          <w:szCs w:val="32"/>
          <w:highlight w:val="none"/>
        </w:rPr>
        <w:t>评标办法</w:t>
      </w:r>
      <w:bookmarkEnd w:id="17"/>
    </w:p>
    <w:p w14:paraId="4E420EF5">
      <w:pPr>
        <w:keepNext w:val="0"/>
        <w:keepLines w:val="0"/>
        <w:pageBreakBefore w:val="0"/>
        <w:widowControl w:val="0"/>
        <w:shd w:val="clear"/>
        <w:kinsoku/>
        <w:wordWrap/>
        <w:overflowPunct/>
        <w:topLinePunct w:val="0"/>
        <w:autoSpaceDE/>
        <w:autoSpaceDN/>
        <w:bidi w:val="0"/>
        <w:adjustRightInd/>
        <w:snapToGrid/>
        <w:spacing w:line="340" w:lineRule="exact"/>
        <w:jc w:val="center"/>
        <w:textAlignment w:val="auto"/>
        <w:outlineLvl w:val="1"/>
        <w:rPr>
          <w:rFonts w:hint="eastAsia" w:ascii="宋体" w:hAnsi="宋体" w:eastAsia="宋体" w:cs="宋体"/>
          <w:b/>
          <w:bCs/>
          <w:color w:val="auto"/>
          <w:sz w:val="24"/>
          <w:szCs w:val="24"/>
          <w:highlight w:val="none"/>
          <w:lang w:val="en-US" w:eastAsia="zh-CN"/>
        </w:rPr>
      </w:pPr>
      <w:bookmarkStart w:id="19" w:name="_Toc14912"/>
      <w:r>
        <w:rPr>
          <w:rFonts w:hint="eastAsia" w:ascii="宋体" w:hAnsi="宋体" w:eastAsia="宋体" w:cs="宋体"/>
          <w:b/>
          <w:bCs/>
          <w:color w:val="auto"/>
          <w:sz w:val="24"/>
          <w:szCs w:val="24"/>
          <w:highlight w:val="none"/>
          <w:lang w:val="en-US" w:eastAsia="zh-CN"/>
        </w:rPr>
        <w:t>一、总则</w:t>
      </w:r>
      <w:bookmarkEnd w:id="19"/>
    </w:p>
    <w:p w14:paraId="068C5033">
      <w:pPr>
        <w:keepNext w:val="0"/>
        <w:keepLines w:val="0"/>
        <w:pageBreakBefore w:val="0"/>
        <w:widowControl w:val="0"/>
        <w:shd w:val="clear"/>
        <w:kinsoku/>
        <w:wordWrap/>
        <w:overflowPunct/>
        <w:topLinePunct w:val="0"/>
        <w:autoSpaceDE/>
        <w:autoSpaceDN/>
        <w:bidi w:val="0"/>
        <w:adjustRightInd/>
        <w:snapToGrid/>
        <w:spacing w:line="460" w:lineRule="exact"/>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 本次评标采用综合评估法</w:t>
      </w:r>
    </w:p>
    <w:p w14:paraId="64AB08B2">
      <w:pPr>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1.1综合评</w:t>
      </w:r>
      <w:r>
        <w:rPr>
          <w:rFonts w:hint="eastAsia" w:ascii="宋体" w:hAnsi="宋体" w:cs="宋体"/>
          <w:color w:val="auto"/>
          <w:sz w:val="21"/>
          <w:szCs w:val="21"/>
          <w:highlight w:val="none"/>
          <w:lang w:val="en-US" w:eastAsia="zh-CN"/>
        </w:rPr>
        <w:t>估</w:t>
      </w:r>
      <w:r>
        <w:rPr>
          <w:rFonts w:hint="eastAsia" w:ascii="宋体" w:hAnsi="宋体" w:eastAsia="宋体" w:cs="宋体"/>
          <w:color w:val="auto"/>
          <w:sz w:val="21"/>
          <w:szCs w:val="21"/>
          <w:highlight w:val="none"/>
          <w:lang w:val="en-US" w:eastAsia="zh-CN"/>
        </w:rPr>
        <w:t>法，评标委员会对满足招标文件实质性要求的投标文件，按照本章规定的评分标准进行打分，</w:t>
      </w:r>
      <w:r>
        <w:rPr>
          <w:rFonts w:hint="eastAsia" w:ascii="宋体" w:hAnsi="宋体" w:cs="宋体"/>
          <w:b/>
          <w:bCs/>
          <w:color w:val="auto"/>
          <w:szCs w:val="21"/>
          <w:highlight w:val="none"/>
        </w:rPr>
        <w:t>并按总得分由高到低顺序推荐</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名中标候选人，并标明排序</w:t>
      </w:r>
      <w:r>
        <w:rPr>
          <w:rFonts w:hint="eastAsia" w:ascii="宋体" w:hAnsi="宋体" w:eastAsia="宋体" w:cs="宋体"/>
          <w:color w:val="auto"/>
          <w:sz w:val="21"/>
          <w:szCs w:val="21"/>
          <w:highlight w:val="none"/>
          <w:lang w:val="en-US" w:eastAsia="zh-CN"/>
        </w:rPr>
        <w:t>。得分最高的为第一中标候选人，第二高的为第二中标候选人。</w:t>
      </w:r>
      <w:r>
        <w:rPr>
          <w:rFonts w:hint="eastAsia" w:ascii="宋体" w:hAnsi="宋体" w:eastAsia="宋体" w:cs="宋体"/>
          <w:b/>
          <w:bCs/>
          <w:color w:val="auto"/>
          <w:sz w:val="21"/>
          <w:szCs w:val="21"/>
          <w:highlight w:val="none"/>
        </w:rPr>
        <w:t>如总得分相等，以投标报价低的优先，投标报价仍相等，由评标委员会或招标人随机抽取确定排名，不得并列</w:t>
      </w:r>
      <w:r>
        <w:rPr>
          <w:rFonts w:hint="eastAsia" w:ascii="宋体" w:hAnsi="宋体" w:eastAsia="宋体" w:cs="宋体"/>
          <w:color w:val="auto"/>
          <w:sz w:val="21"/>
          <w:szCs w:val="21"/>
          <w:highlight w:val="none"/>
        </w:rPr>
        <w:t>。</w:t>
      </w:r>
    </w:p>
    <w:p w14:paraId="403526C3">
      <w:pPr>
        <w:keepNext w:val="0"/>
        <w:keepLines w:val="0"/>
        <w:pageBreakBefore w:val="0"/>
        <w:widowControl w:val="0"/>
        <w:shd w:val="clear"/>
        <w:kinsoku/>
        <w:wordWrap/>
        <w:overflowPunct/>
        <w:topLinePunct w:val="0"/>
        <w:autoSpaceDE/>
        <w:autoSpaceDN/>
        <w:bidi w:val="0"/>
        <w:adjustRightInd/>
        <w:snapToGrid/>
        <w:spacing w:line="460" w:lineRule="exact"/>
        <w:ind w:firstLine="422" w:firstLineChars="200"/>
        <w:textAlignment w:val="auto"/>
        <w:rPr>
          <w:rFonts w:hint="eastAsia" w:ascii="宋体" w:hAnsi="宋体" w:eastAsia="宋体" w:cs="宋体"/>
          <w:b/>
          <w:bCs/>
          <w:strike w:val="0"/>
          <w:dstrike w:val="0"/>
          <w:color w:val="auto"/>
          <w:sz w:val="21"/>
          <w:szCs w:val="21"/>
          <w:highlight w:val="none"/>
          <w:lang w:val="en-US" w:eastAsia="zh-CN"/>
        </w:rPr>
      </w:pPr>
      <w:r>
        <w:rPr>
          <w:rFonts w:hint="eastAsia" w:ascii="宋体" w:hAnsi="宋体" w:eastAsia="宋体" w:cs="宋体"/>
          <w:b/>
          <w:bCs/>
          <w:strike w:val="0"/>
          <w:dstrike w:val="0"/>
          <w:color w:val="auto"/>
          <w:sz w:val="21"/>
          <w:szCs w:val="21"/>
          <w:highlight w:val="none"/>
          <w:lang w:val="en-US" w:eastAsia="zh-CN"/>
        </w:rPr>
        <w:t>2．评标程序</w:t>
      </w:r>
    </w:p>
    <w:p w14:paraId="591D37D6">
      <w:pPr>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2.1投标文件的初审</w:t>
      </w:r>
    </w:p>
    <w:p w14:paraId="29ADB920">
      <w:pPr>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2.1.1资格性检查。依据法律法规和</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的规定，对投标文件中的资格证明</w:t>
      </w:r>
      <w:r>
        <w:rPr>
          <w:rFonts w:hint="eastAsia" w:ascii="宋体" w:hAnsi="宋体" w:eastAsia="宋体" w:cs="宋体"/>
          <w:color w:val="auto"/>
          <w:sz w:val="21"/>
          <w:szCs w:val="21"/>
          <w:highlight w:val="none"/>
          <w:lang w:val="en-US" w:eastAsia="zh-CN"/>
        </w:rPr>
        <w:t>材料</w:t>
      </w:r>
      <w:r>
        <w:rPr>
          <w:rFonts w:hint="eastAsia" w:ascii="宋体" w:hAnsi="宋体" w:eastAsia="宋体" w:cs="宋体"/>
          <w:color w:val="auto"/>
          <w:sz w:val="21"/>
          <w:szCs w:val="21"/>
          <w:highlight w:val="none"/>
        </w:rPr>
        <w:t>等进行审查，以确定投标人是否具备投标资格。</w:t>
      </w:r>
    </w:p>
    <w:p w14:paraId="0B195F56">
      <w:pPr>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2.1.2符合性检查。依据</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的规定，从投标文件的有效性、完整性和对</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的响应程度进行审查，以确定投标人是否对</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的实质性要求作出响应。</w:t>
      </w:r>
    </w:p>
    <w:p w14:paraId="7593A8C1">
      <w:pPr>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2.2投标文件的澄清</w:t>
      </w:r>
    </w:p>
    <w:p w14:paraId="11B3623F">
      <w:pPr>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在评标过程中，评标委员会认为需要，可要求投标单位对投标文件中的有关问题进行澄清或提供补充说明及有关资料，投标单位应做出书面答复。书面答复中不得变更价格、供货（服务）期、自报质量等实质性内容。</w:t>
      </w:r>
    </w:p>
    <w:p w14:paraId="0684D5D4">
      <w:pPr>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1C9C5EAC">
      <w:pPr>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  招标人不接受投标单位主动提出的澄清。</w:t>
      </w:r>
    </w:p>
    <w:p w14:paraId="22E30F0F">
      <w:pPr>
        <w:pStyle w:val="2"/>
        <w:shd w:val="clear"/>
        <w:rPr>
          <w:rFonts w:hint="eastAsia"/>
          <w:color w:val="auto"/>
          <w:highlight w:val="none"/>
        </w:rPr>
      </w:pPr>
    </w:p>
    <w:p w14:paraId="0765476B">
      <w:pPr>
        <w:numPr>
          <w:ilvl w:val="0"/>
          <w:numId w:val="0"/>
        </w:numPr>
        <w:shd w:val="clear"/>
        <w:rPr>
          <w:rFonts w:hint="eastAsia"/>
          <w:color w:val="auto"/>
          <w:highlight w:val="none"/>
        </w:rPr>
      </w:pPr>
    </w:p>
    <w:p w14:paraId="5D7CD038">
      <w:pPr>
        <w:pStyle w:val="2"/>
        <w:shd w:val="clear"/>
        <w:rPr>
          <w:rFonts w:hint="eastAsia"/>
          <w:color w:val="auto"/>
          <w:highlight w:val="none"/>
        </w:rPr>
      </w:pPr>
    </w:p>
    <w:p w14:paraId="662A9E6D">
      <w:pPr>
        <w:shd w:val="clear"/>
        <w:rPr>
          <w:rFonts w:hint="eastAsia"/>
          <w:color w:val="auto"/>
          <w:highlight w:val="none"/>
        </w:rPr>
      </w:pPr>
    </w:p>
    <w:p w14:paraId="26771EC8">
      <w:pPr>
        <w:pStyle w:val="2"/>
        <w:shd w:val="clear"/>
        <w:rPr>
          <w:rFonts w:hint="eastAsia"/>
          <w:color w:val="auto"/>
          <w:highlight w:val="none"/>
        </w:rPr>
      </w:pPr>
    </w:p>
    <w:p w14:paraId="5008868D">
      <w:pPr>
        <w:shd w:val="clear"/>
        <w:rPr>
          <w:rFonts w:hint="eastAsia"/>
          <w:color w:val="auto"/>
          <w:highlight w:val="none"/>
        </w:rPr>
      </w:pPr>
    </w:p>
    <w:p w14:paraId="2F6921F2">
      <w:pPr>
        <w:pStyle w:val="2"/>
        <w:shd w:val="clear"/>
        <w:rPr>
          <w:rFonts w:hint="eastAsia"/>
          <w:color w:val="auto"/>
          <w:highlight w:val="none"/>
        </w:rPr>
      </w:pPr>
    </w:p>
    <w:p w14:paraId="05054278">
      <w:pPr>
        <w:shd w:val="clear"/>
        <w:rPr>
          <w:rFonts w:hint="eastAsia"/>
          <w:color w:val="auto"/>
          <w:highlight w:val="none"/>
        </w:rPr>
      </w:pPr>
    </w:p>
    <w:p w14:paraId="1698BFDD">
      <w:pPr>
        <w:pStyle w:val="2"/>
        <w:shd w:val="clear"/>
        <w:rPr>
          <w:rFonts w:hint="eastAsia"/>
          <w:highlight w:val="none"/>
        </w:rPr>
      </w:pPr>
    </w:p>
    <w:p w14:paraId="36AD14AC">
      <w:pPr>
        <w:numPr>
          <w:ilvl w:val="0"/>
          <w:numId w:val="3"/>
        </w:numPr>
        <w:shd w:val="clear"/>
        <w:jc w:val="center"/>
        <w:rPr>
          <w:rFonts w:hint="eastAsia" w:ascii="宋体"/>
          <w:b/>
          <w:color w:val="auto"/>
          <w:sz w:val="28"/>
          <w:szCs w:val="28"/>
          <w:highlight w:val="none"/>
        </w:rPr>
      </w:pPr>
      <w:bookmarkStart w:id="20" w:name="_Toc449028878"/>
      <w:bookmarkStart w:id="21" w:name="_Toc58430318"/>
      <w:r>
        <w:rPr>
          <w:rFonts w:hint="eastAsia" w:ascii="宋体"/>
          <w:b/>
          <w:color w:val="auto"/>
          <w:sz w:val="28"/>
          <w:szCs w:val="28"/>
          <w:highlight w:val="none"/>
        </w:rPr>
        <w:t>投标文件初审</w:t>
      </w:r>
      <w:bookmarkEnd w:id="20"/>
      <w:bookmarkEnd w:id="21"/>
    </w:p>
    <w:p w14:paraId="60FE3D0D">
      <w:pPr>
        <w:shd w:val="clear"/>
        <w:ind w:firstLine="310" w:firstLineChars="147"/>
        <w:rPr>
          <w:rFonts w:hint="eastAsia" w:ascii="宋体"/>
          <w:b/>
          <w:color w:val="auto"/>
          <w:szCs w:val="21"/>
          <w:highlight w:val="none"/>
        </w:rPr>
      </w:pPr>
      <w:r>
        <w:rPr>
          <w:rFonts w:hint="eastAsia" w:ascii="宋体"/>
          <w:b/>
          <w:color w:val="auto"/>
          <w:szCs w:val="21"/>
          <w:highlight w:val="none"/>
        </w:rPr>
        <w:t>3.资格性审查:</w:t>
      </w:r>
    </w:p>
    <w:p w14:paraId="50C98EA7">
      <w:pPr>
        <w:shd w:val="clear"/>
        <w:spacing w:line="400" w:lineRule="exact"/>
        <w:ind w:firstLine="308" w:firstLineChars="147"/>
        <w:rPr>
          <w:rFonts w:hint="eastAsia"/>
          <w:color w:val="auto"/>
          <w:highlight w:val="none"/>
        </w:rPr>
      </w:pPr>
      <w:r>
        <w:rPr>
          <w:rFonts w:hint="eastAsia" w:ascii="宋体"/>
          <w:color w:val="auto"/>
          <w:szCs w:val="21"/>
          <w:highlight w:val="none"/>
        </w:rPr>
        <w:t>3.1</w:t>
      </w:r>
      <w:r>
        <w:rPr>
          <w:rFonts w:hint="eastAsia"/>
          <w:color w:val="auto"/>
          <w:szCs w:val="21"/>
          <w:highlight w:val="none"/>
        </w:rPr>
        <w:t>评审细则</w:t>
      </w:r>
    </w:p>
    <w:tbl>
      <w:tblPr>
        <w:tblStyle w:val="45"/>
        <w:tblW w:w="9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5296"/>
        <w:gridCol w:w="2326"/>
      </w:tblGrid>
      <w:tr w14:paraId="3AD8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063E1BA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序号</w:t>
            </w:r>
          </w:p>
        </w:tc>
        <w:tc>
          <w:tcPr>
            <w:tcW w:w="6531" w:type="dxa"/>
            <w:gridSpan w:val="2"/>
            <w:noWrap w:val="0"/>
            <w:vAlign w:val="center"/>
          </w:tcPr>
          <w:p w14:paraId="2999AA1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2326" w:type="dxa"/>
            <w:noWrap w:val="0"/>
            <w:vAlign w:val="center"/>
          </w:tcPr>
          <w:p w14:paraId="6CFAEFD9">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5929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058032B9">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35" w:type="dxa"/>
            <w:noWrap w:val="0"/>
            <w:vAlign w:val="center"/>
          </w:tcPr>
          <w:p w14:paraId="78D6C61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重要要求</w:t>
            </w:r>
          </w:p>
        </w:tc>
        <w:tc>
          <w:tcPr>
            <w:tcW w:w="5296" w:type="dxa"/>
            <w:noWrap w:val="0"/>
            <w:vAlign w:val="center"/>
          </w:tcPr>
          <w:p w14:paraId="1D03CFE1">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400" w:lineRule="exact"/>
              <w:ind w:left="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法定代表人身份证明和本人有效身份证(或法定代表人授权委托书和委托代理人有效身份证)</w:t>
            </w:r>
          </w:p>
        </w:tc>
        <w:tc>
          <w:tcPr>
            <w:tcW w:w="2326" w:type="dxa"/>
            <w:noWrap w:val="0"/>
            <w:vAlign w:val="center"/>
          </w:tcPr>
          <w:p w14:paraId="758118F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w:t>
            </w:r>
            <w:r>
              <w:rPr>
                <w:rFonts w:hint="eastAsia" w:ascii="宋体" w:hAnsi="宋体" w:eastAsia="宋体" w:cs="宋体"/>
                <w:color w:val="auto"/>
                <w:sz w:val="21"/>
                <w:szCs w:val="21"/>
                <w:highlight w:val="none"/>
                <w:lang w:val="en-US" w:eastAsia="zh-CN"/>
              </w:rPr>
              <w:t>标书</w:t>
            </w:r>
          </w:p>
        </w:tc>
      </w:tr>
      <w:tr w14:paraId="6D92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1C48DC3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35" w:type="dxa"/>
            <w:vMerge w:val="restart"/>
            <w:noWrap w:val="0"/>
            <w:vAlign w:val="center"/>
          </w:tcPr>
          <w:p w14:paraId="66FE497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投标人应符合的基本资格条件</w:t>
            </w:r>
          </w:p>
        </w:tc>
        <w:tc>
          <w:tcPr>
            <w:tcW w:w="5296" w:type="dxa"/>
            <w:noWrap w:val="0"/>
            <w:vAlign w:val="center"/>
          </w:tcPr>
          <w:p w14:paraId="4A71C53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）具有为本项目提供相应服务的能力</w:t>
            </w:r>
          </w:p>
        </w:tc>
        <w:tc>
          <w:tcPr>
            <w:tcW w:w="2326" w:type="dxa"/>
            <w:noWrap w:val="0"/>
            <w:vAlign w:val="center"/>
          </w:tcPr>
          <w:p w14:paraId="0128106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核验</w:t>
            </w:r>
            <w:r>
              <w:rPr>
                <w:rFonts w:hint="eastAsia" w:ascii="宋体" w:hAnsi="宋体" w:eastAsia="宋体" w:cs="宋体"/>
                <w:color w:val="auto"/>
                <w:sz w:val="21"/>
                <w:szCs w:val="21"/>
                <w:highlight w:val="none"/>
              </w:rPr>
              <w:t>投标人有效的营业执照、税务登记证、组织机构码证（或“三证合一证书”）</w:t>
            </w:r>
            <w:r>
              <w:rPr>
                <w:rFonts w:hint="eastAsia" w:ascii="宋体" w:hAnsi="宋体" w:eastAsia="宋体" w:cs="宋体"/>
                <w:color w:val="auto"/>
                <w:sz w:val="21"/>
                <w:szCs w:val="21"/>
                <w:highlight w:val="none"/>
                <w:lang w:val="en-US" w:eastAsia="zh-CN"/>
              </w:rPr>
              <w:t>原件</w:t>
            </w:r>
          </w:p>
        </w:tc>
      </w:tr>
      <w:tr w14:paraId="2285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725" w:type="dxa"/>
            <w:vMerge w:val="continue"/>
            <w:noWrap w:val="0"/>
            <w:vAlign w:val="center"/>
          </w:tcPr>
          <w:p w14:paraId="20DF50B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c>
          <w:tcPr>
            <w:tcW w:w="1235" w:type="dxa"/>
            <w:vMerge w:val="continue"/>
            <w:noWrap w:val="0"/>
            <w:vAlign w:val="center"/>
          </w:tcPr>
          <w:p w14:paraId="54D217E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p>
        </w:tc>
        <w:tc>
          <w:tcPr>
            <w:tcW w:w="5296" w:type="dxa"/>
            <w:noWrap w:val="0"/>
            <w:vAlign w:val="center"/>
          </w:tcPr>
          <w:p w14:paraId="7B35E6B4">
            <w:pPr>
              <w:keepNext w:val="0"/>
              <w:keepLines w:val="0"/>
              <w:suppressLineNumbers w:val="0"/>
              <w:shd w:val="clear"/>
              <w:spacing w:before="0" w:beforeAutospacing="0" w:after="0" w:afterAutospacing="0" w:line="360" w:lineRule="exact"/>
              <w:ind w:left="0" w:right="0"/>
              <w:jc w:val="both"/>
              <w:rPr>
                <w:rFonts w:hint="default" w:ascii="宋体" w:hAnsi="宋体" w:eastAsia="宋体" w:cs="宋体"/>
                <w:color w:val="auto"/>
                <w:sz w:val="21"/>
                <w:szCs w:val="21"/>
                <w:highlight w:val="none"/>
                <w:lang w:val="en-US" w:eastAsia="zh-CN"/>
              </w:rPr>
            </w:pPr>
            <w:r>
              <w:rPr>
                <w:rFonts w:hint="eastAsia"/>
                <w:color w:val="auto"/>
                <w:highlight w:val="none"/>
              </w:rPr>
              <w:t>（3）</w:t>
            </w:r>
            <w:r>
              <w:rPr>
                <w:rFonts w:hint="eastAsia" w:ascii="宋体" w:hAnsi="宋体" w:cs="宋体"/>
                <w:color w:val="auto"/>
                <w:sz w:val="21"/>
                <w:szCs w:val="21"/>
                <w:highlight w:val="none"/>
                <w:lang w:val="en-US" w:eastAsia="zh-CN"/>
              </w:rPr>
              <w:t>项目人员配备表</w:t>
            </w:r>
          </w:p>
        </w:tc>
        <w:tc>
          <w:tcPr>
            <w:tcW w:w="2326" w:type="dxa"/>
            <w:noWrap w:val="0"/>
            <w:vAlign w:val="center"/>
          </w:tcPr>
          <w:p w14:paraId="4A2BC9F8">
            <w:pPr>
              <w:keepNext w:val="0"/>
              <w:keepLines w:val="0"/>
              <w:suppressLineNumbers w:val="0"/>
              <w:shd w:val="clear"/>
              <w:spacing w:before="0" w:beforeAutospacing="0" w:after="0" w:afterAutospacing="0" w:line="360" w:lineRule="exact"/>
              <w:ind w:left="0" w:right="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检验</w:t>
            </w:r>
            <w:r>
              <w:rPr>
                <w:rFonts w:hint="eastAsia" w:ascii="宋体" w:hAnsi="宋体" w:eastAsia="宋体" w:cs="宋体"/>
                <w:color w:val="auto"/>
                <w:sz w:val="21"/>
                <w:szCs w:val="21"/>
                <w:highlight w:val="none"/>
                <w:lang w:val="en-US" w:eastAsia="zh-CN"/>
              </w:rPr>
              <w:t>标书</w:t>
            </w:r>
          </w:p>
        </w:tc>
      </w:tr>
      <w:tr w14:paraId="1A2F4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725" w:type="dxa"/>
            <w:vMerge w:val="continue"/>
            <w:noWrap w:val="0"/>
            <w:vAlign w:val="center"/>
          </w:tcPr>
          <w:p w14:paraId="4A5AA765">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c>
          <w:tcPr>
            <w:tcW w:w="1235" w:type="dxa"/>
            <w:vMerge w:val="continue"/>
            <w:noWrap w:val="0"/>
            <w:vAlign w:val="center"/>
          </w:tcPr>
          <w:p w14:paraId="6CEB8B65">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p>
        </w:tc>
        <w:tc>
          <w:tcPr>
            <w:tcW w:w="5296" w:type="dxa"/>
            <w:noWrap w:val="0"/>
            <w:vAlign w:val="center"/>
          </w:tcPr>
          <w:p w14:paraId="004279B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投标人拟派的项目负责人：必须具有建设部颁发的中华人民共和国注册造价工程师（或一级造价师）注册执业证书，专业为土木建筑工程；</w:t>
            </w:r>
          </w:p>
        </w:tc>
        <w:tc>
          <w:tcPr>
            <w:tcW w:w="2326" w:type="dxa"/>
            <w:noWrap w:val="0"/>
            <w:vAlign w:val="center"/>
          </w:tcPr>
          <w:p w14:paraId="3B53079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w:t>
            </w:r>
            <w:r>
              <w:rPr>
                <w:rFonts w:hint="eastAsia" w:ascii="宋体" w:hAnsi="宋体" w:eastAsia="宋体" w:cs="宋体"/>
                <w:color w:val="auto"/>
                <w:sz w:val="21"/>
                <w:szCs w:val="21"/>
                <w:highlight w:val="none"/>
                <w:lang w:val="en-US" w:eastAsia="zh-CN"/>
              </w:rPr>
              <w:t>标书</w:t>
            </w:r>
          </w:p>
        </w:tc>
      </w:tr>
      <w:tr w14:paraId="0DBA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725" w:type="dxa"/>
            <w:vMerge w:val="continue"/>
            <w:noWrap w:val="0"/>
            <w:vAlign w:val="center"/>
          </w:tcPr>
          <w:p w14:paraId="7C75DEA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c>
          <w:tcPr>
            <w:tcW w:w="1235" w:type="dxa"/>
            <w:vMerge w:val="continue"/>
            <w:noWrap w:val="0"/>
            <w:vAlign w:val="center"/>
          </w:tcPr>
          <w:p w14:paraId="3D9147A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p>
        </w:tc>
        <w:tc>
          <w:tcPr>
            <w:tcW w:w="5296" w:type="dxa"/>
            <w:noWrap w:val="0"/>
            <w:vAlign w:val="center"/>
          </w:tcPr>
          <w:p w14:paraId="5D97E857">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440" w:lineRule="exact"/>
              <w:ind w:left="63" w:leftChars="30" w:right="63" w:rightChars="3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eastAsia="zh-CN" w:bidi="ar-SA"/>
              </w:rPr>
              <w:t>）项目组其他成员（不含项目负责人）：</w:t>
            </w:r>
            <w:r>
              <w:rPr>
                <w:rFonts w:hint="eastAsia" w:ascii="宋体" w:hAnsi="宋体" w:eastAsia="宋体" w:cs="宋体"/>
                <w:b w:val="0"/>
                <w:bCs w:val="0"/>
                <w:color w:val="auto"/>
                <w:kern w:val="0"/>
                <w:sz w:val="21"/>
                <w:szCs w:val="21"/>
                <w:highlight w:val="none"/>
                <w:lang w:val="en-US" w:eastAsia="zh-CN"/>
              </w:rPr>
              <w:t>不少于2名且具有在本单位注册的二级及以上造价工程师（土木建筑工程专业至少1名、安装工程专业至少1名）；</w:t>
            </w:r>
          </w:p>
        </w:tc>
        <w:tc>
          <w:tcPr>
            <w:tcW w:w="2326" w:type="dxa"/>
            <w:noWrap w:val="0"/>
            <w:vAlign w:val="center"/>
          </w:tcPr>
          <w:p w14:paraId="5764AC3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检验</w:t>
            </w:r>
            <w:r>
              <w:rPr>
                <w:rFonts w:hint="eastAsia" w:ascii="宋体" w:hAnsi="宋体" w:eastAsia="宋体" w:cs="宋体"/>
                <w:color w:val="auto"/>
                <w:sz w:val="21"/>
                <w:szCs w:val="21"/>
                <w:highlight w:val="none"/>
                <w:lang w:val="en-US" w:eastAsia="zh-CN"/>
              </w:rPr>
              <w:t>标书</w:t>
            </w:r>
          </w:p>
        </w:tc>
      </w:tr>
      <w:tr w14:paraId="7E17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725" w:type="dxa"/>
            <w:vMerge w:val="continue"/>
            <w:noWrap w:val="0"/>
            <w:vAlign w:val="center"/>
          </w:tcPr>
          <w:p w14:paraId="27E60A7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c>
          <w:tcPr>
            <w:tcW w:w="1235" w:type="dxa"/>
            <w:vMerge w:val="continue"/>
            <w:noWrap w:val="0"/>
            <w:vAlign w:val="center"/>
          </w:tcPr>
          <w:p w14:paraId="367B109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p>
        </w:tc>
        <w:tc>
          <w:tcPr>
            <w:tcW w:w="5296" w:type="dxa"/>
            <w:noWrap w:val="0"/>
            <w:vAlign w:val="center"/>
          </w:tcPr>
          <w:p w14:paraId="3575FF6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（6）承诺书：投标人对所提供的上述材料作出承诺，若投标人存在弄虚作假，提供虚假资料的，若中标，则取消中标资格；</w:t>
            </w:r>
          </w:p>
        </w:tc>
        <w:tc>
          <w:tcPr>
            <w:tcW w:w="2326" w:type="dxa"/>
            <w:noWrap w:val="0"/>
            <w:vAlign w:val="center"/>
          </w:tcPr>
          <w:p w14:paraId="6254C9C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检验</w:t>
            </w:r>
            <w:r>
              <w:rPr>
                <w:rFonts w:hint="eastAsia" w:ascii="宋体" w:hAnsi="宋体" w:eastAsia="宋体" w:cs="宋体"/>
                <w:color w:val="auto"/>
                <w:sz w:val="21"/>
                <w:szCs w:val="21"/>
                <w:highlight w:val="none"/>
                <w:lang w:val="en-US" w:eastAsia="zh-CN"/>
              </w:rPr>
              <w:t>标书</w:t>
            </w:r>
          </w:p>
        </w:tc>
      </w:tr>
      <w:tr w14:paraId="134CA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4" w:hRule="atLeast"/>
        </w:trPr>
        <w:tc>
          <w:tcPr>
            <w:tcW w:w="725" w:type="dxa"/>
            <w:vMerge w:val="continue"/>
            <w:noWrap w:val="0"/>
            <w:vAlign w:val="center"/>
          </w:tcPr>
          <w:p w14:paraId="027904D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c>
          <w:tcPr>
            <w:tcW w:w="1235" w:type="dxa"/>
            <w:vMerge w:val="continue"/>
            <w:noWrap w:val="0"/>
            <w:vAlign w:val="center"/>
          </w:tcPr>
          <w:p w14:paraId="11D2AA7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p>
        </w:tc>
        <w:tc>
          <w:tcPr>
            <w:tcW w:w="5296" w:type="dxa"/>
            <w:noWrap w:val="0"/>
            <w:vAlign w:val="center"/>
          </w:tcPr>
          <w:p w14:paraId="7A0C6658">
            <w:pPr>
              <w:pStyle w:val="2"/>
              <w:keepNext w:val="0"/>
              <w:keepLines w:val="0"/>
              <w:pageBreakBefore w:val="0"/>
              <w:widowControl w:val="0"/>
              <w:numPr>
                <w:ilvl w:val="0"/>
                <w:numId w:val="0"/>
              </w:numPr>
              <w:shd w:val="clear"/>
              <w:kinsoku/>
              <w:wordWrap/>
              <w:overflowPunct/>
              <w:topLinePunct w:val="0"/>
              <w:autoSpaceDE/>
              <w:autoSpaceDN/>
              <w:bidi w:val="0"/>
              <w:adjustRightInd/>
              <w:snapToGrid/>
              <w:spacing w:after="120" w:line="40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lang w:val="en-US" w:eastAsia="zh-CN"/>
              </w:rPr>
              <w:t>法定代表人（或委托代理人）、项目负责人、项目组其他成员须持有社保部门出具的本单位为其缴纳的投标前近三个月内任意一月的养老保险证明（含官网在线打印件，证明文件两个月内有效），或投标人提供承诺已为上述人员缴纳养老保险证明的承诺书（格式自拟）；</w:t>
            </w:r>
          </w:p>
        </w:tc>
        <w:tc>
          <w:tcPr>
            <w:tcW w:w="2326" w:type="dxa"/>
            <w:noWrap w:val="0"/>
            <w:vAlign w:val="center"/>
          </w:tcPr>
          <w:p w14:paraId="39D3D55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检验</w:t>
            </w:r>
            <w:r>
              <w:rPr>
                <w:rFonts w:hint="eastAsia" w:ascii="宋体" w:hAnsi="宋体" w:eastAsia="宋体" w:cs="宋体"/>
                <w:color w:val="auto"/>
                <w:sz w:val="21"/>
                <w:szCs w:val="21"/>
                <w:highlight w:val="none"/>
                <w:lang w:val="en-US" w:eastAsia="zh-CN"/>
              </w:rPr>
              <w:t>标书</w:t>
            </w:r>
          </w:p>
        </w:tc>
      </w:tr>
    </w:tbl>
    <w:p w14:paraId="5392C3B9">
      <w:pPr>
        <w:shd w:val="clear" w:color="auto"/>
        <w:kinsoku/>
        <w:overflowPunct/>
        <w:bidi w:val="0"/>
        <w:adjustRightInd w:val="0"/>
        <w:snapToGrid w:val="0"/>
        <w:spacing w:line="440" w:lineRule="exact"/>
        <w:ind w:firstLine="422" w:firstLineChars="200"/>
        <w:jc w:val="left"/>
        <w:rPr>
          <w:rFonts w:hint="eastAsia" w:ascii="黑体" w:hAnsi="黑体" w:eastAsia="黑体" w:cs="黑体"/>
          <w:b/>
          <w:bCs/>
          <w:color w:val="auto"/>
          <w:szCs w:val="21"/>
          <w:highlight w:val="none"/>
        </w:rPr>
      </w:pPr>
      <w:bookmarkStart w:id="22" w:name="_Toc63063534"/>
      <w:bookmarkStart w:id="23" w:name="_Toc15058904"/>
      <w:bookmarkStart w:id="24" w:name="_Toc506107319"/>
      <w:bookmarkStart w:id="25" w:name="_Toc35425107"/>
      <w:bookmarkStart w:id="26" w:name="_Toc35424941"/>
      <w:bookmarkStart w:id="27" w:name="_Toc324404866"/>
      <w:bookmarkStart w:id="28" w:name="_Toc29352"/>
      <w:bookmarkStart w:id="29" w:name="_Toc35947224"/>
      <w:bookmarkStart w:id="30" w:name="_Toc19818"/>
      <w:r>
        <w:rPr>
          <w:rFonts w:hint="eastAsia" w:ascii="黑体" w:hAnsi="黑体" w:eastAsia="黑体" w:cs="黑体"/>
          <w:b/>
          <w:bCs/>
          <w:color w:val="auto"/>
          <w:szCs w:val="21"/>
          <w:highlight w:val="none"/>
        </w:rPr>
        <w:t>重要提示：</w:t>
      </w:r>
    </w:p>
    <w:p w14:paraId="694EB2EE">
      <w:pPr>
        <w:shd w:val="clear" w:color="auto"/>
        <w:kinsoku/>
        <w:overflowPunct/>
        <w:bidi w:val="0"/>
        <w:adjustRightInd w:val="0"/>
        <w:snapToGrid w:val="0"/>
        <w:spacing w:line="440" w:lineRule="exact"/>
        <w:ind w:firstLine="422" w:firstLineChars="200"/>
        <w:jc w:val="left"/>
        <w:rPr>
          <w:rFonts w:hint="eastAsia" w:ascii="黑体" w:hAnsi="黑体" w:eastAsia="黑体" w:cs="黑体"/>
          <w:b/>
          <w:bCs/>
          <w:color w:val="auto"/>
          <w:szCs w:val="21"/>
          <w:highlight w:val="none"/>
        </w:rPr>
      </w:pPr>
      <w:r>
        <w:rPr>
          <w:rFonts w:hint="eastAsia" w:ascii="黑体" w:hAnsi="黑体" w:eastAsia="黑体" w:cs="黑体"/>
          <w:b/>
          <w:bCs/>
          <w:color w:val="auto"/>
          <w:szCs w:val="21"/>
          <w:highlight w:val="none"/>
        </w:rPr>
        <w:t>（1）资格审查材料可以按招标文件要求上传至指定位置。</w:t>
      </w:r>
    </w:p>
    <w:p w14:paraId="56EB4A86">
      <w:pPr>
        <w:shd w:val="clear" w:color="auto"/>
        <w:kinsoku/>
        <w:overflowPunct/>
        <w:bidi w:val="0"/>
        <w:adjustRightInd w:val="0"/>
        <w:snapToGrid w:val="0"/>
        <w:spacing w:line="440" w:lineRule="exact"/>
        <w:ind w:firstLine="422" w:firstLineChars="200"/>
        <w:jc w:val="left"/>
        <w:rPr>
          <w:rFonts w:hint="eastAsia" w:ascii="宋体" w:hAnsi="宋体" w:eastAsia="宋体" w:cs="宋体"/>
          <w:b/>
          <w:bCs/>
          <w:color w:val="auto"/>
          <w:szCs w:val="21"/>
          <w:highlight w:val="none"/>
        </w:rPr>
      </w:pPr>
      <w:r>
        <w:rPr>
          <w:rFonts w:hint="eastAsia" w:ascii="黑体" w:hAnsi="黑体" w:eastAsia="黑体" w:cs="黑体"/>
          <w:b/>
          <w:bCs/>
          <w:color w:val="auto"/>
          <w:szCs w:val="21"/>
          <w:highlight w:val="none"/>
        </w:rPr>
        <w:t>（2）评标专家在检验电子投标文件过程中，如果由于投标人自身原因导致评标专家无法查看并检验电子投标文件中相关资料的，视为无效标处理。即使投标人将原件携带至现场的，同样按无效标处理。</w:t>
      </w:r>
    </w:p>
    <w:bookmarkEnd w:id="18"/>
    <w:bookmarkEnd w:id="22"/>
    <w:bookmarkEnd w:id="23"/>
    <w:bookmarkEnd w:id="24"/>
    <w:bookmarkEnd w:id="25"/>
    <w:bookmarkEnd w:id="26"/>
    <w:bookmarkEnd w:id="27"/>
    <w:bookmarkEnd w:id="28"/>
    <w:bookmarkEnd w:id="29"/>
    <w:bookmarkEnd w:id="30"/>
    <w:p w14:paraId="3E11B30C">
      <w:pPr>
        <w:shd w:val="clear"/>
        <w:spacing w:line="440" w:lineRule="exact"/>
        <w:ind w:firstLine="310" w:firstLineChars="147"/>
        <w:rPr>
          <w:rFonts w:hint="eastAsia" w:ascii="宋体"/>
          <w:b/>
          <w:color w:val="auto"/>
          <w:szCs w:val="21"/>
          <w:highlight w:val="none"/>
        </w:rPr>
      </w:pPr>
      <w:r>
        <w:rPr>
          <w:rFonts w:hint="eastAsia" w:ascii="宋体"/>
          <w:b/>
          <w:color w:val="auto"/>
          <w:szCs w:val="21"/>
          <w:highlight w:val="none"/>
        </w:rPr>
        <w:t>4.符合性审查</w:t>
      </w:r>
    </w:p>
    <w:p w14:paraId="52B4741C">
      <w:pPr>
        <w:shd w:val="clear"/>
        <w:spacing w:line="440" w:lineRule="exact"/>
        <w:ind w:firstLine="315" w:firstLineChars="150"/>
        <w:rPr>
          <w:rFonts w:hint="eastAsia" w:ascii="宋体"/>
          <w:color w:val="auto"/>
          <w:szCs w:val="21"/>
          <w:highlight w:val="none"/>
        </w:rPr>
      </w:pPr>
      <w:r>
        <w:rPr>
          <w:rFonts w:hint="eastAsia" w:ascii="宋体"/>
          <w:color w:val="auto"/>
          <w:szCs w:val="21"/>
          <w:highlight w:val="none"/>
        </w:rPr>
        <w:t>4．1评审细则</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21C1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4B6CA4D">
            <w:pPr>
              <w:keepNext w:val="0"/>
              <w:keepLines w:val="0"/>
              <w:suppressLineNumbers w:val="0"/>
              <w:shd w:val="clear"/>
              <w:spacing w:before="0" w:beforeAutospacing="0" w:after="0" w:afterAutospacing="0" w:line="320" w:lineRule="atLeast"/>
              <w:ind w:left="0" w:right="0"/>
              <w:jc w:val="center"/>
              <w:rPr>
                <w:rFonts w:hint="eastAsia" w:ascii="黑体" w:eastAsia="黑体" w:cs="黑体"/>
                <w:b/>
                <w:bCs/>
                <w:color w:val="auto"/>
                <w:szCs w:val="21"/>
                <w:highlight w:val="none"/>
              </w:rPr>
            </w:pPr>
            <w:r>
              <w:rPr>
                <w:rFonts w:hint="eastAsia" w:ascii="黑体" w:eastAsia="黑体" w:cs="黑体"/>
                <w:b/>
                <w:bCs/>
                <w:color w:val="auto"/>
                <w:szCs w:val="21"/>
                <w:highlight w:val="none"/>
              </w:rPr>
              <w:t>序号</w:t>
            </w:r>
          </w:p>
        </w:tc>
        <w:tc>
          <w:tcPr>
            <w:tcW w:w="4135" w:type="dxa"/>
            <w:gridSpan w:val="2"/>
            <w:noWrap w:val="0"/>
            <w:vAlign w:val="center"/>
          </w:tcPr>
          <w:p w14:paraId="39163DAC">
            <w:pPr>
              <w:keepNext w:val="0"/>
              <w:keepLines w:val="0"/>
              <w:suppressLineNumbers w:val="0"/>
              <w:shd w:val="clear"/>
              <w:spacing w:before="0" w:beforeAutospacing="0" w:after="0" w:afterAutospacing="0" w:line="320" w:lineRule="atLeast"/>
              <w:ind w:left="0" w:right="0"/>
              <w:jc w:val="center"/>
              <w:rPr>
                <w:rFonts w:hint="eastAsia" w:ascii="黑体" w:eastAsia="黑体" w:cs="黑体"/>
                <w:b/>
                <w:bCs/>
                <w:color w:val="auto"/>
                <w:szCs w:val="21"/>
                <w:highlight w:val="none"/>
              </w:rPr>
            </w:pPr>
            <w:r>
              <w:rPr>
                <w:rFonts w:hint="eastAsia" w:ascii="黑体" w:eastAsia="黑体" w:cs="黑体"/>
                <w:b/>
                <w:bCs/>
                <w:color w:val="auto"/>
                <w:szCs w:val="21"/>
                <w:highlight w:val="none"/>
              </w:rPr>
              <w:t>审查因素</w:t>
            </w:r>
          </w:p>
        </w:tc>
        <w:tc>
          <w:tcPr>
            <w:tcW w:w="4173" w:type="dxa"/>
            <w:noWrap w:val="0"/>
            <w:vAlign w:val="center"/>
          </w:tcPr>
          <w:p w14:paraId="40130CA8">
            <w:pPr>
              <w:keepNext w:val="0"/>
              <w:keepLines w:val="0"/>
              <w:suppressLineNumbers w:val="0"/>
              <w:shd w:val="clear"/>
              <w:spacing w:before="0" w:beforeAutospacing="0" w:after="0" w:afterAutospacing="0" w:line="320" w:lineRule="atLeast"/>
              <w:ind w:left="0" w:right="0"/>
              <w:jc w:val="center"/>
              <w:rPr>
                <w:rFonts w:hint="eastAsia" w:ascii="黑体" w:eastAsia="黑体" w:cs="黑体"/>
                <w:b/>
                <w:bCs/>
                <w:color w:val="auto"/>
                <w:szCs w:val="21"/>
                <w:highlight w:val="none"/>
              </w:rPr>
            </w:pPr>
            <w:r>
              <w:rPr>
                <w:rFonts w:hint="eastAsia" w:ascii="黑体" w:eastAsia="黑体" w:cs="黑体"/>
                <w:b/>
                <w:bCs/>
                <w:color w:val="auto"/>
                <w:szCs w:val="21"/>
                <w:highlight w:val="none"/>
              </w:rPr>
              <w:t>审查内容</w:t>
            </w:r>
          </w:p>
        </w:tc>
      </w:tr>
      <w:tr w14:paraId="6972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5E30E1AC">
            <w:pPr>
              <w:keepNext w:val="0"/>
              <w:keepLines w:val="0"/>
              <w:suppressLineNumbers w:val="0"/>
              <w:shd w:val="clear"/>
              <w:spacing w:before="0" w:beforeAutospacing="0" w:after="0" w:afterAutospacing="0" w:line="320" w:lineRule="atLeast"/>
              <w:ind w:left="0" w:right="0"/>
              <w:jc w:val="center"/>
              <w:rPr>
                <w:rFonts w:hint="eastAsia" w:ascii="宋体"/>
                <w:color w:val="auto"/>
                <w:szCs w:val="21"/>
                <w:highlight w:val="none"/>
              </w:rPr>
            </w:pPr>
            <w:r>
              <w:rPr>
                <w:rFonts w:hint="eastAsia" w:ascii="宋体"/>
                <w:color w:val="auto"/>
                <w:szCs w:val="21"/>
                <w:highlight w:val="none"/>
              </w:rPr>
              <w:t>1</w:t>
            </w:r>
          </w:p>
        </w:tc>
        <w:tc>
          <w:tcPr>
            <w:tcW w:w="1204" w:type="dxa"/>
            <w:vMerge w:val="restart"/>
            <w:noWrap w:val="0"/>
            <w:vAlign w:val="center"/>
          </w:tcPr>
          <w:p w14:paraId="14328F55">
            <w:pPr>
              <w:keepNext w:val="0"/>
              <w:keepLines w:val="0"/>
              <w:suppressLineNumbers w:val="0"/>
              <w:shd w:val="clear"/>
              <w:spacing w:before="0" w:beforeAutospacing="0" w:after="0" w:afterAutospacing="0" w:line="320" w:lineRule="atLeast"/>
              <w:ind w:left="0" w:right="0"/>
              <w:rPr>
                <w:rFonts w:hint="eastAsia" w:ascii="宋体" w:cs="仿宋_GB2312"/>
                <w:color w:val="auto"/>
                <w:szCs w:val="21"/>
                <w:highlight w:val="none"/>
                <w:lang w:val="zh-CN"/>
              </w:rPr>
            </w:pPr>
            <w:r>
              <w:rPr>
                <w:rFonts w:hint="eastAsia" w:ascii="宋体" w:cs="仿宋_GB2312"/>
                <w:color w:val="auto"/>
                <w:szCs w:val="21"/>
                <w:highlight w:val="none"/>
                <w:lang w:val="zh-CN"/>
              </w:rPr>
              <w:t>投标文件的有效性</w:t>
            </w:r>
          </w:p>
        </w:tc>
        <w:tc>
          <w:tcPr>
            <w:tcW w:w="2931" w:type="dxa"/>
            <w:noWrap w:val="0"/>
            <w:vAlign w:val="center"/>
          </w:tcPr>
          <w:p w14:paraId="01511831">
            <w:pPr>
              <w:keepNext w:val="0"/>
              <w:keepLines w:val="0"/>
              <w:suppressLineNumbers w:val="0"/>
              <w:shd w:val="clear"/>
              <w:spacing w:before="0" w:beforeAutospacing="0" w:after="0" w:afterAutospacing="0" w:line="320" w:lineRule="atLeast"/>
              <w:ind w:left="0" w:right="0"/>
              <w:rPr>
                <w:rFonts w:hint="eastAsia" w:ascii="宋体" w:cs="仿宋_GB2312"/>
                <w:color w:val="auto"/>
                <w:szCs w:val="21"/>
                <w:highlight w:val="none"/>
                <w:lang w:val="zh-CN"/>
              </w:rPr>
            </w:pPr>
            <w:r>
              <w:rPr>
                <w:rFonts w:hint="eastAsia" w:ascii="宋体" w:cs="仿宋_GB2312"/>
                <w:color w:val="auto"/>
                <w:szCs w:val="21"/>
                <w:highlight w:val="none"/>
                <w:lang w:val="zh-CN"/>
              </w:rPr>
              <w:t>（1）投标文件签署</w:t>
            </w:r>
          </w:p>
        </w:tc>
        <w:tc>
          <w:tcPr>
            <w:tcW w:w="4173" w:type="dxa"/>
            <w:noWrap w:val="0"/>
            <w:vAlign w:val="center"/>
          </w:tcPr>
          <w:p w14:paraId="1DA41EB0">
            <w:pPr>
              <w:keepNext w:val="0"/>
              <w:keepLines w:val="0"/>
              <w:suppressLineNumbers w:val="0"/>
              <w:shd w:val="clear"/>
              <w:spacing w:before="0" w:beforeAutospacing="0" w:after="0" w:afterAutospacing="0" w:line="320" w:lineRule="atLeast"/>
              <w:ind w:left="0" w:right="0"/>
              <w:rPr>
                <w:rFonts w:hint="eastAsia" w:ascii="宋体" w:cs="仿宋_GB2312"/>
                <w:color w:val="auto"/>
                <w:szCs w:val="21"/>
                <w:highlight w:val="none"/>
                <w:lang w:val="zh-CN"/>
              </w:rPr>
            </w:pPr>
            <w:r>
              <w:rPr>
                <w:rFonts w:hint="eastAsia" w:ascii="宋体" w:cs="仿宋_GB2312"/>
                <w:color w:val="auto"/>
                <w:szCs w:val="21"/>
                <w:highlight w:val="none"/>
                <w:lang w:val="zh-CN"/>
              </w:rPr>
              <w:t>签字、盖章符合要求。</w:t>
            </w:r>
          </w:p>
        </w:tc>
      </w:tr>
      <w:tr w14:paraId="553F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7905205E">
            <w:pPr>
              <w:keepNext w:val="0"/>
              <w:keepLines w:val="0"/>
              <w:suppressLineNumbers w:val="0"/>
              <w:shd w:val="clear"/>
              <w:spacing w:before="0" w:beforeAutospacing="0" w:after="0" w:afterAutospacing="0" w:line="320" w:lineRule="atLeast"/>
              <w:ind w:left="0" w:right="0"/>
              <w:rPr>
                <w:rFonts w:hint="default"/>
                <w:color w:val="auto"/>
                <w:highlight w:val="none"/>
              </w:rPr>
            </w:pPr>
          </w:p>
        </w:tc>
        <w:tc>
          <w:tcPr>
            <w:tcW w:w="1204" w:type="dxa"/>
            <w:vMerge w:val="continue"/>
            <w:noWrap w:val="0"/>
            <w:vAlign w:val="center"/>
          </w:tcPr>
          <w:p w14:paraId="0C50280C">
            <w:pPr>
              <w:keepNext w:val="0"/>
              <w:keepLines w:val="0"/>
              <w:suppressLineNumbers w:val="0"/>
              <w:shd w:val="clear"/>
              <w:spacing w:before="0" w:beforeAutospacing="0" w:after="0" w:afterAutospacing="0" w:line="320" w:lineRule="atLeast"/>
              <w:ind w:left="0" w:right="0"/>
              <w:rPr>
                <w:rFonts w:hint="default"/>
                <w:color w:val="auto"/>
                <w:highlight w:val="none"/>
              </w:rPr>
            </w:pPr>
          </w:p>
        </w:tc>
        <w:tc>
          <w:tcPr>
            <w:tcW w:w="2931" w:type="dxa"/>
            <w:noWrap w:val="0"/>
            <w:vAlign w:val="center"/>
          </w:tcPr>
          <w:p w14:paraId="3A2D0D42">
            <w:pPr>
              <w:keepNext w:val="0"/>
              <w:keepLines w:val="0"/>
              <w:suppressLineNumbers w:val="0"/>
              <w:shd w:val="clear"/>
              <w:spacing w:before="0" w:beforeAutospacing="0" w:after="0" w:afterAutospacing="0" w:line="320" w:lineRule="atLeast"/>
              <w:ind w:left="0" w:right="0"/>
              <w:rPr>
                <w:rFonts w:hint="eastAsia" w:ascii="宋体" w:cs="仿宋_GB2312"/>
                <w:color w:val="auto"/>
                <w:szCs w:val="21"/>
                <w:highlight w:val="none"/>
                <w:lang w:val="zh-CN"/>
              </w:rPr>
            </w:pPr>
            <w:r>
              <w:rPr>
                <w:rFonts w:hint="eastAsia" w:ascii="宋体" w:cs="仿宋_GB2312"/>
                <w:color w:val="auto"/>
                <w:szCs w:val="21"/>
                <w:highlight w:val="none"/>
                <w:lang w:val="zh-CN"/>
              </w:rPr>
              <w:t>（2）投标方案</w:t>
            </w:r>
          </w:p>
        </w:tc>
        <w:tc>
          <w:tcPr>
            <w:tcW w:w="4173" w:type="dxa"/>
            <w:noWrap w:val="0"/>
            <w:vAlign w:val="center"/>
          </w:tcPr>
          <w:p w14:paraId="49240866">
            <w:pPr>
              <w:keepNext w:val="0"/>
              <w:keepLines w:val="0"/>
              <w:suppressLineNumbers w:val="0"/>
              <w:shd w:val="clear"/>
              <w:spacing w:before="0" w:beforeAutospacing="0" w:after="0" w:afterAutospacing="0" w:line="320" w:lineRule="atLeast"/>
              <w:ind w:left="0" w:right="0"/>
              <w:rPr>
                <w:rFonts w:hint="eastAsia" w:ascii="宋体" w:cs="宋体"/>
                <w:color w:val="auto"/>
                <w:szCs w:val="21"/>
                <w:highlight w:val="none"/>
              </w:rPr>
            </w:pPr>
            <w:r>
              <w:rPr>
                <w:rFonts w:hint="eastAsia" w:ascii="宋体" w:hAnsi="宋体" w:cs="仿宋_GB2312"/>
                <w:color w:val="auto"/>
                <w:szCs w:val="21"/>
                <w:highlight w:val="none"/>
                <w:lang w:val="zh-CN"/>
              </w:rPr>
              <w:t>每个分包只能有一个方案投标。</w:t>
            </w:r>
          </w:p>
        </w:tc>
      </w:tr>
      <w:tr w14:paraId="3DA8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3B748B3B">
            <w:pPr>
              <w:keepNext w:val="0"/>
              <w:keepLines w:val="0"/>
              <w:suppressLineNumbers w:val="0"/>
              <w:shd w:val="clear"/>
              <w:spacing w:before="0" w:beforeAutospacing="0" w:after="0" w:afterAutospacing="0" w:line="320" w:lineRule="atLeast"/>
              <w:ind w:left="0" w:right="0"/>
              <w:rPr>
                <w:rFonts w:hint="default"/>
                <w:color w:val="auto"/>
                <w:highlight w:val="none"/>
              </w:rPr>
            </w:pPr>
          </w:p>
        </w:tc>
        <w:tc>
          <w:tcPr>
            <w:tcW w:w="1204" w:type="dxa"/>
            <w:vMerge w:val="continue"/>
            <w:noWrap w:val="0"/>
            <w:vAlign w:val="center"/>
          </w:tcPr>
          <w:p w14:paraId="58AA67A8">
            <w:pPr>
              <w:keepNext w:val="0"/>
              <w:keepLines w:val="0"/>
              <w:suppressLineNumbers w:val="0"/>
              <w:shd w:val="clear"/>
              <w:spacing w:before="0" w:beforeAutospacing="0" w:after="0" w:afterAutospacing="0" w:line="320" w:lineRule="atLeast"/>
              <w:ind w:left="0" w:right="0"/>
              <w:rPr>
                <w:rFonts w:hint="default"/>
                <w:color w:val="auto"/>
                <w:highlight w:val="none"/>
              </w:rPr>
            </w:pPr>
          </w:p>
        </w:tc>
        <w:tc>
          <w:tcPr>
            <w:tcW w:w="2931" w:type="dxa"/>
            <w:noWrap w:val="0"/>
            <w:vAlign w:val="center"/>
          </w:tcPr>
          <w:p w14:paraId="16A8D7B3">
            <w:pPr>
              <w:keepNext w:val="0"/>
              <w:keepLines w:val="0"/>
              <w:suppressLineNumbers w:val="0"/>
              <w:shd w:val="clear"/>
              <w:spacing w:before="0" w:beforeAutospacing="0" w:after="0" w:afterAutospacing="0" w:line="320" w:lineRule="atLeast"/>
              <w:ind w:left="0" w:right="0"/>
              <w:rPr>
                <w:rFonts w:hint="eastAsia" w:ascii="宋体" w:cs="仿宋_GB2312"/>
                <w:color w:val="auto"/>
                <w:szCs w:val="21"/>
                <w:highlight w:val="none"/>
                <w:lang w:val="zh-CN"/>
              </w:rPr>
            </w:pPr>
            <w:r>
              <w:rPr>
                <w:rFonts w:hint="eastAsia" w:ascii="宋体"/>
                <w:color w:val="auto"/>
                <w:szCs w:val="21"/>
                <w:highlight w:val="none"/>
              </w:rPr>
              <w:t>（3）报价唯一</w:t>
            </w:r>
          </w:p>
        </w:tc>
        <w:tc>
          <w:tcPr>
            <w:tcW w:w="4173" w:type="dxa"/>
            <w:noWrap w:val="0"/>
            <w:vAlign w:val="center"/>
          </w:tcPr>
          <w:p w14:paraId="5B76B05E">
            <w:pPr>
              <w:keepNext w:val="0"/>
              <w:keepLines w:val="0"/>
              <w:suppressLineNumbers w:val="0"/>
              <w:shd w:val="clear"/>
              <w:spacing w:before="0" w:beforeAutospacing="0" w:after="0" w:afterAutospacing="0" w:line="320" w:lineRule="atLeast"/>
              <w:ind w:left="0" w:right="0"/>
              <w:rPr>
                <w:rFonts w:hint="eastAsia" w:ascii="宋体" w:cs="宋体"/>
                <w:color w:val="auto"/>
                <w:szCs w:val="21"/>
                <w:highlight w:val="none"/>
              </w:rPr>
            </w:pPr>
            <w:r>
              <w:rPr>
                <w:rFonts w:hint="eastAsia" w:ascii="宋体" w:cs="仿宋_GB2312"/>
                <w:color w:val="auto"/>
                <w:szCs w:val="21"/>
                <w:highlight w:val="none"/>
                <w:lang w:val="zh-CN"/>
              </w:rPr>
              <w:t>只能在限价范围内报价，</w:t>
            </w:r>
            <w:r>
              <w:rPr>
                <w:rFonts w:hint="eastAsia" w:ascii="宋体"/>
                <w:color w:val="auto"/>
                <w:szCs w:val="21"/>
                <w:highlight w:val="none"/>
              </w:rPr>
              <w:t>只能有一个有效报价，不得提交选择性报价。</w:t>
            </w:r>
          </w:p>
        </w:tc>
      </w:tr>
      <w:tr w14:paraId="6D9B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5BB5A752">
            <w:pPr>
              <w:keepNext w:val="0"/>
              <w:keepLines w:val="0"/>
              <w:suppressLineNumbers w:val="0"/>
              <w:shd w:val="clear"/>
              <w:spacing w:before="0" w:beforeAutospacing="0" w:after="0" w:afterAutospacing="0" w:line="320" w:lineRule="atLeast"/>
              <w:ind w:left="0" w:right="0"/>
              <w:rPr>
                <w:rFonts w:hint="default"/>
                <w:color w:val="auto"/>
                <w:highlight w:val="none"/>
              </w:rPr>
            </w:pPr>
          </w:p>
        </w:tc>
        <w:tc>
          <w:tcPr>
            <w:tcW w:w="1204" w:type="dxa"/>
            <w:vMerge w:val="continue"/>
            <w:noWrap w:val="0"/>
            <w:vAlign w:val="center"/>
          </w:tcPr>
          <w:p w14:paraId="3D464BDC">
            <w:pPr>
              <w:keepNext w:val="0"/>
              <w:keepLines w:val="0"/>
              <w:suppressLineNumbers w:val="0"/>
              <w:shd w:val="clear"/>
              <w:spacing w:before="0" w:beforeAutospacing="0" w:after="0" w:afterAutospacing="0" w:line="320" w:lineRule="atLeast"/>
              <w:ind w:left="0" w:right="0"/>
              <w:rPr>
                <w:rFonts w:hint="default"/>
                <w:color w:val="auto"/>
                <w:highlight w:val="none"/>
              </w:rPr>
            </w:pPr>
          </w:p>
        </w:tc>
        <w:tc>
          <w:tcPr>
            <w:tcW w:w="2931" w:type="dxa"/>
            <w:noWrap w:val="0"/>
            <w:vAlign w:val="center"/>
          </w:tcPr>
          <w:p w14:paraId="1570C2C0">
            <w:pPr>
              <w:keepNext w:val="0"/>
              <w:keepLines w:val="0"/>
              <w:suppressLineNumbers w:val="0"/>
              <w:shd w:val="clear"/>
              <w:spacing w:before="0" w:beforeAutospacing="0" w:after="0" w:afterAutospacing="0" w:line="320" w:lineRule="atLeast"/>
              <w:ind w:left="0" w:right="0"/>
              <w:rPr>
                <w:rFonts w:hint="eastAsia" w:ascii="宋体"/>
                <w:color w:val="auto"/>
                <w:szCs w:val="21"/>
                <w:highlight w:val="none"/>
              </w:rPr>
            </w:pPr>
            <w:r>
              <w:rPr>
                <w:rFonts w:hint="eastAsia" w:ascii="宋体"/>
                <w:color w:val="auto"/>
                <w:szCs w:val="21"/>
                <w:highlight w:val="none"/>
              </w:rPr>
              <w:t xml:space="preserve"> (4) 投标文件的有效期</w:t>
            </w:r>
          </w:p>
        </w:tc>
        <w:tc>
          <w:tcPr>
            <w:tcW w:w="4173" w:type="dxa"/>
            <w:noWrap w:val="0"/>
            <w:vAlign w:val="center"/>
          </w:tcPr>
          <w:p w14:paraId="0A104765">
            <w:pPr>
              <w:keepNext w:val="0"/>
              <w:keepLines w:val="0"/>
              <w:suppressLineNumbers w:val="0"/>
              <w:shd w:val="clear"/>
              <w:spacing w:before="0" w:beforeAutospacing="0" w:after="0" w:afterAutospacing="0" w:line="320" w:lineRule="atLeast"/>
              <w:ind w:left="0" w:right="0"/>
              <w:rPr>
                <w:rFonts w:hint="eastAsia" w:ascii="宋体" w:cs="仿宋_GB2312"/>
                <w:color w:val="auto"/>
                <w:szCs w:val="21"/>
                <w:highlight w:val="none"/>
                <w:lang w:val="zh-CN"/>
              </w:rPr>
            </w:pPr>
            <w:r>
              <w:rPr>
                <w:rFonts w:hint="eastAsia" w:ascii="宋体" w:cs="仿宋_GB2312"/>
                <w:color w:val="auto"/>
                <w:szCs w:val="21"/>
                <w:highlight w:val="none"/>
                <w:lang w:val="zh-CN"/>
              </w:rPr>
              <w:t>完全响应。</w:t>
            </w:r>
          </w:p>
        </w:tc>
      </w:tr>
      <w:tr w14:paraId="4B6B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4503882E">
            <w:pPr>
              <w:keepNext w:val="0"/>
              <w:keepLines w:val="0"/>
              <w:suppressLineNumbers w:val="0"/>
              <w:shd w:val="clear"/>
              <w:spacing w:before="0" w:beforeAutospacing="0" w:after="0" w:afterAutospacing="0" w:line="320" w:lineRule="atLeast"/>
              <w:ind w:left="0" w:right="0"/>
              <w:jc w:val="center"/>
              <w:rPr>
                <w:rFonts w:hint="eastAsia" w:ascii="宋体"/>
                <w:color w:val="auto"/>
                <w:szCs w:val="21"/>
                <w:highlight w:val="none"/>
              </w:rPr>
            </w:pPr>
            <w:r>
              <w:rPr>
                <w:rFonts w:hint="eastAsia" w:ascii="宋体"/>
                <w:color w:val="auto"/>
                <w:szCs w:val="21"/>
                <w:highlight w:val="none"/>
              </w:rPr>
              <w:t>2</w:t>
            </w:r>
          </w:p>
        </w:tc>
        <w:tc>
          <w:tcPr>
            <w:tcW w:w="1204" w:type="dxa"/>
            <w:vMerge w:val="restart"/>
            <w:noWrap w:val="0"/>
            <w:vAlign w:val="center"/>
          </w:tcPr>
          <w:p w14:paraId="7F325341">
            <w:pPr>
              <w:keepNext w:val="0"/>
              <w:keepLines w:val="0"/>
              <w:suppressLineNumbers w:val="0"/>
              <w:shd w:val="clear"/>
              <w:spacing w:before="0" w:beforeAutospacing="0" w:after="0" w:afterAutospacing="0" w:line="320" w:lineRule="atLeast"/>
              <w:ind w:left="0" w:right="0"/>
              <w:rPr>
                <w:rFonts w:hint="eastAsia" w:ascii="宋体" w:cs="仿宋_GB2312"/>
                <w:color w:val="auto"/>
                <w:szCs w:val="21"/>
                <w:highlight w:val="none"/>
                <w:lang w:val="zh-CN"/>
              </w:rPr>
            </w:pPr>
            <w:r>
              <w:rPr>
                <w:rFonts w:hint="eastAsia" w:ascii="宋体" w:cs="仿宋_GB2312"/>
                <w:color w:val="auto"/>
                <w:szCs w:val="21"/>
                <w:highlight w:val="none"/>
                <w:lang w:val="zh-CN"/>
              </w:rPr>
              <w:t>投标文件的完整性</w:t>
            </w:r>
          </w:p>
        </w:tc>
        <w:tc>
          <w:tcPr>
            <w:tcW w:w="2931" w:type="dxa"/>
            <w:noWrap w:val="0"/>
            <w:vAlign w:val="center"/>
          </w:tcPr>
          <w:p w14:paraId="5EF20D31">
            <w:pPr>
              <w:keepNext w:val="0"/>
              <w:keepLines w:val="0"/>
              <w:suppressLineNumbers w:val="0"/>
              <w:shd w:val="clear"/>
              <w:spacing w:before="0" w:beforeAutospacing="0" w:after="0" w:afterAutospacing="0" w:line="320" w:lineRule="atLeast"/>
              <w:ind w:left="0" w:right="0"/>
              <w:rPr>
                <w:rFonts w:hint="eastAsia" w:ascii="宋体" w:cs="宋体"/>
                <w:color w:val="auto"/>
                <w:szCs w:val="21"/>
                <w:highlight w:val="none"/>
              </w:rPr>
            </w:pPr>
            <w:r>
              <w:rPr>
                <w:rFonts w:hint="eastAsia" w:ascii="宋体" w:cs="仿宋_GB2312"/>
                <w:color w:val="auto"/>
                <w:szCs w:val="21"/>
                <w:highlight w:val="none"/>
                <w:lang w:val="zh-CN"/>
              </w:rPr>
              <w:t>（5）投标文件份数</w:t>
            </w:r>
          </w:p>
        </w:tc>
        <w:tc>
          <w:tcPr>
            <w:tcW w:w="4173" w:type="dxa"/>
            <w:noWrap w:val="0"/>
            <w:vAlign w:val="center"/>
          </w:tcPr>
          <w:p w14:paraId="0504A0B0">
            <w:pPr>
              <w:keepNext w:val="0"/>
              <w:keepLines w:val="0"/>
              <w:suppressLineNumbers w:val="0"/>
              <w:shd w:val="clear"/>
              <w:spacing w:before="0" w:beforeAutospacing="0" w:after="0" w:afterAutospacing="0" w:line="320" w:lineRule="atLeast"/>
              <w:ind w:left="0" w:right="0"/>
              <w:rPr>
                <w:rFonts w:hint="eastAsia" w:ascii="宋体" w:cs="宋体"/>
                <w:color w:val="auto"/>
                <w:szCs w:val="21"/>
                <w:highlight w:val="none"/>
              </w:rPr>
            </w:pPr>
            <w:r>
              <w:rPr>
                <w:rFonts w:hint="eastAsia" w:ascii="宋体" w:hAnsi="宋体" w:cs="宋体"/>
                <w:color w:val="auto"/>
                <w:szCs w:val="21"/>
                <w:highlight w:val="none"/>
              </w:rPr>
              <w:t>网上递交的电子投标文件：一份</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tc>
      </w:tr>
      <w:tr w14:paraId="2B6B6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54C11AB6">
            <w:pPr>
              <w:keepNext w:val="0"/>
              <w:keepLines w:val="0"/>
              <w:suppressLineNumbers w:val="0"/>
              <w:shd w:val="clear"/>
              <w:spacing w:before="0" w:beforeAutospacing="0" w:after="0" w:afterAutospacing="0" w:line="320" w:lineRule="atLeast"/>
              <w:ind w:left="0" w:right="0"/>
              <w:rPr>
                <w:rFonts w:hint="default"/>
                <w:color w:val="auto"/>
                <w:highlight w:val="none"/>
              </w:rPr>
            </w:pPr>
          </w:p>
        </w:tc>
        <w:tc>
          <w:tcPr>
            <w:tcW w:w="1204" w:type="dxa"/>
            <w:vMerge w:val="continue"/>
            <w:noWrap w:val="0"/>
            <w:vAlign w:val="center"/>
          </w:tcPr>
          <w:p w14:paraId="068F4ED8">
            <w:pPr>
              <w:keepNext w:val="0"/>
              <w:keepLines w:val="0"/>
              <w:suppressLineNumbers w:val="0"/>
              <w:shd w:val="clear"/>
              <w:spacing w:before="0" w:beforeAutospacing="0" w:after="0" w:afterAutospacing="0" w:line="320" w:lineRule="atLeast"/>
              <w:ind w:left="0" w:right="0"/>
              <w:rPr>
                <w:rFonts w:hint="default"/>
                <w:color w:val="auto"/>
                <w:highlight w:val="none"/>
              </w:rPr>
            </w:pPr>
          </w:p>
        </w:tc>
        <w:tc>
          <w:tcPr>
            <w:tcW w:w="2931" w:type="dxa"/>
            <w:noWrap w:val="0"/>
            <w:vAlign w:val="center"/>
          </w:tcPr>
          <w:p w14:paraId="5F71AFEB">
            <w:pPr>
              <w:keepNext w:val="0"/>
              <w:keepLines w:val="0"/>
              <w:suppressLineNumbers w:val="0"/>
              <w:shd w:val="clear"/>
              <w:spacing w:before="0" w:beforeAutospacing="0" w:after="0" w:afterAutospacing="0" w:line="320" w:lineRule="atLeast"/>
              <w:ind w:left="0" w:right="0"/>
              <w:rPr>
                <w:rFonts w:hint="eastAsia" w:ascii="宋体" w:cs="仿宋_GB2312"/>
                <w:color w:val="auto"/>
                <w:szCs w:val="21"/>
                <w:highlight w:val="none"/>
                <w:lang w:val="zh-CN"/>
              </w:rPr>
            </w:pPr>
            <w:r>
              <w:rPr>
                <w:rFonts w:hint="eastAsia" w:ascii="宋体" w:cs="仿宋_GB2312"/>
                <w:color w:val="auto"/>
                <w:szCs w:val="21"/>
                <w:highlight w:val="none"/>
                <w:lang w:val="zh-CN"/>
              </w:rPr>
              <w:t>（6）投标文件形式内容</w:t>
            </w:r>
          </w:p>
        </w:tc>
        <w:tc>
          <w:tcPr>
            <w:tcW w:w="4173" w:type="dxa"/>
            <w:noWrap w:val="0"/>
            <w:vAlign w:val="center"/>
          </w:tcPr>
          <w:p w14:paraId="253308E2">
            <w:pPr>
              <w:keepNext w:val="0"/>
              <w:keepLines w:val="0"/>
              <w:suppressLineNumbers w:val="0"/>
              <w:shd w:val="clear"/>
              <w:spacing w:before="0" w:beforeAutospacing="0" w:after="0" w:afterAutospacing="0" w:line="320" w:lineRule="atLeast"/>
              <w:ind w:left="0" w:right="0"/>
              <w:rPr>
                <w:rFonts w:hint="eastAsia" w:ascii="宋体" w:cs="仿宋_GB2312"/>
                <w:color w:val="auto"/>
                <w:szCs w:val="21"/>
                <w:highlight w:val="none"/>
                <w:lang w:val="zh-CN"/>
              </w:rPr>
            </w:pPr>
            <w:r>
              <w:rPr>
                <w:rFonts w:hint="eastAsia" w:ascii="宋体" w:cs="仿宋_GB2312"/>
                <w:color w:val="auto"/>
                <w:szCs w:val="21"/>
                <w:highlight w:val="none"/>
                <w:lang w:val="zh-CN"/>
              </w:rPr>
              <w:t>投标文件内容清晰、齐全无遗漏。</w:t>
            </w:r>
          </w:p>
        </w:tc>
      </w:tr>
      <w:tr w14:paraId="713D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390BF16A">
            <w:pPr>
              <w:keepNext w:val="0"/>
              <w:keepLines w:val="0"/>
              <w:suppressLineNumbers w:val="0"/>
              <w:shd w:val="clear"/>
              <w:spacing w:before="0" w:beforeAutospacing="0" w:after="0" w:afterAutospacing="0" w:line="320" w:lineRule="atLeast"/>
              <w:ind w:left="0" w:right="0"/>
              <w:jc w:val="center"/>
              <w:rPr>
                <w:rFonts w:hint="eastAsia" w:ascii="宋体"/>
                <w:color w:val="auto"/>
                <w:szCs w:val="21"/>
                <w:highlight w:val="none"/>
              </w:rPr>
            </w:pPr>
            <w:r>
              <w:rPr>
                <w:rFonts w:hint="eastAsia" w:ascii="宋体"/>
                <w:color w:val="auto"/>
                <w:szCs w:val="21"/>
                <w:highlight w:val="none"/>
              </w:rPr>
              <w:t>3</w:t>
            </w:r>
          </w:p>
        </w:tc>
        <w:tc>
          <w:tcPr>
            <w:tcW w:w="1204" w:type="dxa"/>
            <w:vMerge w:val="restart"/>
            <w:noWrap w:val="0"/>
            <w:vAlign w:val="center"/>
          </w:tcPr>
          <w:p w14:paraId="7CDB2375">
            <w:pPr>
              <w:keepNext w:val="0"/>
              <w:keepLines w:val="0"/>
              <w:suppressLineNumbers w:val="0"/>
              <w:shd w:val="clear"/>
              <w:spacing w:before="0" w:beforeAutospacing="0" w:after="0" w:afterAutospacing="0" w:line="320" w:lineRule="atLeast"/>
              <w:ind w:left="0" w:right="0"/>
              <w:jc w:val="center"/>
              <w:rPr>
                <w:rFonts w:hint="eastAsia" w:ascii="宋体" w:cs="仿宋_GB2312"/>
                <w:color w:val="auto"/>
                <w:szCs w:val="21"/>
                <w:highlight w:val="none"/>
                <w:lang w:val="zh-CN"/>
              </w:rPr>
            </w:pPr>
            <w:r>
              <w:rPr>
                <w:rFonts w:hint="eastAsia" w:ascii="宋体" w:cs="仿宋_GB2312"/>
                <w:color w:val="auto"/>
                <w:szCs w:val="21"/>
                <w:highlight w:val="none"/>
                <w:lang w:val="zh-CN"/>
              </w:rPr>
              <w:t>投标文件的响应程度</w:t>
            </w:r>
          </w:p>
        </w:tc>
        <w:tc>
          <w:tcPr>
            <w:tcW w:w="2931" w:type="dxa"/>
            <w:noWrap w:val="0"/>
            <w:vAlign w:val="center"/>
          </w:tcPr>
          <w:p w14:paraId="76621B39">
            <w:pPr>
              <w:keepNext w:val="0"/>
              <w:keepLines w:val="0"/>
              <w:suppressLineNumbers w:val="0"/>
              <w:shd w:val="clear"/>
              <w:spacing w:before="0" w:beforeAutospacing="0" w:after="0" w:afterAutospacing="0" w:line="320" w:lineRule="atLeast"/>
              <w:ind w:left="0" w:right="0"/>
              <w:rPr>
                <w:rFonts w:hint="eastAsia" w:ascii="宋体" w:cs="仿宋_GB2312"/>
                <w:color w:val="auto"/>
                <w:szCs w:val="21"/>
                <w:highlight w:val="none"/>
                <w:lang w:val="zh-CN"/>
              </w:rPr>
            </w:pPr>
            <w:r>
              <w:rPr>
                <w:rFonts w:hint="eastAsia" w:ascii="宋体" w:cs="仿宋_GB2312"/>
                <w:color w:val="auto"/>
                <w:szCs w:val="21"/>
                <w:highlight w:val="none"/>
                <w:lang w:val="zh-CN"/>
              </w:rPr>
              <w:t>（7）采购需求响应程度</w:t>
            </w:r>
          </w:p>
        </w:tc>
        <w:tc>
          <w:tcPr>
            <w:tcW w:w="4173" w:type="dxa"/>
            <w:noWrap w:val="0"/>
            <w:vAlign w:val="center"/>
          </w:tcPr>
          <w:p w14:paraId="3CC7D23C">
            <w:pPr>
              <w:keepNext w:val="0"/>
              <w:keepLines w:val="0"/>
              <w:suppressLineNumbers w:val="0"/>
              <w:shd w:val="clear"/>
              <w:spacing w:before="0" w:beforeAutospacing="0" w:after="0" w:afterAutospacing="0" w:line="320" w:lineRule="atLeast"/>
              <w:ind w:left="0" w:right="0"/>
              <w:rPr>
                <w:rFonts w:hint="eastAsia" w:ascii="宋体" w:cs="仿宋_GB2312"/>
                <w:color w:val="auto"/>
                <w:szCs w:val="21"/>
                <w:highlight w:val="none"/>
                <w:lang w:val="zh-CN"/>
              </w:rPr>
            </w:pPr>
            <w:r>
              <w:rPr>
                <w:rFonts w:hint="eastAsia" w:ascii="宋体" w:cs="仿宋_GB2312"/>
                <w:color w:val="auto"/>
                <w:szCs w:val="21"/>
                <w:highlight w:val="none"/>
                <w:lang w:val="zh-CN"/>
              </w:rPr>
              <w:t>最大限度地满足招标文件要求。</w:t>
            </w:r>
          </w:p>
        </w:tc>
      </w:tr>
      <w:tr w14:paraId="7B43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1" w:type="dxa"/>
            <w:vMerge w:val="continue"/>
            <w:noWrap w:val="0"/>
            <w:vAlign w:val="center"/>
          </w:tcPr>
          <w:p w14:paraId="7E2F7823">
            <w:pPr>
              <w:keepNext w:val="0"/>
              <w:keepLines w:val="0"/>
              <w:suppressLineNumbers w:val="0"/>
              <w:shd w:val="clear"/>
              <w:spacing w:before="0" w:beforeAutospacing="0" w:after="0" w:afterAutospacing="0" w:line="320" w:lineRule="atLeast"/>
              <w:ind w:left="0" w:right="0"/>
              <w:rPr>
                <w:rFonts w:hint="default"/>
                <w:color w:val="auto"/>
                <w:highlight w:val="none"/>
              </w:rPr>
            </w:pPr>
          </w:p>
        </w:tc>
        <w:tc>
          <w:tcPr>
            <w:tcW w:w="1204" w:type="dxa"/>
            <w:vMerge w:val="continue"/>
            <w:noWrap w:val="0"/>
            <w:vAlign w:val="center"/>
          </w:tcPr>
          <w:p w14:paraId="3B6CA584">
            <w:pPr>
              <w:keepNext w:val="0"/>
              <w:keepLines w:val="0"/>
              <w:suppressLineNumbers w:val="0"/>
              <w:shd w:val="clear"/>
              <w:spacing w:before="0" w:beforeAutospacing="0" w:after="0" w:afterAutospacing="0" w:line="320" w:lineRule="atLeast"/>
              <w:ind w:left="0" w:right="0"/>
              <w:rPr>
                <w:rFonts w:hint="default"/>
                <w:color w:val="auto"/>
                <w:highlight w:val="none"/>
              </w:rPr>
            </w:pPr>
          </w:p>
        </w:tc>
        <w:tc>
          <w:tcPr>
            <w:tcW w:w="2931" w:type="dxa"/>
            <w:noWrap w:val="0"/>
            <w:vAlign w:val="center"/>
          </w:tcPr>
          <w:p w14:paraId="0D9E24C6">
            <w:pPr>
              <w:keepNext w:val="0"/>
              <w:keepLines w:val="0"/>
              <w:suppressLineNumbers w:val="0"/>
              <w:shd w:val="clear"/>
              <w:spacing w:before="0" w:beforeAutospacing="0" w:after="0" w:afterAutospacing="0" w:line="320" w:lineRule="atLeast"/>
              <w:ind w:left="0" w:right="0"/>
              <w:rPr>
                <w:rFonts w:hint="eastAsia" w:ascii="宋体" w:cs="仿宋_GB2312"/>
                <w:color w:val="auto"/>
                <w:szCs w:val="21"/>
                <w:highlight w:val="none"/>
                <w:lang w:val="zh-CN"/>
              </w:rPr>
            </w:pPr>
            <w:r>
              <w:rPr>
                <w:rFonts w:hint="eastAsia" w:ascii="宋体" w:cs="仿宋_GB2312"/>
                <w:color w:val="auto"/>
                <w:szCs w:val="21"/>
                <w:highlight w:val="none"/>
                <w:lang w:val="zh-CN"/>
              </w:rPr>
              <w:t>（8）商务条款响应程度（包括不限于业绩、服务期、售后服务、技术培训等）</w:t>
            </w:r>
          </w:p>
        </w:tc>
        <w:tc>
          <w:tcPr>
            <w:tcW w:w="4173" w:type="dxa"/>
            <w:noWrap w:val="0"/>
            <w:vAlign w:val="center"/>
          </w:tcPr>
          <w:p w14:paraId="1DE6E434">
            <w:pPr>
              <w:keepNext w:val="0"/>
              <w:keepLines w:val="0"/>
              <w:suppressLineNumbers w:val="0"/>
              <w:shd w:val="clear"/>
              <w:spacing w:before="0" w:beforeAutospacing="0" w:after="0" w:afterAutospacing="0" w:line="320" w:lineRule="atLeast"/>
              <w:ind w:left="0" w:right="0"/>
              <w:rPr>
                <w:rFonts w:hint="eastAsia" w:ascii="宋体" w:cs="仿宋_GB2312"/>
                <w:color w:val="auto"/>
                <w:szCs w:val="21"/>
                <w:highlight w:val="none"/>
                <w:lang w:val="zh-CN"/>
              </w:rPr>
            </w:pPr>
            <w:r>
              <w:rPr>
                <w:rFonts w:hint="eastAsia" w:ascii="宋体" w:cs="仿宋_GB2312"/>
                <w:color w:val="auto"/>
                <w:szCs w:val="21"/>
                <w:highlight w:val="none"/>
                <w:lang w:val="zh-CN"/>
              </w:rPr>
              <w:t>响应招标文件要求。</w:t>
            </w:r>
          </w:p>
        </w:tc>
      </w:tr>
    </w:tbl>
    <w:p w14:paraId="114D3165">
      <w:pPr>
        <w:shd w:val="clear"/>
        <w:spacing w:line="400" w:lineRule="exact"/>
        <w:ind w:firstLine="506" w:firstLineChars="241"/>
        <w:rPr>
          <w:rFonts w:hint="eastAsia" w:ascii="宋体"/>
          <w:color w:val="auto"/>
          <w:szCs w:val="21"/>
          <w:highlight w:val="none"/>
        </w:rPr>
      </w:pPr>
      <w:r>
        <w:rPr>
          <w:rFonts w:hint="eastAsia" w:ascii="宋体"/>
          <w:color w:val="auto"/>
          <w:szCs w:val="21"/>
          <w:highlight w:val="none"/>
        </w:rPr>
        <w:t>4.2资格审查及评分细则中涉及的有关证明材料及相关证书，电子投标文件中须按招标文件要求上传</w:t>
      </w:r>
      <w:r>
        <w:rPr>
          <w:rFonts w:hint="eastAsia" w:ascii="宋体" w:hAnsi="宋体"/>
          <w:b/>
          <w:color w:val="auto"/>
          <w:szCs w:val="21"/>
          <w:highlight w:val="none"/>
        </w:rPr>
        <w:t>扫描件</w:t>
      </w:r>
      <w:r>
        <w:rPr>
          <w:rFonts w:hint="eastAsia" w:ascii="宋体"/>
          <w:color w:val="auto"/>
          <w:szCs w:val="21"/>
          <w:highlight w:val="none"/>
        </w:rPr>
        <w:t>，以供审查。</w:t>
      </w:r>
    </w:p>
    <w:p w14:paraId="65BB3E56">
      <w:pPr>
        <w:shd w:val="clear"/>
        <w:spacing w:line="400" w:lineRule="exact"/>
        <w:ind w:firstLine="506" w:firstLineChars="241"/>
        <w:rPr>
          <w:rFonts w:hint="eastAsia" w:ascii="宋体"/>
          <w:color w:val="auto"/>
          <w:szCs w:val="21"/>
          <w:highlight w:val="none"/>
        </w:rPr>
      </w:pPr>
      <w:r>
        <w:rPr>
          <w:rFonts w:hint="eastAsia" w:ascii="宋体"/>
          <w:color w:val="auto"/>
          <w:szCs w:val="21"/>
          <w:highlight w:val="none"/>
        </w:rPr>
        <w:t>4.3．评标委员会判定投标文件的响应性只根据投标文件本身的内容，而不寻求外部的证据，但投标有不真实不正确的内容时除外。</w:t>
      </w:r>
    </w:p>
    <w:p w14:paraId="2D7B31BE">
      <w:pPr>
        <w:shd w:val="clear"/>
        <w:spacing w:line="400" w:lineRule="exact"/>
        <w:ind w:firstLine="525" w:firstLineChars="250"/>
        <w:rPr>
          <w:rFonts w:hint="eastAsia" w:ascii="宋体"/>
          <w:color w:val="auto"/>
          <w:szCs w:val="21"/>
          <w:highlight w:val="none"/>
        </w:rPr>
      </w:pPr>
      <w:r>
        <w:rPr>
          <w:rFonts w:hint="eastAsia" w:ascii="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12E29A7C">
      <w:pPr>
        <w:keepNext w:val="0"/>
        <w:keepLines w:val="0"/>
        <w:pageBreakBefore w:val="0"/>
        <w:widowControl w:val="0"/>
        <w:shd w:val="clear"/>
        <w:kinsoku/>
        <w:wordWrap/>
        <w:overflowPunct/>
        <w:topLinePunct w:val="0"/>
        <w:autoSpaceDE/>
        <w:autoSpaceDN/>
        <w:bidi w:val="0"/>
        <w:adjustRightInd/>
        <w:snapToGrid/>
        <w:spacing w:line="440" w:lineRule="exact"/>
        <w:jc w:val="center"/>
        <w:textAlignment w:val="auto"/>
        <w:outlineLvl w:val="1"/>
        <w:rPr>
          <w:rFonts w:hint="eastAsia" w:ascii="宋体" w:hAnsi="宋体" w:eastAsia="宋体" w:cs="宋体"/>
          <w:b/>
          <w:bCs/>
          <w:color w:val="auto"/>
          <w:sz w:val="24"/>
          <w:szCs w:val="24"/>
          <w:highlight w:val="none"/>
        </w:rPr>
      </w:pPr>
    </w:p>
    <w:p w14:paraId="7D924252">
      <w:pPr>
        <w:keepNext w:val="0"/>
        <w:keepLines w:val="0"/>
        <w:pageBreakBefore w:val="0"/>
        <w:widowControl w:val="0"/>
        <w:shd w:val="clear"/>
        <w:kinsoku/>
        <w:wordWrap/>
        <w:overflowPunct/>
        <w:topLinePunct w:val="0"/>
        <w:autoSpaceDE/>
        <w:autoSpaceDN/>
        <w:bidi w:val="0"/>
        <w:adjustRightInd/>
        <w:snapToGrid/>
        <w:spacing w:line="440" w:lineRule="exact"/>
        <w:jc w:val="center"/>
        <w:textAlignment w:val="auto"/>
        <w:outlineLvl w:val="1"/>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投标文件的澄清和补正</w:t>
      </w:r>
    </w:p>
    <w:p w14:paraId="4E35044F">
      <w:pPr>
        <w:keepNext w:val="0"/>
        <w:keepLines w:val="0"/>
        <w:pageBreakBefore w:val="0"/>
        <w:widowControl w:val="0"/>
        <w:shd w:val="clear"/>
        <w:kinsoku/>
        <w:wordWrap/>
        <w:overflowPunct/>
        <w:topLinePunct w:val="0"/>
        <w:autoSpaceDE/>
        <w:autoSpaceDN/>
        <w:bidi w:val="0"/>
        <w:adjustRightInd/>
        <w:snapToGrid/>
        <w:spacing w:line="440" w:lineRule="exact"/>
        <w:ind w:firstLine="525" w:firstLineChars="25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评审阶段，评委可能会要求有关投标人就其投标书中含义不明确、同类问题表述不一致或者有明显文字和计算错误的内容进行澄清。</w:t>
      </w:r>
      <w:r>
        <w:rPr>
          <w:rFonts w:hint="eastAsia" w:ascii="宋体" w:hAnsi="宋体" w:eastAsia="宋体" w:cs="宋体"/>
          <w:b/>
          <w:bCs/>
          <w:color w:val="auto"/>
          <w:sz w:val="21"/>
          <w:szCs w:val="21"/>
          <w:highlight w:val="none"/>
        </w:rPr>
        <w:t>如因投标人未参加开标导致开评标过程中无法澄清、说明或补正的，视同投标人放弃该权利。</w:t>
      </w:r>
    </w:p>
    <w:p w14:paraId="33FDDA61">
      <w:pPr>
        <w:keepNext w:val="0"/>
        <w:keepLines w:val="0"/>
        <w:pageBreakBefore w:val="0"/>
        <w:widowControl w:val="0"/>
        <w:shd w:val="clear"/>
        <w:kinsoku/>
        <w:wordWrap/>
        <w:overflowPunct/>
        <w:topLinePunct w:val="0"/>
        <w:autoSpaceDE/>
        <w:autoSpaceDN/>
        <w:bidi w:val="0"/>
        <w:adjustRightInd/>
        <w:snapToGrid/>
        <w:spacing w:line="440" w:lineRule="exact"/>
        <w:ind w:firstLine="525" w:firstLineChars="25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投标人的澄清、说明或者补</w:t>
      </w:r>
    </w:p>
    <w:p w14:paraId="267F1FA5">
      <w:pPr>
        <w:keepNext w:val="0"/>
        <w:keepLines w:val="0"/>
        <w:pageBreakBefore w:val="0"/>
        <w:widowControl w:val="0"/>
        <w:shd w:val="clear"/>
        <w:kinsoku/>
        <w:wordWrap/>
        <w:overflowPunct/>
        <w:topLinePunct w:val="0"/>
        <w:autoSpaceDE/>
        <w:autoSpaceDN/>
        <w:bidi w:val="0"/>
        <w:adjustRightInd/>
        <w:snapToGrid/>
        <w:spacing w:line="440" w:lineRule="exact"/>
        <w:ind w:firstLine="527" w:firstLineChars="250"/>
        <w:textAlignment w:val="auto"/>
        <w:rPr>
          <w:rFonts w:hint="eastAsia" w:ascii="宋体" w:hAnsi="宋体" w:eastAsia="宋体" w:cs="宋体"/>
          <w:color w:val="auto"/>
          <w:sz w:val="21"/>
          <w:szCs w:val="21"/>
          <w:highlight w:val="none"/>
        </w:rPr>
      </w:pPr>
      <w:r>
        <w:rPr>
          <w:rFonts w:hint="eastAsia" w:ascii="宋体" w:hAnsi="宋体" w:cs="宋体"/>
          <w:b/>
          <w:bCs/>
          <w:color w:val="auto"/>
          <w:szCs w:val="21"/>
          <w:highlight w:val="none"/>
          <w:lang w:val="en-US" w:eastAsia="zh-CN"/>
        </w:rPr>
        <w:t>本项目采用远程开标，具体操作方法详见服务指南&gt;交易须知&gt;开标大厅远程解密、质疑(异议)及回复以及评标过程中询标流程操作手册</w:t>
      </w:r>
      <w:r>
        <w:rPr>
          <w:rFonts w:hint="eastAsia" w:ascii="宋体" w:hAnsi="宋体" w:cs="宋体"/>
          <w:b/>
          <w:bCs/>
          <w:color w:val="auto"/>
          <w:szCs w:val="21"/>
          <w:highlight w:val="none"/>
        </w:rPr>
        <w:t>。</w:t>
      </w:r>
    </w:p>
    <w:p w14:paraId="23841C5D">
      <w:pPr>
        <w:keepNext w:val="0"/>
        <w:keepLines w:val="0"/>
        <w:pageBreakBefore w:val="0"/>
        <w:widowControl w:val="0"/>
        <w:shd w:val="clear"/>
        <w:kinsoku/>
        <w:wordWrap/>
        <w:overflowPunct/>
        <w:topLinePunct w:val="0"/>
        <w:autoSpaceDE/>
        <w:autoSpaceDN/>
        <w:bidi w:val="0"/>
        <w:adjustRightInd/>
        <w:snapToGrid/>
        <w:spacing w:line="440" w:lineRule="exact"/>
        <w:ind w:firstLine="525" w:firstLineChars="25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评委会修正错误的原则：</w:t>
      </w:r>
    </w:p>
    <w:p w14:paraId="1053594E">
      <w:pPr>
        <w:keepNext w:val="0"/>
        <w:keepLines w:val="0"/>
        <w:pageBreakBefore w:val="0"/>
        <w:widowControl w:val="0"/>
        <w:shd w:val="clear"/>
        <w:kinsoku/>
        <w:wordWrap/>
        <w:overflowPunct/>
        <w:topLinePunct w:val="0"/>
        <w:autoSpaceDE/>
        <w:autoSpaceDN/>
        <w:bidi w:val="0"/>
        <w:adjustRightInd/>
        <w:snapToGrid/>
        <w:spacing w:line="440" w:lineRule="exact"/>
        <w:ind w:firstLine="525" w:firstLineChars="25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如果数字表示的金额和用文字表示的金额不一致时，以文字表示的金额为准</w:t>
      </w:r>
      <w:r>
        <w:rPr>
          <w:rFonts w:hint="eastAsia" w:ascii="宋体" w:hAnsi="宋体" w:eastAsia="宋体" w:cs="宋体"/>
          <w:color w:val="auto"/>
          <w:sz w:val="21"/>
          <w:szCs w:val="21"/>
          <w:highlight w:val="none"/>
          <w:lang w:eastAsia="zh-CN"/>
        </w:rPr>
        <w:t>。</w:t>
      </w:r>
    </w:p>
    <w:p w14:paraId="2973CB46">
      <w:pPr>
        <w:keepNext w:val="0"/>
        <w:keepLines w:val="0"/>
        <w:pageBreakBefore w:val="0"/>
        <w:widowControl w:val="0"/>
        <w:shd w:val="clear"/>
        <w:kinsoku/>
        <w:wordWrap/>
        <w:overflowPunct/>
        <w:topLinePunct w:val="0"/>
        <w:autoSpaceDE/>
        <w:autoSpaceDN/>
        <w:bidi w:val="0"/>
        <w:adjustRightInd/>
        <w:snapToGrid/>
        <w:spacing w:line="440" w:lineRule="exact"/>
        <w:ind w:firstLine="525" w:firstLineChars="25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如果单价与数量的乘积和总价不一致，以单价为准，修正总价；当单价小数点有明显的错位时，评委会将以总价为准，并修正其单价；投标的数量与招标的数量不一致时，以招标数量为准。</w:t>
      </w:r>
    </w:p>
    <w:p w14:paraId="1138E099">
      <w:pPr>
        <w:keepNext w:val="0"/>
        <w:keepLines w:val="0"/>
        <w:pageBreakBefore w:val="0"/>
        <w:widowControl w:val="0"/>
        <w:shd w:val="clear"/>
        <w:kinsoku/>
        <w:wordWrap/>
        <w:overflowPunct/>
        <w:topLinePunct w:val="0"/>
        <w:autoSpaceDE/>
        <w:autoSpaceDN/>
        <w:bidi w:val="0"/>
        <w:adjustRightInd/>
        <w:snapToGrid/>
        <w:spacing w:line="440" w:lineRule="exact"/>
        <w:ind w:firstLine="403" w:firstLineChars="192"/>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评委会将按上述修正错误的方法调整投标文件中的投标报价，调整后的价格应对投标人具有约束力。无论投标人是接受或是拒绝调整后的价格，都应当由法定代表人（或委托代理人）签字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签章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予以确认。投标人拒绝对投标文件出现的错漏按上述原则进行修正、澄清、说明，评标委员会应当否决其投标。</w:t>
      </w:r>
    </w:p>
    <w:p w14:paraId="393CF46C">
      <w:pPr>
        <w:keepNext w:val="0"/>
        <w:keepLines w:val="0"/>
        <w:pageBreakBefore w:val="0"/>
        <w:widowControl w:val="0"/>
        <w:shd w:val="clear"/>
        <w:kinsoku/>
        <w:wordWrap/>
        <w:overflowPunct/>
        <w:topLinePunct w:val="0"/>
        <w:autoSpaceDE/>
        <w:autoSpaceDN/>
        <w:bidi w:val="0"/>
        <w:adjustRightInd/>
        <w:snapToGrid/>
        <w:spacing w:line="340" w:lineRule="exact"/>
        <w:jc w:val="center"/>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、投标评分细则</w:t>
      </w:r>
    </w:p>
    <w:tbl>
      <w:tblPr>
        <w:tblStyle w:val="45"/>
        <w:tblpPr w:leftFromText="180" w:rightFromText="180" w:vertAnchor="text" w:horzAnchor="page" w:tblpX="1243" w:tblpY="322"/>
        <w:tblOverlap w:val="never"/>
        <w:tblW w:w="96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658"/>
        <w:gridCol w:w="6067"/>
      </w:tblGrid>
      <w:tr w14:paraId="2EE2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942" w:type="dxa"/>
            <w:gridSpan w:val="2"/>
            <w:vAlign w:val="center"/>
          </w:tcPr>
          <w:p w14:paraId="794B3C6D">
            <w:pPr>
              <w:keepNext w:val="0"/>
              <w:keepLines w:val="0"/>
              <w:pageBreakBefore w:val="0"/>
              <w:suppressLineNumbers w:val="0"/>
              <w:shd w:val="clear"/>
              <w:kinsoku/>
              <w:wordWrap/>
              <w:overflowPunct/>
              <w:bidi w:val="0"/>
              <w:adjustRightInd/>
              <w:spacing w:before="0" w:beforeAutospacing="0" w:after="0" w:afterAutospacing="0" w:line="360" w:lineRule="exact"/>
              <w:ind w:left="0" w:right="0"/>
              <w:jc w:val="center"/>
              <w:textAlignment w:val="auto"/>
              <w:rPr>
                <w:rFonts w:hint="eastAsia" w:ascii="宋体" w:hAnsi="宋体" w:eastAsia="宋体" w:cs="宋体"/>
                <w:color w:val="auto"/>
                <w:sz w:val="24"/>
                <w:szCs w:val="24"/>
                <w:highlight w:val="none"/>
              </w:rPr>
            </w:pPr>
            <w:bookmarkStart w:id="31" w:name="_Toc30419"/>
            <w:r>
              <w:rPr>
                <w:rFonts w:hint="eastAsia" w:ascii="宋体" w:hAnsi="宋体" w:eastAsia="宋体" w:cs="宋体"/>
                <w:color w:val="auto"/>
                <w:sz w:val="24"/>
                <w:szCs w:val="24"/>
                <w:highlight w:val="none"/>
              </w:rPr>
              <w:t>评审项</w:t>
            </w:r>
          </w:p>
        </w:tc>
        <w:tc>
          <w:tcPr>
            <w:tcW w:w="1658" w:type="dxa"/>
            <w:vAlign w:val="center"/>
          </w:tcPr>
          <w:p w14:paraId="3E63C7C3">
            <w:pPr>
              <w:keepNext w:val="0"/>
              <w:keepLines w:val="0"/>
              <w:pageBreakBefore w:val="0"/>
              <w:suppressLineNumbers w:val="0"/>
              <w:shd w:val="clear"/>
              <w:kinsoku/>
              <w:wordWrap/>
              <w:overflowPunct/>
              <w:bidi w:val="0"/>
              <w:adjustRightInd/>
              <w:spacing w:before="0" w:beforeAutospacing="0" w:after="0" w:afterAutospacing="0" w:line="360" w:lineRule="exac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评审因素</w:t>
            </w:r>
          </w:p>
        </w:tc>
        <w:tc>
          <w:tcPr>
            <w:tcW w:w="6067" w:type="dxa"/>
            <w:vAlign w:val="center"/>
          </w:tcPr>
          <w:p w14:paraId="0EEDDBCB">
            <w:pPr>
              <w:keepNext w:val="0"/>
              <w:keepLines w:val="0"/>
              <w:pageBreakBefore w:val="0"/>
              <w:suppressLineNumbers w:val="0"/>
              <w:shd w:val="clear"/>
              <w:kinsoku/>
              <w:wordWrap/>
              <w:overflowPunct/>
              <w:bidi w:val="0"/>
              <w:adjustRightInd/>
              <w:spacing w:before="0" w:beforeAutospacing="0" w:after="0" w:afterAutospacing="0" w:line="360" w:lineRule="exac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评审标准</w:t>
            </w:r>
          </w:p>
        </w:tc>
      </w:tr>
      <w:tr w14:paraId="2C53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09" w:type="dxa"/>
            <w:vMerge w:val="restart"/>
            <w:vAlign w:val="center"/>
          </w:tcPr>
          <w:p w14:paraId="22ED2DEA">
            <w:pPr>
              <w:keepNext w:val="0"/>
              <w:keepLines w:val="0"/>
              <w:pageBreakBefore w:val="0"/>
              <w:suppressLineNumbers w:val="0"/>
              <w:shd w:val="clear"/>
              <w:kinsoku/>
              <w:wordWrap/>
              <w:overflowPunct/>
              <w:bidi w:val="0"/>
              <w:adjustRightInd/>
              <w:spacing w:before="0" w:beforeAutospacing="0" w:after="0" w:afterAutospacing="0" w:line="36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33" w:type="dxa"/>
            <w:vMerge w:val="restart"/>
            <w:vAlign w:val="center"/>
          </w:tcPr>
          <w:p w14:paraId="1F8958EA">
            <w:pPr>
              <w:keepNext w:val="0"/>
              <w:keepLines w:val="0"/>
              <w:pageBreakBefore w:val="0"/>
              <w:suppressLineNumbers w:val="0"/>
              <w:shd w:val="clear"/>
              <w:kinsoku/>
              <w:wordWrap/>
              <w:overflowPunct/>
              <w:bidi w:val="0"/>
              <w:adjustRightInd/>
              <w:spacing w:before="0" w:beforeAutospacing="0" w:after="0" w:afterAutospacing="0" w:line="36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1658" w:type="dxa"/>
            <w:vAlign w:val="center"/>
          </w:tcPr>
          <w:p w14:paraId="4530BA2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投标函签字盖章</w:t>
            </w:r>
          </w:p>
        </w:tc>
        <w:tc>
          <w:tcPr>
            <w:tcW w:w="6067" w:type="dxa"/>
            <w:vAlign w:val="center"/>
          </w:tcPr>
          <w:p w14:paraId="6C347D4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须按格式文件要求签字或盖章，否则经评委会一致认定</w:t>
            </w:r>
            <w:r>
              <w:rPr>
                <w:rFonts w:hint="eastAsia" w:ascii="宋体" w:hAnsi="宋体" w:eastAsia="宋体" w:cs="宋体"/>
                <w:color w:val="auto"/>
                <w:sz w:val="21"/>
                <w:szCs w:val="21"/>
                <w:highlight w:val="none"/>
                <w:lang w:val="en-US" w:eastAsia="zh-CN"/>
              </w:rPr>
              <w:t>后</w:t>
            </w:r>
            <w:r>
              <w:rPr>
                <w:rFonts w:hint="eastAsia" w:ascii="宋体" w:hAnsi="宋体" w:eastAsia="宋体" w:cs="宋体"/>
                <w:color w:val="auto"/>
                <w:sz w:val="21"/>
                <w:szCs w:val="21"/>
                <w:highlight w:val="none"/>
              </w:rPr>
              <w:t>, 按照无效投标处理。</w:t>
            </w:r>
          </w:p>
        </w:tc>
      </w:tr>
      <w:tr w14:paraId="4DA5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709" w:type="dxa"/>
            <w:vMerge w:val="continue"/>
            <w:vAlign w:val="center"/>
          </w:tcPr>
          <w:p w14:paraId="32E88FB7">
            <w:pPr>
              <w:keepNext w:val="0"/>
              <w:keepLines w:val="0"/>
              <w:pageBreakBefore w:val="0"/>
              <w:suppressLineNumbers w:val="0"/>
              <w:shd w:val="clear"/>
              <w:kinsoku/>
              <w:wordWrap/>
              <w:overflowPunct/>
              <w:bidi w:val="0"/>
              <w:adjustRightInd/>
              <w:spacing w:before="0" w:beforeAutospacing="0" w:after="0" w:afterAutospacing="0" w:line="360" w:lineRule="exact"/>
              <w:ind w:left="0" w:right="0"/>
              <w:jc w:val="center"/>
              <w:textAlignment w:val="auto"/>
              <w:rPr>
                <w:rFonts w:hint="eastAsia" w:ascii="宋体" w:hAnsi="宋体" w:eastAsia="宋体" w:cs="宋体"/>
                <w:color w:val="auto"/>
                <w:sz w:val="21"/>
                <w:szCs w:val="21"/>
                <w:highlight w:val="none"/>
              </w:rPr>
            </w:pPr>
          </w:p>
        </w:tc>
        <w:tc>
          <w:tcPr>
            <w:tcW w:w="1233" w:type="dxa"/>
            <w:vMerge w:val="continue"/>
            <w:vAlign w:val="center"/>
          </w:tcPr>
          <w:p w14:paraId="0408415B">
            <w:pPr>
              <w:keepNext w:val="0"/>
              <w:keepLines w:val="0"/>
              <w:pageBreakBefore w:val="0"/>
              <w:suppressLineNumbers w:val="0"/>
              <w:shd w:val="clear"/>
              <w:kinsoku/>
              <w:wordWrap/>
              <w:overflowPunct/>
              <w:bidi w:val="0"/>
              <w:adjustRightInd/>
              <w:spacing w:before="0" w:beforeAutospacing="0" w:after="0" w:afterAutospacing="0" w:line="360" w:lineRule="exact"/>
              <w:ind w:left="0" w:right="0"/>
              <w:jc w:val="center"/>
              <w:textAlignment w:val="auto"/>
              <w:rPr>
                <w:rFonts w:hint="eastAsia" w:ascii="宋体" w:hAnsi="宋体" w:eastAsia="宋体" w:cs="宋体"/>
                <w:color w:val="auto"/>
                <w:sz w:val="21"/>
                <w:szCs w:val="21"/>
                <w:highlight w:val="none"/>
              </w:rPr>
            </w:pPr>
          </w:p>
        </w:tc>
        <w:tc>
          <w:tcPr>
            <w:tcW w:w="1658" w:type="dxa"/>
            <w:vAlign w:val="center"/>
          </w:tcPr>
          <w:p w14:paraId="027DE32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6067" w:type="dxa"/>
            <w:vAlign w:val="center"/>
          </w:tcPr>
          <w:p w14:paraId="48EEBA7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符合“投标文件格式”的要求，否则经评委会一致认定</w:t>
            </w:r>
            <w:r>
              <w:rPr>
                <w:rFonts w:hint="eastAsia" w:ascii="宋体" w:hAnsi="宋体" w:eastAsia="宋体" w:cs="宋体"/>
                <w:color w:val="auto"/>
                <w:sz w:val="21"/>
                <w:szCs w:val="21"/>
                <w:highlight w:val="none"/>
                <w:lang w:val="en-US" w:eastAsia="zh-CN"/>
              </w:rPr>
              <w:t>后</w:t>
            </w:r>
            <w:r>
              <w:rPr>
                <w:rFonts w:hint="eastAsia" w:ascii="宋体" w:hAnsi="宋体" w:eastAsia="宋体" w:cs="宋体"/>
                <w:color w:val="auto"/>
                <w:sz w:val="21"/>
                <w:szCs w:val="21"/>
                <w:highlight w:val="none"/>
              </w:rPr>
              <w:t>,按照无效投标处理.</w:t>
            </w:r>
          </w:p>
        </w:tc>
      </w:tr>
      <w:tr w14:paraId="6562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709" w:type="dxa"/>
            <w:vMerge w:val="continue"/>
            <w:vAlign w:val="center"/>
          </w:tcPr>
          <w:p w14:paraId="43B7E45E">
            <w:pPr>
              <w:keepNext w:val="0"/>
              <w:keepLines w:val="0"/>
              <w:pageBreakBefore w:val="0"/>
              <w:suppressLineNumbers w:val="0"/>
              <w:shd w:val="clear"/>
              <w:kinsoku/>
              <w:wordWrap/>
              <w:overflowPunct/>
              <w:bidi w:val="0"/>
              <w:adjustRightInd/>
              <w:spacing w:before="0" w:beforeAutospacing="0" w:after="0" w:afterAutospacing="0" w:line="360" w:lineRule="exact"/>
              <w:ind w:left="0" w:right="0"/>
              <w:jc w:val="center"/>
              <w:textAlignment w:val="auto"/>
              <w:rPr>
                <w:rFonts w:hint="eastAsia" w:ascii="宋体" w:hAnsi="宋体" w:eastAsia="宋体" w:cs="宋体"/>
                <w:color w:val="auto"/>
                <w:sz w:val="21"/>
                <w:szCs w:val="21"/>
                <w:highlight w:val="none"/>
              </w:rPr>
            </w:pPr>
          </w:p>
        </w:tc>
        <w:tc>
          <w:tcPr>
            <w:tcW w:w="1233" w:type="dxa"/>
            <w:vMerge w:val="continue"/>
            <w:vAlign w:val="center"/>
          </w:tcPr>
          <w:p w14:paraId="4E407E11">
            <w:pPr>
              <w:keepNext w:val="0"/>
              <w:keepLines w:val="0"/>
              <w:pageBreakBefore w:val="0"/>
              <w:suppressLineNumbers w:val="0"/>
              <w:shd w:val="clear"/>
              <w:kinsoku/>
              <w:wordWrap/>
              <w:overflowPunct/>
              <w:bidi w:val="0"/>
              <w:adjustRightInd/>
              <w:spacing w:before="0" w:beforeAutospacing="0" w:after="0" w:afterAutospacing="0" w:line="360" w:lineRule="exact"/>
              <w:ind w:left="0" w:right="0"/>
              <w:jc w:val="center"/>
              <w:textAlignment w:val="auto"/>
              <w:rPr>
                <w:rFonts w:hint="eastAsia" w:ascii="宋体" w:hAnsi="宋体" w:eastAsia="宋体" w:cs="宋体"/>
                <w:color w:val="auto"/>
                <w:sz w:val="21"/>
                <w:szCs w:val="21"/>
                <w:highlight w:val="none"/>
              </w:rPr>
            </w:pPr>
          </w:p>
        </w:tc>
        <w:tc>
          <w:tcPr>
            <w:tcW w:w="1658" w:type="dxa"/>
            <w:vAlign w:val="center"/>
          </w:tcPr>
          <w:p w14:paraId="4AFF611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报价唯一</w:t>
            </w:r>
          </w:p>
        </w:tc>
        <w:tc>
          <w:tcPr>
            <w:tcW w:w="6067" w:type="dxa"/>
            <w:vAlign w:val="center"/>
          </w:tcPr>
          <w:p w14:paraId="3D56F4F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只能有一个报价，否则按无效标处理</w:t>
            </w:r>
          </w:p>
        </w:tc>
      </w:tr>
      <w:tr w14:paraId="7D0D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709" w:type="dxa"/>
            <w:vMerge w:val="continue"/>
            <w:vAlign w:val="center"/>
          </w:tcPr>
          <w:p w14:paraId="2446B509">
            <w:pPr>
              <w:keepNext w:val="0"/>
              <w:keepLines w:val="0"/>
              <w:pageBreakBefore w:val="0"/>
              <w:suppressLineNumbers w:val="0"/>
              <w:shd w:val="clear"/>
              <w:kinsoku/>
              <w:wordWrap/>
              <w:overflowPunct/>
              <w:bidi w:val="0"/>
              <w:adjustRightInd/>
              <w:spacing w:before="0" w:beforeAutospacing="0" w:after="0" w:afterAutospacing="0" w:line="360" w:lineRule="exact"/>
              <w:ind w:left="0" w:right="0"/>
              <w:jc w:val="center"/>
              <w:textAlignment w:val="auto"/>
              <w:rPr>
                <w:rFonts w:hint="eastAsia" w:ascii="宋体" w:hAnsi="宋体" w:eastAsia="宋体" w:cs="宋体"/>
                <w:color w:val="auto"/>
                <w:sz w:val="21"/>
                <w:szCs w:val="21"/>
                <w:highlight w:val="none"/>
              </w:rPr>
            </w:pPr>
          </w:p>
        </w:tc>
        <w:tc>
          <w:tcPr>
            <w:tcW w:w="1233" w:type="dxa"/>
            <w:vMerge w:val="continue"/>
            <w:vAlign w:val="center"/>
          </w:tcPr>
          <w:p w14:paraId="721734F5">
            <w:pPr>
              <w:keepNext w:val="0"/>
              <w:keepLines w:val="0"/>
              <w:pageBreakBefore w:val="0"/>
              <w:suppressLineNumbers w:val="0"/>
              <w:shd w:val="clear"/>
              <w:kinsoku/>
              <w:wordWrap/>
              <w:overflowPunct/>
              <w:bidi w:val="0"/>
              <w:adjustRightInd/>
              <w:spacing w:before="0" w:beforeAutospacing="0" w:after="0" w:afterAutospacing="0" w:line="360" w:lineRule="exact"/>
              <w:ind w:left="0" w:right="0"/>
              <w:jc w:val="center"/>
              <w:textAlignment w:val="auto"/>
              <w:rPr>
                <w:rFonts w:hint="eastAsia" w:ascii="宋体" w:hAnsi="宋体" w:eastAsia="宋体" w:cs="宋体"/>
                <w:color w:val="auto"/>
                <w:sz w:val="21"/>
                <w:szCs w:val="21"/>
                <w:highlight w:val="none"/>
              </w:rPr>
            </w:pPr>
          </w:p>
        </w:tc>
        <w:tc>
          <w:tcPr>
            <w:tcW w:w="1658" w:type="dxa"/>
            <w:vAlign w:val="center"/>
          </w:tcPr>
          <w:p w14:paraId="51354B8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投标函的报价</w:t>
            </w:r>
          </w:p>
        </w:tc>
        <w:tc>
          <w:tcPr>
            <w:tcW w:w="6067" w:type="dxa"/>
            <w:vAlign w:val="center"/>
          </w:tcPr>
          <w:p w14:paraId="470DC2B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不高于最高限价</w:t>
            </w:r>
          </w:p>
        </w:tc>
      </w:tr>
      <w:tr w14:paraId="71E3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709" w:type="dxa"/>
            <w:vAlign w:val="center"/>
          </w:tcPr>
          <w:p w14:paraId="075E591F">
            <w:pPr>
              <w:keepNext w:val="0"/>
              <w:keepLines w:val="0"/>
              <w:pageBreakBefore w:val="0"/>
              <w:suppressLineNumbers w:val="0"/>
              <w:shd w:val="clear"/>
              <w:kinsoku/>
              <w:wordWrap/>
              <w:overflowPunct/>
              <w:bidi w:val="0"/>
              <w:adjustRightInd/>
              <w:spacing w:before="0" w:beforeAutospacing="0" w:after="0" w:afterAutospacing="0" w:line="360" w:lineRule="exact"/>
              <w:ind w:left="0" w:right="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233" w:type="dxa"/>
            <w:vAlign w:val="center"/>
          </w:tcPr>
          <w:p w14:paraId="6BCD9F44">
            <w:pPr>
              <w:keepNext w:val="0"/>
              <w:keepLines w:val="0"/>
              <w:pageBreakBefore w:val="0"/>
              <w:suppressLineNumbers w:val="0"/>
              <w:shd w:val="clear"/>
              <w:kinsoku/>
              <w:wordWrap/>
              <w:overflowPunct/>
              <w:bidi w:val="0"/>
              <w:adjustRightInd/>
              <w:spacing w:before="0" w:beforeAutospacing="0" w:after="0" w:afterAutospacing="0" w:line="36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投标业绩</w:t>
            </w:r>
            <w:r>
              <w:rPr>
                <w:rFonts w:hint="eastAsia" w:ascii="宋体" w:hAnsi="宋体" w:eastAsia="宋体" w:cs="宋体"/>
                <w:color w:val="auto"/>
                <w:sz w:val="21"/>
                <w:szCs w:val="21"/>
                <w:highlight w:val="none"/>
              </w:rPr>
              <w:t>评分</w:t>
            </w:r>
          </w:p>
          <w:p w14:paraId="29EB296B">
            <w:pPr>
              <w:keepNext w:val="0"/>
              <w:keepLines w:val="0"/>
              <w:pageBreakBefore w:val="0"/>
              <w:suppressLineNumbers w:val="0"/>
              <w:shd w:val="clear"/>
              <w:kinsoku/>
              <w:wordWrap/>
              <w:overflowPunct/>
              <w:bidi w:val="0"/>
              <w:adjustRightInd/>
              <w:spacing w:before="0" w:beforeAutospacing="0" w:after="0" w:afterAutospacing="0" w:line="36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分）</w:t>
            </w:r>
          </w:p>
        </w:tc>
        <w:tc>
          <w:tcPr>
            <w:tcW w:w="7725" w:type="dxa"/>
            <w:gridSpan w:val="2"/>
            <w:vAlign w:val="center"/>
          </w:tcPr>
          <w:p w14:paraId="63D214C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投标人自202</w:t>
            </w:r>
            <w:r>
              <w:rPr>
                <w:rFonts w:hint="eastAsia" w:ascii="宋体" w:hAnsi="宋体" w:cs="宋体"/>
                <w:b w:val="0"/>
                <w:bCs w:val="0"/>
                <w:color w:val="auto"/>
                <w:kern w:val="0"/>
                <w:sz w:val="21"/>
                <w:szCs w:val="21"/>
                <w:highlight w:val="none"/>
                <w:lang w:val="en-US" w:eastAsia="zh-CN"/>
              </w:rPr>
              <w:t>3</w:t>
            </w:r>
            <w:r>
              <w:rPr>
                <w:rFonts w:hint="eastAsia" w:ascii="宋体" w:hAnsi="宋体" w:eastAsia="宋体" w:cs="宋体"/>
                <w:b w:val="0"/>
                <w:bCs w:val="0"/>
                <w:color w:val="auto"/>
                <w:kern w:val="0"/>
                <w:sz w:val="21"/>
                <w:szCs w:val="21"/>
                <w:highlight w:val="none"/>
                <w:lang w:val="en-US" w:eastAsia="zh-CN"/>
              </w:rPr>
              <w:t>年</w:t>
            </w:r>
            <w:r>
              <w:rPr>
                <w:rFonts w:hint="eastAsia" w:ascii="宋体" w:hAnsi="宋体" w:cs="宋体"/>
                <w:b w:val="0"/>
                <w:bCs w:val="0"/>
                <w:color w:val="auto"/>
                <w:kern w:val="0"/>
                <w:sz w:val="21"/>
                <w:szCs w:val="21"/>
                <w:highlight w:val="none"/>
                <w:lang w:val="en-US" w:eastAsia="zh-CN"/>
              </w:rPr>
              <w:t>1</w:t>
            </w:r>
            <w:r>
              <w:rPr>
                <w:rFonts w:hint="eastAsia" w:ascii="宋体" w:hAnsi="宋体" w:eastAsia="宋体" w:cs="宋体"/>
                <w:b w:val="0"/>
                <w:bCs w:val="0"/>
                <w:color w:val="auto"/>
                <w:kern w:val="0"/>
                <w:sz w:val="21"/>
                <w:szCs w:val="21"/>
                <w:highlight w:val="none"/>
                <w:lang w:val="en-US" w:eastAsia="zh-CN"/>
              </w:rPr>
              <w:t>月1日至投标文件提交截止时间前，承担过工程造价在</w:t>
            </w:r>
            <w:r>
              <w:rPr>
                <w:rFonts w:hint="eastAsia" w:ascii="宋体" w:hAnsi="宋体" w:cs="宋体"/>
                <w:b w:val="0"/>
                <w:bCs w:val="0"/>
                <w:color w:val="auto"/>
                <w:kern w:val="0"/>
                <w:sz w:val="21"/>
                <w:szCs w:val="21"/>
                <w:highlight w:val="none"/>
                <w:lang w:val="en-US" w:eastAsia="zh-CN"/>
              </w:rPr>
              <w:t>3000</w:t>
            </w:r>
            <w:r>
              <w:rPr>
                <w:rFonts w:hint="eastAsia" w:ascii="宋体" w:hAnsi="宋体" w:eastAsia="宋体" w:cs="宋体"/>
                <w:b w:val="0"/>
                <w:bCs w:val="0"/>
                <w:color w:val="auto"/>
                <w:kern w:val="0"/>
                <w:sz w:val="21"/>
                <w:szCs w:val="21"/>
                <w:highlight w:val="none"/>
                <w:lang w:val="en-US" w:eastAsia="zh-CN"/>
              </w:rPr>
              <w:t>万元及以上建筑工程结算审计报告复核业绩</w:t>
            </w:r>
            <w:r>
              <w:rPr>
                <w:rFonts w:hint="eastAsia" w:ascii="宋体" w:hAnsi="宋体" w:cs="宋体"/>
                <w:b w:val="0"/>
                <w:bCs w:val="0"/>
                <w:color w:val="auto"/>
                <w:kern w:val="0"/>
                <w:sz w:val="21"/>
                <w:szCs w:val="21"/>
                <w:highlight w:val="none"/>
                <w:lang w:val="en-US" w:eastAsia="zh-CN"/>
              </w:rPr>
              <w:t>的，每提供1个得10分，满分30分。</w:t>
            </w:r>
          </w:p>
          <w:p w14:paraId="14C8303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1"/>
                <w:szCs w:val="21"/>
                <w:highlight w:val="none"/>
              </w:rPr>
            </w:pPr>
            <w:r>
              <w:rPr>
                <w:rFonts w:hint="eastAsia" w:ascii="宋体" w:hAnsi="宋体" w:cs="宋体"/>
                <w:b w:val="0"/>
                <w:bCs w:val="0"/>
                <w:color w:val="auto"/>
                <w:kern w:val="0"/>
                <w:sz w:val="21"/>
                <w:szCs w:val="21"/>
                <w:highlight w:val="none"/>
                <w:lang w:val="en-US" w:eastAsia="zh-CN"/>
              </w:rPr>
              <w:t>注：</w:t>
            </w:r>
            <w:r>
              <w:rPr>
                <w:rFonts w:hint="eastAsia" w:ascii="宋体" w:hAnsi="宋体" w:eastAsia="宋体" w:cs="宋体"/>
                <w:b w:val="0"/>
                <w:bCs w:val="0"/>
                <w:color w:val="auto"/>
                <w:kern w:val="0"/>
                <w:sz w:val="21"/>
                <w:szCs w:val="21"/>
                <w:highlight w:val="none"/>
                <w:lang w:val="en-US" w:eastAsia="zh-CN"/>
              </w:rPr>
              <w:t>同时提供①复核报告结论性文书；②合同。</w:t>
            </w:r>
            <w:r>
              <w:rPr>
                <w:rFonts w:hint="eastAsia" w:ascii="宋体" w:hAnsi="宋体" w:eastAsia="宋体" w:cs="宋体"/>
                <w:b/>
                <w:bCs/>
                <w:color w:val="auto"/>
                <w:kern w:val="0"/>
                <w:sz w:val="21"/>
                <w:szCs w:val="21"/>
                <w:highlight w:val="none"/>
                <w:lang w:val="en-US" w:eastAsia="zh-CN"/>
              </w:rPr>
              <w:t>业绩时间以合同签订时间为准</w:t>
            </w:r>
            <w:r>
              <w:rPr>
                <w:rFonts w:hint="eastAsia" w:ascii="宋体" w:hAnsi="宋体" w:eastAsia="宋体" w:cs="宋体"/>
                <w:b w:val="0"/>
                <w:bCs w:val="0"/>
                <w:color w:val="auto"/>
                <w:kern w:val="0"/>
                <w:sz w:val="21"/>
                <w:szCs w:val="21"/>
                <w:highlight w:val="none"/>
                <w:lang w:val="en-US" w:eastAsia="zh-CN"/>
              </w:rPr>
              <w:t>，工程造价金额以复核报告结论性文书核定的金额为准。</w:t>
            </w:r>
          </w:p>
        </w:tc>
      </w:tr>
      <w:tr w14:paraId="319E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709" w:type="dxa"/>
            <w:vAlign w:val="center"/>
          </w:tcPr>
          <w:p w14:paraId="19B3A4AF">
            <w:pPr>
              <w:keepNext w:val="0"/>
              <w:keepLines w:val="0"/>
              <w:pageBreakBefore w:val="0"/>
              <w:suppressLineNumbers w:val="0"/>
              <w:shd w:val="clear"/>
              <w:kinsoku/>
              <w:wordWrap/>
              <w:overflowPunct/>
              <w:bidi w:val="0"/>
              <w:adjustRightInd/>
              <w:spacing w:before="0" w:beforeAutospacing="0" w:after="0" w:afterAutospacing="0" w:line="360" w:lineRule="exact"/>
              <w:ind w:left="0" w:righ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1233" w:type="dxa"/>
            <w:vAlign w:val="center"/>
          </w:tcPr>
          <w:p w14:paraId="4C208A3C">
            <w:pPr>
              <w:keepNext w:val="0"/>
              <w:keepLines w:val="0"/>
              <w:pageBreakBefore w:val="0"/>
              <w:suppressLineNumbers w:val="0"/>
              <w:shd w:val="clear"/>
              <w:kinsoku/>
              <w:wordWrap/>
              <w:overflowPunct/>
              <w:bidi w:val="0"/>
              <w:adjustRightInd/>
              <w:spacing w:before="0" w:beforeAutospacing="0" w:after="0" w:afterAutospacing="0" w:line="36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投标报价评分</w:t>
            </w:r>
          </w:p>
          <w:p w14:paraId="5AD211AA">
            <w:pPr>
              <w:keepNext w:val="0"/>
              <w:keepLines w:val="0"/>
              <w:pageBreakBefore w:val="0"/>
              <w:suppressLineNumbers w:val="0"/>
              <w:shd w:val="clear"/>
              <w:kinsoku/>
              <w:wordWrap/>
              <w:overflowPunct/>
              <w:bidi w:val="0"/>
              <w:adjustRightInd/>
              <w:spacing w:before="0" w:beforeAutospacing="0" w:after="0" w:afterAutospacing="0" w:line="36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70</w:t>
            </w:r>
            <w:r>
              <w:rPr>
                <w:rFonts w:hint="eastAsia" w:ascii="宋体" w:hAnsi="宋体" w:eastAsia="宋体" w:cs="宋体"/>
                <w:color w:val="auto"/>
                <w:sz w:val="21"/>
                <w:szCs w:val="21"/>
                <w:highlight w:val="none"/>
              </w:rPr>
              <w:t>分）</w:t>
            </w:r>
          </w:p>
        </w:tc>
        <w:tc>
          <w:tcPr>
            <w:tcW w:w="7725" w:type="dxa"/>
            <w:gridSpan w:val="2"/>
            <w:vAlign w:val="center"/>
          </w:tcPr>
          <w:p w14:paraId="234E44E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1、招标人设置投标报价最高限价，各投标人有效报价不得高于最高限价，否则，其投标文件按无效标处理。</w:t>
            </w:r>
            <w:r>
              <w:rPr>
                <w:rFonts w:hint="eastAsia" w:ascii="宋体" w:hAnsi="宋体" w:eastAsia="宋体" w:cs="宋体"/>
                <w:b w:val="0"/>
                <w:bCs w:val="0"/>
                <w:color w:val="auto"/>
                <w:kern w:val="0"/>
                <w:sz w:val="21"/>
                <w:szCs w:val="21"/>
                <w:highlight w:val="none"/>
                <w:lang w:val="en-US" w:eastAsia="zh-CN"/>
              </w:rPr>
              <w:t>投标单位报折扣率，即投标价=</w:t>
            </w:r>
            <w:r>
              <w:rPr>
                <w:rFonts w:hint="eastAsia" w:ascii="宋体" w:hAnsi="宋体" w:cs="宋体"/>
                <w:b w:val="0"/>
                <w:bCs w:val="0"/>
                <w:color w:val="auto"/>
                <w:kern w:val="0"/>
                <w:sz w:val="21"/>
                <w:szCs w:val="21"/>
                <w:highlight w:val="none"/>
                <w:lang w:val="en-US" w:eastAsia="zh-CN"/>
              </w:rPr>
              <w:t>［</w:t>
            </w:r>
            <w:r>
              <w:rPr>
                <w:rFonts w:hint="eastAsia" w:ascii="宋体" w:hAnsi="宋体" w:eastAsia="宋体" w:cs="宋体"/>
                <w:b w:val="0"/>
                <w:bCs w:val="0"/>
                <w:color w:val="auto"/>
                <w:kern w:val="0"/>
                <w:sz w:val="21"/>
                <w:szCs w:val="21"/>
                <w:highlight w:val="none"/>
                <w:lang w:val="en-US" w:eastAsia="zh-CN"/>
              </w:rPr>
              <w:t>（基本费+核减额*4%）*折扣率〕，投标人折扣率报价不得高于100%，否则按无效标处理。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投标报价不可以填报0或负数，否则按无效标处理</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以</w:t>
            </w:r>
            <w:r>
              <w:rPr>
                <w:rFonts w:hint="eastAsia" w:ascii="宋体" w:hAnsi="宋体" w:eastAsia="宋体" w:cs="宋体"/>
                <w:b/>
                <w:bCs/>
                <w:color w:val="auto"/>
                <w:kern w:val="0"/>
                <w:sz w:val="21"/>
                <w:szCs w:val="21"/>
                <w:highlight w:val="none"/>
                <w:lang w:val="en-US" w:eastAsia="zh-CN"/>
              </w:rPr>
              <w:t>折扣率</w:t>
            </w:r>
            <w:r>
              <w:rPr>
                <w:rFonts w:hint="eastAsia" w:ascii="宋体" w:hAnsi="宋体" w:eastAsia="宋体" w:cs="宋体"/>
                <w:b/>
                <w:bCs/>
                <w:color w:val="auto"/>
                <w:sz w:val="21"/>
                <w:szCs w:val="21"/>
                <w:highlight w:val="none"/>
                <w:lang w:val="en-US" w:eastAsia="zh-CN"/>
              </w:rPr>
              <w:t>作为评审价格</w:t>
            </w:r>
            <w:r>
              <w:rPr>
                <w:rFonts w:hint="eastAsia" w:ascii="宋体" w:hAnsi="宋体" w:eastAsia="宋体" w:cs="宋体"/>
                <w:b/>
                <w:bCs/>
                <w:color w:val="auto"/>
                <w:sz w:val="21"/>
                <w:szCs w:val="21"/>
                <w:highlight w:val="none"/>
                <w:lang w:eastAsia="zh-CN"/>
              </w:rPr>
              <w:t>）</w:t>
            </w:r>
          </w:p>
          <w:p w14:paraId="6702448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2、评标基准值为所有投标人投标报价的算术平均值</w:t>
            </w:r>
            <w:r>
              <w:rPr>
                <w:rFonts w:hint="eastAsia" w:ascii="宋体" w:hAnsi="宋体" w:eastAsia="宋体" w:cs="宋体"/>
                <w:color w:val="auto"/>
                <w:sz w:val="21"/>
                <w:szCs w:val="21"/>
                <w:highlight w:val="none"/>
                <w:lang w:eastAsia="zh-CN"/>
              </w:rPr>
              <w:t>。</w:t>
            </w:r>
          </w:p>
          <w:p w14:paraId="28DF7F9E">
            <w:pPr>
              <w:pStyle w:val="2"/>
              <w:keepNext w:val="0"/>
              <w:keepLines w:val="0"/>
              <w:pageBreakBefore w:val="0"/>
              <w:widowControl w:val="0"/>
              <w:shd w:val="clea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3、计算报价偏差率</w:t>
            </w:r>
          </w:p>
          <w:p w14:paraId="6E935C36">
            <w:pPr>
              <w:pStyle w:val="2"/>
              <w:keepNext w:val="0"/>
              <w:keepLines w:val="0"/>
              <w:pageBreakBefore w:val="0"/>
              <w:widowControl w:val="0"/>
              <w:shd w:val="clear"/>
              <w:kinsoku/>
              <w:wordWrap/>
              <w:overflowPunct/>
              <w:topLinePunct w:val="0"/>
              <w:autoSpaceDE/>
              <w:autoSpaceDN/>
              <w:bidi w:val="0"/>
              <w:adjustRightInd/>
              <w:snapToGrid/>
              <w:spacing w:line="440" w:lineRule="exact"/>
              <w:ind w:left="0" w:leftChars="0" w:firstLine="0" w:firstLineChars="0"/>
              <w:textAlignment w:val="auto"/>
              <w:rPr>
                <w:rFonts w:hint="default"/>
                <w:color w:val="auto"/>
                <w:highlight w:val="none"/>
                <w:lang w:val="en-US" w:eastAsia="zh-CN"/>
              </w:rPr>
            </w:pPr>
            <w:r>
              <w:rPr>
                <w:rFonts w:hint="eastAsia" w:ascii="宋体" w:hAnsi="宋体" w:cs="宋体"/>
                <w:color w:val="auto"/>
                <w:sz w:val="21"/>
                <w:szCs w:val="21"/>
                <w:highlight w:val="none"/>
                <w:lang w:val="en-US" w:eastAsia="zh-CN"/>
              </w:rPr>
              <w:t>①偏差率=|（投标报价-评标基准价）/评标基准价|×100%</w:t>
            </w:r>
          </w:p>
          <w:p w14:paraId="7A0FA109">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、计算报价得分</w:t>
            </w:r>
          </w:p>
          <w:p w14:paraId="757167A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①投标报价等于评标基准价的得满分。</w:t>
            </w:r>
          </w:p>
          <w:p w14:paraId="47F18F3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②投标报价高于评标基准价的，投标报价得分=报价满分值-偏差率×100×1</w:t>
            </w:r>
          </w:p>
          <w:p w14:paraId="1F791CD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③投标报价低于评标基准价的，投标报价得分=报价满分值-偏差率×100×0.5</w:t>
            </w:r>
          </w:p>
          <w:p w14:paraId="33129A7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highlight w:val="none"/>
              </w:rPr>
            </w:pPr>
            <w:r>
              <w:rPr>
                <w:rFonts w:hint="eastAsia" w:ascii="宋体" w:hAnsi="宋体" w:eastAsia="宋体" w:cs="宋体"/>
                <w:color w:val="auto"/>
                <w:sz w:val="21"/>
                <w:szCs w:val="21"/>
                <w:highlight w:val="none"/>
              </w:rPr>
              <w:t>注：计算过程中，评标基准值、偏差率、报价得分均保留两位小数，小数点后第三位四舍五入。</w:t>
            </w:r>
          </w:p>
        </w:tc>
      </w:tr>
      <w:bookmarkEnd w:id="31"/>
    </w:tbl>
    <w:p w14:paraId="003755BC">
      <w:pPr>
        <w:pageBreakBefore w:val="0"/>
        <w:shd w:val="clear"/>
        <w:kinsoku/>
        <w:wordWrap/>
        <w:overflowPunct/>
        <w:bidi w:val="0"/>
        <w:adjustRightInd/>
        <w:spacing w:line="360" w:lineRule="exact"/>
        <w:jc w:val="center"/>
        <w:textAlignment w:val="auto"/>
        <w:outlineLvl w:val="1"/>
        <w:rPr>
          <w:rFonts w:hint="eastAsia" w:ascii="宋体" w:hAnsi="宋体" w:eastAsia="宋体" w:cs="宋体"/>
          <w:b/>
          <w:bCs/>
          <w:color w:val="auto"/>
          <w:sz w:val="24"/>
          <w:szCs w:val="24"/>
          <w:highlight w:val="none"/>
        </w:rPr>
      </w:pPr>
    </w:p>
    <w:p w14:paraId="1DD67D2D">
      <w:pPr>
        <w:pageBreakBefore w:val="0"/>
        <w:shd w:val="clear"/>
        <w:kinsoku/>
        <w:wordWrap/>
        <w:overflowPunct/>
        <w:bidi w:val="0"/>
        <w:adjustRightInd/>
        <w:spacing w:line="360" w:lineRule="exact"/>
        <w:jc w:val="center"/>
        <w:textAlignment w:val="auto"/>
        <w:outlineLvl w:val="1"/>
        <w:rPr>
          <w:rFonts w:hint="eastAsia" w:ascii="宋体" w:hAnsi="宋体" w:eastAsia="宋体" w:cs="宋体"/>
          <w:b/>
          <w:bCs/>
          <w:color w:val="auto"/>
          <w:sz w:val="24"/>
          <w:szCs w:val="24"/>
          <w:highlight w:val="none"/>
        </w:rPr>
      </w:pPr>
      <w:bookmarkStart w:id="32" w:name="_Toc20318"/>
      <w:r>
        <w:rPr>
          <w:rFonts w:hint="eastAsia" w:ascii="宋体" w:hAnsi="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推荐中标候选人</w:t>
      </w:r>
      <w:bookmarkEnd w:id="32"/>
    </w:p>
    <w:p w14:paraId="1BD855F9">
      <w:pPr>
        <w:pStyle w:val="2"/>
        <w:shd w:val="clea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评标委员会对满足招标文件实质性要求的投标文件，按照本章规定的评分标准进行打分，并按总得分由高到低顺序推荐2名中标候选人，并标明排序。得分最高的为第一中标候选人，第二高的为第二中标候选人。如总得分相等，以投标报价低的优先，投标报价仍相等，由评标委员会或招标人随机抽取确定排名，不得并列。</w:t>
      </w:r>
    </w:p>
    <w:p w14:paraId="2D219C1B">
      <w:pPr>
        <w:shd w:val="clear"/>
        <w:snapToGrid w:val="0"/>
        <w:spacing w:line="400" w:lineRule="exact"/>
        <w:ind w:firstLine="570"/>
        <w:rPr>
          <w:rFonts w:hint="eastAsia" w:ascii="宋体"/>
          <w:b/>
          <w:color w:val="auto"/>
          <w:szCs w:val="21"/>
          <w:highlight w:val="none"/>
        </w:rPr>
      </w:pPr>
      <w:r>
        <w:rPr>
          <w:rFonts w:hint="eastAsia" w:ascii="宋体"/>
          <w:b/>
          <w:color w:val="auto"/>
          <w:szCs w:val="21"/>
          <w:highlight w:val="none"/>
          <w:lang w:val="en-US" w:eastAsia="zh-CN"/>
        </w:rPr>
        <w:t>9.</w:t>
      </w:r>
      <w:r>
        <w:rPr>
          <w:rFonts w:hint="eastAsia" w:ascii="宋体" w:hAnsi="宋体"/>
          <w:b/>
          <w:color w:val="auto"/>
          <w:sz w:val="24"/>
          <w:highlight w:val="none"/>
        </w:rPr>
        <w:t xml:space="preserve"> </w:t>
      </w:r>
      <w:r>
        <w:rPr>
          <w:rFonts w:hint="eastAsia" w:ascii="宋体"/>
          <w:b/>
          <w:color w:val="auto"/>
          <w:szCs w:val="21"/>
          <w:highlight w:val="none"/>
        </w:rPr>
        <w:t>无效投标条款</w:t>
      </w:r>
    </w:p>
    <w:p w14:paraId="4C4B7412">
      <w:pPr>
        <w:shd w:val="clear"/>
        <w:snapToGrid w:val="0"/>
        <w:spacing w:line="400" w:lineRule="exact"/>
        <w:ind w:firstLine="525" w:firstLineChars="250"/>
        <w:rPr>
          <w:rFonts w:hint="eastAsia" w:ascii="宋体" w:cs="宋体"/>
          <w:color w:val="auto"/>
          <w:szCs w:val="21"/>
          <w:highlight w:val="none"/>
        </w:rPr>
      </w:pPr>
      <w:r>
        <w:rPr>
          <w:rFonts w:hint="eastAsia" w:ascii="宋体" w:cs="宋体"/>
          <w:color w:val="auto"/>
          <w:szCs w:val="21"/>
          <w:highlight w:val="none"/>
          <w:lang w:val="en-US" w:eastAsia="zh-CN"/>
        </w:rPr>
        <w:t>9</w:t>
      </w:r>
      <w:r>
        <w:rPr>
          <w:rFonts w:hint="eastAsia" w:ascii="宋体" w:cs="宋体"/>
          <w:color w:val="auto"/>
          <w:szCs w:val="21"/>
          <w:highlight w:val="none"/>
        </w:rPr>
        <w:t>.1投标文件有下列情形之一的,其投标文件拒收:</w:t>
      </w:r>
    </w:p>
    <w:p w14:paraId="27A02168">
      <w:pPr>
        <w:shd w:val="clear"/>
        <w:snapToGrid w:val="0"/>
        <w:spacing w:line="400" w:lineRule="exact"/>
        <w:ind w:firstLine="420"/>
        <w:rPr>
          <w:rFonts w:hint="eastAsia" w:ascii="宋体" w:hAnsi="宋体" w:cs="宋体"/>
          <w:b/>
          <w:bCs/>
          <w:color w:val="auto"/>
          <w:szCs w:val="21"/>
          <w:highlight w:val="none"/>
        </w:rPr>
      </w:pPr>
      <w:r>
        <w:rPr>
          <w:rFonts w:hint="eastAsia" w:ascii="宋体" w:cs="宋体"/>
          <w:color w:val="auto"/>
          <w:szCs w:val="21"/>
          <w:highlight w:val="none"/>
        </w:rPr>
        <w:t xml:space="preserve"> </w:t>
      </w:r>
      <w:r>
        <w:rPr>
          <w:rFonts w:hint="eastAsia" w:ascii="宋体" w:hAnsi="宋体" w:cs="宋体"/>
          <w:b/>
          <w:bCs/>
          <w:color w:val="auto"/>
          <w:szCs w:val="21"/>
          <w:highlight w:val="none"/>
        </w:rPr>
        <w:t>(1) 未在开标截止时间前通过网上招标投标系统递交有效电子投标文件的，开标系统不予接收，投标将被拒绝。</w:t>
      </w:r>
    </w:p>
    <w:p w14:paraId="3B92FBA3">
      <w:pPr>
        <w:shd w:val="clear"/>
        <w:snapToGrid w:val="0"/>
        <w:spacing w:line="400" w:lineRule="exact"/>
        <w:ind w:firstLine="420"/>
        <w:rPr>
          <w:rFonts w:hint="eastAsia" w:ascii="宋体" w:hAnsi="宋体" w:cs="宋体"/>
          <w:b/>
          <w:bCs/>
          <w:color w:val="auto"/>
          <w:szCs w:val="21"/>
          <w:highlight w:val="none"/>
        </w:rPr>
      </w:pPr>
      <w:r>
        <w:rPr>
          <w:rFonts w:hint="eastAsia" w:ascii="宋体" w:hAnsi="宋体" w:cs="宋体"/>
          <w:b/>
          <w:bCs/>
          <w:color w:val="auto"/>
          <w:szCs w:val="21"/>
          <w:highlight w:val="none"/>
        </w:rPr>
        <w:t>（2）投标企业接到远程解密指令后，须在规定时间内解密。因投标人自身原因导致投标文件在规定时间内未能解密、解密失败或解密超时，投标文件无效；解密时间：从本项目投标截止时间开始计时，至完成投标文件解密时间，不得超过</w:t>
      </w:r>
      <w:r>
        <w:rPr>
          <w:rFonts w:hint="eastAsia" w:ascii="宋体" w:hAnsi="宋体" w:cs="宋体"/>
          <w:b/>
          <w:bCs/>
          <w:color w:val="auto"/>
          <w:szCs w:val="21"/>
          <w:highlight w:val="none"/>
          <w:lang w:val="en-US" w:eastAsia="zh-CN"/>
        </w:rPr>
        <w:t>30</w:t>
      </w:r>
      <w:r>
        <w:rPr>
          <w:rFonts w:hint="eastAsia" w:ascii="宋体" w:hAnsi="宋体" w:cs="宋体"/>
          <w:b/>
          <w:bCs/>
          <w:color w:val="auto"/>
          <w:szCs w:val="21"/>
          <w:highlight w:val="none"/>
        </w:rPr>
        <w:t>分钟，否则投标文件将被拒绝。</w:t>
      </w:r>
    </w:p>
    <w:p w14:paraId="60948C98">
      <w:pPr>
        <w:keepNext w:val="0"/>
        <w:keepLines w:val="0"/>
        <w:pageBreakBefore w:val="0"/>
        <w:widowControl w:val="0"/>
        <w:shd w:val="clear"/>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.2投标人有下列情形之一的,资格审查后其投标作无效投标处理：</w:t>
      </w:r>
    </w:p>
    <w:p w14:paraId="5560F39C">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）投标人为本项目提供招标代理服务的；</w:t>
      </w:r>
    </w:p>
    <w:p w14:paraId="439C100A">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）投标人与在本项目代理机构存在相互任职或工作的；</w:t>
      </w:r>
    </w:p>
    <w:p w14:paraId="09E30463">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）评标专家无法查看并检验电子投标文件中相关资料的；</w:t>
      </w:r>
    </w:p>
    <w:p w14:paraId="3C99BAF6">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）联合体投标未提交联合体协议的；</w:t>
      </w:r>
    </w:p>
    <w:p w14:paraId="16A15BB6">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）被暂停营业的；</w:t>
      </w:r>
    </w:p>
    <w:p w14:paraId="348F6436">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）被暂停或取消投标资格的；</w:t>
      </w:r>
    </w:p>
    <w:p w14:paraId="6F19C305">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）财产被接管或冻结的；</w:t>
      </w:r>
    </w:p>
    <w:p w14:paraId="6F3BA6BB">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）投标人单位负责人为同一人或者存在控股、管理关系的不同单位的；</w:t>
      </w:r>
    </w:p>
    <w:p w14:paraId="2B286FDB">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）保证金不按第</w:t>
      </w:r>
      <w:r>
        <w:rPr>
          <w:rFonts w:hint="eastAsia" w:ascii="宋体" w:hAnsi="宋体" w:cs="宋体"/>
          <w:color w:val="auto"/>
          <w:szCs w:val="21"/>
          <w:highlight w:val="none"/>
          <w:lang w:val="en-US" w:eastAsia="zh-CN"/>
        </w:rPr>
        <w:t>一</w:t>
      </w:r>
      <w:r>
        <w:rPr>
          <w:rFonts w:hint="eastAsia" w:ascii="宋体" w:hAnsi="宋体" w:cs="宋体"/>
          <w:color w:val="auto"/>
          <w:szCs w:val="21"/>
          <w:highlight w:val="none"/>
        </w:rPr>
        <w:t>章“投标人须知”及其前附表要求提交投标保证金的；</w:t>
      </w:r>
    </w:p>
    <w:p w14:paraId="31DF76D0">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）投标人未办理省主体库登记入库手续的；</w:t>
      </w:r>
    </w:p>
    <w:p w14:paraId="27D6A744">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）投标人申请开具电子保函 MAC 地址一致的；</w:t>
      </w:r>
    </w:p>
    <w:p w14:paraId="430169FB">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）投标人基本资格条件和特定资格条件中有一项及以上不符合要求的；</w:t>
      </w:r>
    </w:p>
    <w:p w14:paraId="1C6FAF83">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47FA9328">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）其它情形，经评标委员会委提出按无效投标处理；</w:t>
      </w:r>
    </w:p>
    <w:p w14:paraId="1D9C701F">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）投标人投标MAC地址或投标人联系人或联系电话相同的，由评标委员会否决其投标，并进一步调查；</w:t>
      </w:r>
    </w:p>
    <w:p w14:paraId="4416314A">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rPr>
        <w:t>）投标人单方面出现其他投标人材料的；</w:t>
      </w:r>
    </w:p>
    <w:p w14:paraId="45E4C8BD">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17</w:t>
      </w:r>
      <w:r>
        <w:rPr>
          <w:rFonts w:hint="eastAsia" w:ascii="宋体" w:hAnsi="宋体" w:cs="宋体"/>
          <w:color w:val="auto"/>
          <w:szCs w:val="21"/>
          <w:highlight w:val="none"/>
        </w:rPr>
        <w:t>）招标文件规定的其它无效投标情形。</w:t>
      </w:r>
    </w:p>
    <w:p w14:paraId="56DF6123">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.3 投标人有下列情形之一的,符合性审查后其投标按无效投标处理：</w:t>
      </w:r>
    </w:p>
    <w:p w14:paraId="79D7196A">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）投标文件签字、盖章不全，经评标委员会一致认定对开评标内容有实质性影响的；</w:t>
      </w:r>
    </w:p>
    <w:p w14:paraId="71D14C6F">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）未按规定的格式填写</w:t>
      </w:r>
      <w:r>
        <w:rPr>
          <w:rFonts w:hint="eastAsia" w:ascii="宋体" w:hAnsi="宋体" w:cs="宋体"/>
          <w:color w:val="auto"/>
          <w:szCs w:val="21"/>
          <w:highlight w:val="none"/>
          <w:lang w:val="en-US" w:eastAsia="zh-CN"/>
        </w:rPr>
        <w:t>导致</w:t>
      </w:r>
      <w:r>
        <w:rPr>
          <w:rFonts w:hint="eastAsia" w:ascii="宋体" w:hAnsi="宋体" w:cs="宋体"/>
          <w:color w:val="auto"/>
          <w:szCs w:val="21"/>
          <w:highlight w:val="none"/>
        </w:rPr>
        <w:t>实质性内容不全</w:t>
      </w:r>
      <w:r>
        <w:rPr>
          <w:rFonts w:hint="eastAsia" w:ascii="宋体" w:hAnsi="宋体" w:cs="宋体"/>
          <w:color w:val="auto"/>
          <w:szCs w:val="21"/>
          <w:highlight w:val="none"/>
          <w:lang w:val="en-US" w:eastAsia="zh-CN"/>
        </w:rPr>
        <w:t>以及实质上不响应，</w:t>
      </w:r>
      <w:r>
        <w:rPr>
          <w:rFonts w:hint="eastAsia" w:ascii="宋体" w:hAnsi="宋体" w:cs="宋体"/>
          <w:color w:val="auto"/>
          <w:szCs w:val="21"/>
          <w:highlight w:val="none"/>
        </w:rPr>
        <w:t>或</w:t>
      </w:r>
      <w:r>
        <w:rPr>
          <w:rFonts w:hint="eastAsia" w:ascii="宋体" w:hAnsi="宋体" w:cs="宋体"/>
          <w:color w:val="auto"/>
          <w:szCs w:val="21"/>
          <w:highlight w:val="none"/>
          <w:lang w:val="en-US" w:eastAsia="zh-CN"/>
        </w:rPr>
        <w:t>者</w:t>
      </w:r>
      <w:r>
        <w:rPr>
          <w:rFonts w:hint="eastAsia" w:ascii="宋体" w:hAnsi="宋体" w:cs="宋体"/>
          <w:color w:val="auto"/>
          <w:szCs w:val="21"/>
          <w:highlight w:val="none"/>
        </w:rPr>
        <w:t>关键字迹模糊、无法辨认；</w:t>
      </w:r>
    </w:p>
    <w:p w14:paraId="66318CA2">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）同一投标人提交两个以上不同的投标文件或者投标报价，但招标文件规定提交备选方案的除外；</w:t>
      </w:r>
    </w:p>
    <w:p w14:paraId="7CC49093">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）投标文件没有对招标文件的实质性要求和条件作出响应;</w:t>
      </w:r>
    </w:p>
    <w:p w14:paraId="0C4016D3">
      <w:pPr>
        <w:keepNext w:val="0"/>
        <w:keepLines w:val="0"/>
        <w:pageBreakBefore w:val="0"/>
        <w:widowControl w:val="0"/>
        <w:shd w:val="clear"/>
        <w:kinsoku/>
        <w:wordWrap/>
        <w:overflowPunct/>
        <w:topLinePunct w:val="0"/>
        <w:autoSpaceDE/>
        <w:autoSpaceDN/>
        <w:bidi w:val="0"/>
        <w:adjustRightInd/>
        <w:spacing w:line="420" w:lineRule="exact"/>
        <w:ind w:right="-212" w:rightChars="-101" w:firstLine="420" w:firstLineChars="200"/>
        <w:jc w:val="left"/>
        <w:textAlignment w:val="auto"/>
        <w:rPr>
          <w:rFonts w:hint="eastAsia" w:ascii="宋体" w:hAnsi="宋体" w:cs="宋体"/>
          <w:b/>
          <w:bCs/>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）投标报价超出规定的投标限价或公布的采购预算的或投标人的投标报价各项单价高于招标文件给定的单价最高限价；</w:t>
      </w:r>
    </w:p>
    <w:p w14:paraId="651ECF07">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）不按评标委员会要求澄清、说明或补正的，或者评标委员会根据招标文件的规定对招标文件的计算错误进行修正后，投标人不接受修正的投标报价的。</w:t>
      </w:r>
    </w:p>
    <w:p w14:paraId="55085D86">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（7）其它情形，经评标委员会委提出按无效投标处理，并经公共资源交易监督部门核准的；</w:t>
      </w:r>
    </w:p>
    <w:p w14:paraId="46FF0A7C">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（8）投标文件含有招标人不能接受的附加条件的;</w:t>
      </w:r>
    </w:p>
    <w:p w14:paraId="280CABC2">
      <w:pPr>
        <w:keepNext w:val="0"/>
        <w:keepLines w:val="0"/>
        <w:pageBreakBefore w:val="0"/>
        <w:widowControl w:val="0"/>
        <w:shd w:val="clear"/>
        <w:tabs>
          <w:tab w:val="left" w:pos="1123"/>
        </w:tabs>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5C181207">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.4 投标人有下列情形之一的, 详细评审后其投标按无效投标处理：</w:t>
      </w:r>
    </w:p>
    <w:p w14:paraId="33F20186">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）投标产品不符合必须强制执行的国家标准的；</w:t>
      </w:r>
    </w:p>
    <w:p w14:paraId="089679DE">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）投标人有串通投标、弄虚作假、行贿等违法行为；</w:t>
      </w:r>
    </w:p>
    <w:p w14:paraId="67F9813B">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）投标文件含有违反国家法律、法规的内容，或附有招标人不能接受的条件的；</w:t>
      </w:r>
    </w:p>
    <w:p w14:paraId="154B8023">
      <w:pPr>
        <w:keepNext w:val="0"/>
        <w:keepLines w:val="0"/>
        <w:pageBreakBefore w:val="0"/>
        <w:widowControl w:val="0"/>
        <w:shd w:val="clear"/>
        <w:kinsoku/>
        <w:wordWrap/>
        <w:overflowPunct/>
        <w:topLinePunct w:val="0"/>
        <w:autoSpaceDE/>
        <w:autoSpaceDN/>
        <w:bidi w:val="0"/>
        <w:adjustRightInd/>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）报价明显低于其他投标人，且不能证明报价合理性的投标无效；</w:t>
      </w:r>
    </w:p>
    <w:p w14:paraId="65F25D2A">
      <w:pPr>
        <w:keepNext w:val="0"/>
        <w:keepLines w:val="0"/>
        <w:pageBreakBefore w:val="0"/>
        <w:widowControl w:val="0"/>
        <w:shd w:val="clear"/>
        <w:kinsoku/>
        <w:wordWrap/>
        <w:overflowPunct/>
        <w:topLinePunct w:val="0"/>
        <w:autoSpaceDE/>
        <w:autoSpaceDN/>
        <w:bidi w:val="0"/>
        <w:adjustRightInd/>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）拒不确认评标委员会评审修正的投标无效；</w:t>
      </w:r>
    </w:p>
    <w:p w14:paraId="76381DE8">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）其它情形，经评标委员会委提出按无效投标处理，并经公共资源交易监督部门核准的；</w:t>
      </w:r>
    </w:p>
    <w:p w14:paraId="095585C1">
      <w:pPr>
        <w:keepNext w:val="0"/>
        <w:keepLines w:val="0"/>
        <w:pageBreakBefore w:val="0"/>
        <w:widowControl w:val="0"/>
        <w:shd w:val="clear"/>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）招标文件规定的其它无效投标情形。</w:t>
      </w:r>
    </w:p>
    <w:p w14:paraId="03777D30">
      <w:pPr>
        <w:pStyle w:val="20"/>
        <w:shd w:val="clear"/>
        <w:rPr>
          <w:rFonts w:hint="eastAsia" w:ascii="宋体" w:hAnsi="宋体" w:eastAsia="宋体" w:cs="宋体"/>
          <w:color w:val="auto"/>
          <w:sz w:val="44"/>
          <w:szCs w:val="44"/>
          <w:highlight w:val="none"/>
          <w:lang w:val="en-US" w:eastAsia="zh-CN"/>
        </w:rPr>
      </w:pPr>
    </w:p>
    <w:p w14:paraId="3A388E20">
      <w:pPr>
        <w:pStyle w:val="20"/>
        <w:shd w:val="clear"/>
        <w:rPr>
          <w:rFonts w:hint="eastAsia" w:ascii="宋体" w:hAnsi="宋体" w:eastAsia="宋体" w:cs="宋体"/>
          <w:color w:val="auto"/>
          <w:sz w:val="44"/>
          <w:szCs w:val="44"/>
          <w:highlight w:val="none"/>
          <w:lang w:val="en-US" w:eastAsia="zh-CN"/>
        </w:rPr>
      </w:pPr>
    </w:p>
    <w:p w14:paraId="64CFA162">
      <w:pPr>
        <w:pStyle w:val="20"/>
        <w:shd w:val="clear"/>
        <w:rPr>
          <w:rFonts w:hint="eastAsia" w:ascii="宋体" w:hAnsi="宋体" w:eastAsia="宋体" w:cs="宋体"/>
          <w:color w:val="auto"/>
          <w:sz w:val="44"/>
          <w:szCs w:val="44"/>
          <w:highlight w:val="none"/>
          <w:lang w:val="en-US" w:eastAsia="zh-CN"/>
        </w:rPr>
      </w:pPr>
    </w:p>
    <w:p w14:paraId="0ECCCC3E">
      <w:pPr>
        <w:pStyle w:val="20"/>
        <w:shd w:val="clear"/>
        <w:rPr>
          <w:rFonts w:hint="eastAsia" w:ascii="宋体" w:hAnsi="宋体" w:eastAsia="宋体" w:cs="宋体"/>
          <w:color w:val="auto"/>
          <w:sz w:val="44"/>
          <w:szCs w:val="44"/>
          <w:highlight w:val="none"/>
          <w:lang w:val="en-US" w:eastAsia="zh-CN"/>
        </w:rPr>
      </w:pPr>
    </w:p>
    <w:p w14:paraId="37917ACD">
      <w:pPr>
        <w:pStyle w:val="20"/>
        <w:shd w:val="clear"/>
        <w:rPr>
          <w:rFonts w:hint="eastAsia" w:ascii="宋体" w:hAnsi="宋体" w:eastAsia="宋体" w:cs="宋体"/>
          <w:color w:val="auto"/>
          <w:sz w:val="44"/>
          <w:szCs w:val="44"/>
          <w:highlight w:val="none"/>
          <w:lang w:val="en-US" w:eastAsia="zh-CN"/>
        </w:rPr>
      </w:pPr>
    </w:p>
    <w:p w14:paraId="3CDCCD24">
      <w:pPr>
        <w:pStyle w:val="20"/>
        <w:shd w:val="clear"/>
        <w:rPr>
          <w:rFonts w:hint="eastAsia" w:ascii="宋体" w:hAnsi="宋体" w:eastAsia="宋体" w:cs="宋体"/>
          <w:color w:val="auto"/>
          <w:sz w:val="44"/>
          <w:szCs w:val="44"/>
          <w:highlight w:val="none"/>
          <w:lang w:val="en-US" w:eastAsia="zh-CN"/>
        </w:rPr>
      </w:pPr>
    </w:p>
    <w:p w14:paraId="7DD5020C">
      <w:pPr>
        <w:pStyle w:val="20"/>
        <w:shd w:val="clear"/>
        <w:rPr>
          <w:rFonts w:hint="eastAsia" w:ascii="宋体" w:hAnsi="宋体" w:eastAsia="宋体" w:cs="宋体"/>
          <w:color w:val="auto"/>
          <w:sz w:val="44"/>
          <w:szCs w:val="44"/>
          <w:highlight w:val="none"/>
          <w:lang w:val="en-US" w:eastAsia="zh-CN"/>
        </w:rPr>
      </w:pPr>
    </w:p>
    <w:p w14:paraId="595FB4B2">
      <w:pPr>
        <w:pStyle w:val="20"/>
        <w:shd w:val="clear"/>
        <w:rPr>
          <w:rFonts w:hint="eastAsia" w:ascii="宋体" w:hAnsi="宋体" w:eastAsia="宋体" w:cs="宋体"/>
          <w:color w:val="auto"/>
          <w:sz w:val="44"/>
          <w:szCs w:val="44"/>
          <w:highlight w:val="none"/>
          <w:lang w:val="en-US" w:eastAsia="zh-CN"/>
        </w:rPr>
      </w:pPr>
    </w:p>
    <w:p w14:paraId="5ADC6328">
      <w:pPr>
        <w:pStyle w:val="20"/>
        <w:shd w:val="clear"/>
        <w:rPr>
          <w:rFonts w:hint="eastAsia" w:ascii="宋体" w:hAnsi="宋体" w:eastAsia="宋体" w:cs="宋体"/>
          <w:color w:val="auto"/>
          <w:sz w:val="44"/>
          <w:szCs w:val="44"/>
          <w:highlight w:val="none"/>
          <w:lang w:val="en-US" w:eastAsia="zh-CN"/>
        </w:rPr>
      </w:pPr>
    </w:p>
    <w:p w14:paraId="321C2703">
      <w:pPr>
        <w:pStyle w:val="20"/>
        <w:shd w:val="clear"/>
        <w:rPr>
          <w:rFonts w:hint="eastAsia" w:ascii="宋体" w:hAnsi="宋体" w:eastAsia="宋体" w:cs="宋体"/>
          <w:color w:val="auto"/>
          <w:sz w:val="44"/>
          <w:szCs w:val="44"/>
          <w:highlight w:val="none"/>
          <w:lang w:val="en-US" w:eastAsia="zh-CN"/>
        </w:rPr>
      </w:pPr>
    </w:p>
    <w:p w14:paraId="25EF230B">
      <w:pPr>
        <w:pStyle w:val="20"/>
        <w:shd w:val="clear"/>
        <w:rPr>
          <w:rFonts w:hint="eastAsia" w:ascii="宋体" w:hAnsi="宋体" w:eastAsia="宋体" w:cs="宋体"/>
          <w:color w:val="auto"/>
          <w:sz w:val="44"/>
          <w:szCs w:val="44"/>
          <w:highlight w:val="none"/>
          <w:lang w:val="en-US" w:eastAsia="zh-CN"/>
        </w:rPr>
      </w:pPr>
    </w:p>
    <w:p w14:paraId="49EB3E1A">
      <w:pPr>
        <w:pStyle w:val="6"/>
        <w:numPr>
          <w:ilvl w:val="0"/>
          <w:numId w:val="0"/>
        </w:numPr>
        <w:shd w:val="clear"/>
        <w:spacing w:before="0" w:after="0"/>
        <w:outlineLvl w:val="0"/>
        <w:rPr>
          <w:rFonts w:hint="eastAsia" w:ascii="宋体" w:hAnsi="宋体" w:eastAsia="宋体" w:cs="宋体"/>
          <w:color w:val="auto"/>
          <w:sz w:val="44"/>
          <w:szCs w:val="44"/>
          <w:highlight w:val="none"/>
          <w:lang w:val="en-US" w:eastAsia="zh-CN"/>
        </w:rPr>
      </w:pPr>
      <w:r>
        <w:rPr>
          <w:rFonts w:hint="eastAsia" w:ascii="宋体" w:hAnsi="宋体" w:eastAsia="宋体" w:cs="宋体"/>
          <w:color w:val="auto"/>
          <w:sz w:val="44"/>
          <w:szCs w:val="44"/>
          <w:highlight w:val="none"/>
          <w:lang w:val="en-US" w:eastAsia="zh-CN"/>
        </w:rPr>
        <w:t xml:space="preserve">第五章 </w:t>
      </w:r>
      <w:bookmarkStart w:id="33" w:name="_Toc7727"/>
      <w:r>
        <w:rPr>
          <w:rFonts w:hint="eastAsia" w:ascii="宋体" w:hAnsi="宋体" w:eastAsia="宋体" w:cs="宋体"/>
          <w:color w:val="auto"/>
          <w:sz w:val="44"/>
          <w:szCs w:val="44"/>
          <w:highlight w:val="none"/>
          <w:lang w:val="en-US" w:eastAsia="zh-CN"/>
        </w:rPr>
        <w:t>合同条款</w:t>
      </w:r>
      <w:bookmarkEnd w:id="14"/>
      <w:bookmarkEnd w:id="15"/>
      <w:bookmarkEnd w:id="16"/>
      <w:bookmarkEnd w:id="33"/>
    </w:p>
    <w:p w14:paraId="0B7D3C20">
      <w:pPr>
        <w:numPr>
          <w:ilvl w:val="0"/>
          <w:numId w:val="0"/>
        </w:numPr>
        <w:shd w:val="clear"/>
        <w:rPr>
          <w:rFonts w:hint="eastAsia"/>
          <w:color w:val="auto"/>
          <w:highlight w:val="none"/>
          <w:lang w:val="en-US" w:eastAsia="zh-CN"/>
        </w:rPr>
      </w:pPr>
    </w:p>
    <w:p w14:paraId="3F7D0813">
      <w:pPr>
        <w:shd w:val="clear"/>
        <w:spacing w:line="360" w:lineRule="auto"/>
        <w:jc w:val="center"/>
        <w:rPr>
          <w:rFonts w:ascii="宋体" w:hAnsi="宋体"/>
          <w:color w:val="auto"/>
          <w:w w:val="90"/>
          <w:sz w:val="72"/>
          <w:szCs w:val="52"/>
          <w:highlight w:val="none"/>
        </w:rPr>
      </w:pPr>
      <w:bookmarkStart w:id="34" w:name="_Toc31238"/>
      <w:r>
        <w:rPr>
          <w:rFonts w:hint="eastAsia" w:ascii="宋体" w:hAnsi="宋体"/>
          <w:color w:val="auto"/>
          <w:w w:val="90"/>
          <w:sz w:val="72"/>
          <w:szCs w:val="52"/>
          <w:highlight w:val="none"/>
        </w:rPr>
        <w:t>建设工程造价咨询合同</w:t>
      </w:r>
    </w:p>
    <w:p w14:paraId="6C203A05">
      <w:pPr>
        <w:shd w:val="clear"/>
        <w:jc w:val="center"/>
        <w:rPr>
          <w:rFonts w:hint="eastAsia" w:ascii="宋体" w:hAnsi="宋体"/>
          <w:color w:val="auto"/>
          <w:sz w:val="52"/>
          <w:szCs w:val="52"/>
          <w:highlight w:val="none"/>
        </w:rPr>
      </w:pPr>
      <w:r>
        <w:rPr>
          <w:rFonts w:hint="eastAsia" w:ascii="宋体" w:hAnsi="宋体"/>
          <w:color w:val="auto"/>
          <w:sz w:val="52"/>
          <w:szCs w:val="52"/>
          <w:highlight w:val="none"/>
        </w:rPr>
        <w:t>（结算审计复核）</w:t>
      </w:r>
    </w:p>
    <w:p w14:paraId="331CFCF8">
      <w:pPr>
        <w:shd w:val="clear"/>
        <w:jc w:val="center"/>
        <w:rPr>
          <w:rFonts w:ascii="宋体" w:hAnsi="宋体"/>
          <w:color w:val="auto"/>
          <w:sz w:val="72"/>
          <w:szCs w:val="72"/>
          <w:highlight w:val="none"/>
        </w:rPr>
      </w:pPr>
    </w:p>
    <w:p w14:paraId="07C9090D">
      <w:pPr>
        <w:shd w:val="clear"/>
        <w:jc w:val="center"/>
        <w:rPr>
          <w:rFonts w:ascii="宋体" w:hAnsi="宋体"/>
          <w:color w:val="auto"/>
          <w:sz w:val="72"/>
          <w:szCs w:val="72"/>
          <w:highlight w:val="none"/>
        </w:rPr>
      </w:pPr>
    </w:p>
    <w:p w14:paraId="19484DAE">
      <w:pPr>
        <w:shd w:val="clear"/>
        <w:jc w:val="center"/>
        <w:rPr>
          <w:rFonts w:ascii="宋体" w:hAnsi="宋体"/>
          <w:color w:val="auto"/>
          <w:sz w:val="72"/>
          <w:szCs w:val="72"/>
          <w:highlight w:val="none"/>
        </w:rPr>
      </w:pPr>
    </w:p>
    <w:p w14:paraId="79D42971">
      <w:pPr>
        <w:pStyle w:val="2"/>
        <w:shd w:val="clear"/>
        <w:rPr>
          <w:color w:val="auto"/>
          <w:highlight w:val="none"/>
        </w:rPr>
      </w:pPr>
    </w:p>
    <w:p w14:paraId="52A899A2">
      <w:pPr>
        <w:shd w:val="clear"/>
        <w:rPr>
          <w:color w:val="auto"/>
          <w:highlight w:val="none"/>
        </w:rPr>
      </w:pPr>
    </w:p>
    <w:p w14:paraId="30C581A2">
      <w:pPr>
        <w:pStyle w:val="2"/>
        <w:shd w:val="clear"/>
        <w:rPr>
          <w:color w:val="auto"/>
          <w:highlight w:val="none"/>
        </w:rPr>
      </w:pPr>
    </w:p>
    <w:p w14:paraId="0DEF413E">
      <w:pPr>
        <w:shd w:val="clear"/>
        <w:rPr>
          <w:color w:val="auto"/>
          <w:highlight w:val="none"/>
        </w:rPr>
      </w:pPr>
    </w:p>
    <w:p w14:paraId="72BC5573">
      <w:pPr>
        <w:shd w:val="clear"/>
        <w:spacing w:line="240" w:lineRule="exact"/>
        <w:jc w:val="center"/>
        <w:rPr>
          <w:rFonts w:ascii="宋体" w:hAnsi="宋体"/>
          <w:color w:val="auto"/>
          <w:sz w:val="72"/>
          <w:szCs w:val="72"/>
          <w:highlight w:val="none"/>
        </w:rPr>
      </w:pPr>
    </w:p>
    <w:p w14:paraId="0A008A9D">
      <w:pPr>
        <w:shd w:val="clear"/>
        <w:spacing w:line="240" w:lineRule="exact"/>
        <w:jc w:val="center"/>
        <w:rPr>
          <w:rFonts w:ascii="宋体" w:hAnsi="宋体"/>
          <w:color w:val="auto"/>
          <w:sz w:val="72"/>
          <w:szCs w:val="72"/>
          <w:highlight w:val="none"/>
        </w:rPr>
      </w:pPr>
    </w:p>
    <w:p w14:paraId="101987EC">
      <w:pPr>
        <w:shd w:val="clear"/>
        <w:spacing w:line="800" w:lineRule="exact"/>
        <w:rPr>
          <w:rFonts w:hint="eastAsia" w:ascii="宋体" w:hAnsi="宋体" w:eastAsia="宋体"/>
          <w:color w:val="auto"/>
          <w:sz w:val="36"/>
          <w:szCs w:val="30"/>
          <w:highlight w:val="none"/>
          <w:u w:val="single"/>
          <w:lang w:val="en-US" w:eastAsia="zh-CN"/>
        </w:rPr>
      </w:pPr>
      <w:r>
        <w:rPr>
          <w:rFonts w:hint="eastAsia" w:ascii="宋体" w:hAnsi="宋体"/>
          <w:color w:val="auto"/>
          <w:sz w:val="36"/>
          <w:szCs w:val="30"/>
          <w:highlight w:val="none"/>
        </w:rPr>
        <w:t>委托人：</w:t>
      </w:r>
      <w:r>
        <w:rPr>
          <w:rFonts w:hint="eastAsia" w:ascii="宋体" w:hAnsi="宋体"/>
          <w:color w:val="auto"/>
          <w:sz w:val="36"/>
          <w:szCs w:val="30"/>
          <w:highlight w:val="none"/>
          <w:u w:val="single"/>
          <w:lang w:eastAsia="zh-CN"/>
        </w:rPr>
        <w:t>安徽省琅琊山旅游发展有限公司</w:t>
      </w:r>
      <w:r>
        <w:rPr>
          <w:rFonts w:hint="eastAsia" w:ascii="宋体" w:hAnsi="宋体"/>
          <w:color w:val="auto"/>
          <w:sz w:val="36"/>
          <w:szCs w:val="30"/>
          <w:highlight w:val="none"/>
          <w:u w:val="single"/>
          <w:lang w:val="en-US" w:eastAsia="zh-CN"/>
        </w:rPr>
        <w:t xml:space="preserve"> </w:t>
      </w:r>
    </w:p>
    <w:p w14:paraId="5BE1E872">
      <w:pPr>
        <w:shd w:val="clear"/>
        <w:spacing w:line="800" w:lineRule="exact"/>
        <w:rPr>
          <w:rFonts w:hint="eastAsia" w:ascii="宋体" w:hAnsi="宋体" w:eastAsia="宋体" w:cs="Times New Roman"/>
          <w:color w:val="auto"/>
          <w:sz w:val="36"/>
          <w:szCs w:val="30"/>
          <w:highlight w:val="none"/>
        </w:rPr>
      </w:pPr>
      <w:r>
        <w:rPr>
          <w:rFonts w:hint="eastAsia" w:ascii="宋体" w:hAnsi="宋体" w:eastAsia="宋体" w:cs="Times New Roman"/>
          <w:color w:val="auto"/>
          <w:sz w:val="36"/>
          <w:szCs w:val="30"/>
          <w:highlight w:val="none"/>
        </w:rPr>
        <w:t>受托人：</w:t>
      </w:r>
      <w:r>
        <w:rPr>
          <w:rFonts w:hint="eastAsia" w:ascii="宋体" w:hAnsi="宋体" w:eastAsia="宋体" w:cs="宋体"/>
          <w:color w:val="auto"/>
          <w:kern w:val="0"/>
          <w:sz w:val="28"/>
          <w:szCs w:val="28"/>
          <w:highlight w:val="none"/>
          <w:u w:val="single"/>
          <w:lang w:val="en-US" w:eastAsia="zh-CN"/>
        </w:rPr>
        <w:t xml:space="preserve">                              .</w:t>
      </w:r>
      <w:r>
        <w:rPr>
          <w:rFonts w:ascii="宋体" w:hAnsi="宋体"/>
          <w:color w:val="auto"/>
          <w:sz w:val="36"/>
          <w:szCs w:val="30"/>
          <w:highlight w:val="none"/>
          <w:u w:val="single"/>
        </w:rPr>
        <w:t xml:space="preserve"> </w:t>
      </w:r>
      <w:r>
        <w:rPr>
          <w:rFonts w:hint="eastAsia" w:ascii="宋体" w:hAnsi="宋体"/>
          <w:color w:val="auto"/>
          <w:sz w:val="36"/>
          <w:szCs w:val="30"/>
          <w:highlight w:val="none"/>
          <w:u w:val="single"/>
        </w:rPr>
        <w:t xml:space="preserve">   </w:t>
      </w:r>
      <w:r>
        <w:rPr>
          <w:rFonts w:ascii="宋体" w:hAnsi="宋体"/>
          <w:color w:val="auto"/>
          <w:sz w:val="36"/>
          <w:szCs w:val="30"/>
          <w:highlight w:val="none"/>
          <w:u w:val="single"/>
        </w:rPr>
        <w:t xml:space="preserve">  </w:t>
      </w:r>
      <w:r>
        <w:rPr>
          <w:rFonts w:hint="eastAsia" w:ascii="宋体" w:hAnsi="宋体" w:eastAsia="宋体"/>
          <w:color w:val="auto"/>
          <w:sz w:val="36"/>
          <w:szCs w:val="30"/>
          <w:highlight w:val="none"/>
          <w:u w:val="single"/>
          <w:lang w:val="en-US" w:eastAsia="zh-CN"/>
        </w:rPr>
        <w:t xml:space="preserve">                            </w:t>
      </w:r>
      <w:r>
        <w:rPr>
          <w:rFonts w:hint="eastAsia" w:ascii="宋体" w:hAnsi="宋体" w:eastAsia="宋体" w:cs="Times New Roman"/>
          <w:color w:val="auto"/>
          <w:sz w:val="36"/>
          <w:szCs w:val="30"/>
          <w:highlight w:val="none"/>
          <w:u w:val="single"/>
        </w:rPr>
        <w:t xml:space="preserve">  </w:t>
      </w:r>
      <w:r>
        <w:rPr>
          <w:rFonts w:hint="eastAsia" w:ascii="宋体" w:hAnsi="宋体" w:eastAsia="宋体" w:cs="Times New Roman"/>
          <w:color w:val="auto"/>
          <w:sz w:val="36"/>
          <w:szCs w:val="30"/>
          <w:highlight w:val="none"/>
          <w:u w:val="single"/>
          <w:lang w:val="en-US" w:eastAsia="zh-CN"/>
        </w:rPr>
        <w:t xml:space="preserve">    </w:t>
      </w:r>
      <w:r>
        <w:rPr>
          <w:rFonts w:hint="eastAsia" w:ascii="宋体" w:hAnsi="宋体" w:eastAsia="宋体" w:cs="Times New Roman"/>
          <w:color w:val="auto"/>
          <w:sz w:val="36"/>
          <w:szCs w:val="30"/>
          <w:highlight w:val="none"/>
          <w:u w:val="single"/>
        </w:rPr>
        <w:t xml:space="preserve">          </w:t>
      </w:r>
      <w:r>
        <w:rPr>
          <w:rFonts w:hint="eastAsia" w:ascii="宋体" w:hAnsi="宋体" w:eastAsia="宋体" w:cs="Times New Roman"/>
          <w:color w:val="auto"/>
          <w:sz w:val="36"/>
          <w:szCs w:val="30"/>
          <w:highlight w:val="none"/>
        </w:rPr>
        <w:t xml:space="preserve">        </w:t>
      </w:r>
    </w:p>
    <w:p w14:paraId="74C0F56A">
      <w:pPr>
        <w:shd w:val="clear"/>
        <w:spacing w:line="800" w:lineRule="exact"/>
        <w:rPr>
          <w:rFonts w:hint="eastAsia" w:ascii="宋体" w:hAnsi="宋体" w:eastAsia="宋体" w:cs="Times New Roman"/>
          <w:color w:val="auto"/>
          <w:sz w:val="32"/>
          <w:szCs w:val="28"/>
          <w:highlight w:val="none"/>
          <w:u w:val="single"/>
          <w:lang w:val="en-US" w:eastAsia="zh-CN"/>
        </w:rPr>
      </w:pPr>
      <w:r>
        <w:rPr>
          <w:rFonts w:hint="eastAsia" w:ascii="宋体" w:hAnsi="宋体"/>
          <w:color w:val="auto"/>
          <w:sz w:val="36"/>
          <w:szCs w:val="30"/>
          <w:highlight w:val="none"/>
        </w:rPr>
        <w:t>工程名称：</w:t>
      </w:r>
      <w:r>
        <w:rPr>
          <w:rFonts w:hint="eastAsia" w:ascii="宋体" w:hAnsi="宋体"/>
          <w:color w:val="auto"/>
          <w:sz w:val="32"/>
          <w:szCs w:val="28"/>
          <w:highlight w:val="none"/>
          <w:u w:val="single"/>
          <w:lang w:eastAsia="zh-CN"/>
        </w:rPr>
        <w:t>琅琊山南门民宿等四个项目结算复核服务项目</w:t>
      </w:r>
    </w:p>
    <w:p w14:paraId="58150708">
      <w:pPr>
        <w:shd w:val="clear"/>
        <w:spacing w:line="800" w:lineRule="exact"/>
        <w:rPr>
          <w:rFonts w:hint="eastAsia" w:ascii="宋体" w:hAnsi="宋体"/>
          <w:color w:val="auto"/>
          <w:sz w:val="36"/>
          <w:szCs w:val="30"/>
          <w:highlight w:val="none"/>
        </w:rPr>
      </w:pPr>
      <w:r>
        <w:rPr>
          <w:rFonts w:hint="eastAsia" w:ascii="宋体" w:hAnsi="宋体"/>
          <w:color w:val="auto"/>
          <w:sz w:val="36"/>
          <w:szCs w:val="30"/>
          <w:highlight w:val="none"/>
        </w:rPr>
        <w:t>签订时间：</w:t>
      </w:r>
      <w:r>
        <w:rPr>
          <w:rFonts w:ascii="宋体" w:hAnsi="宋体"/>
          <w:color w:val="auto"/>
          <w:sz w:val="36"/>
          <w:szCs w:val="30"/>
          <w:highlight w:val="none"/>
          <w:u w:val="single"/>
        </w:rPr>
        <w:t xml:space="preserve"> 20</w:t>
      </w:r>
      <w:r>
        <w:rPr>
          <w:rFonts w:hint="eastAsia" w:ascii="宋体" w:hAnsi="宋体"/>
          <w:color w:val="auto"/>
          <w:sz w:val="36"/>
          <w:szCs w:val="30"/>
          <w:highlight w:val="none"/>
          <w:u w:val="single"/>
        </w:rPr>
        <w:t>2</w:t>
      </w:r>
      <w:r>
        <w:rPr>
          <w:rFonts w:hint="eastAsia" w:ascii="宋体" w:hAnsi="宋体"/>
          <w:color w:val="auto"/>
          <w:sz w:val="36"/>
          <w:szCs w:val="30"/>
          <w:highlight w:val="none"/>
          <w:u w:val="single"/>
          <w:lang w:val="en-US" w:eastAsia="zh-CN"/>
        </w:rPr>
        <w:t>5</w:t>
      </w:r>
      <w:r>
        <w:rPr>
          <w:rFonts w:hint="eastAsia" w:ascii="宋体" w:hAnsi="宋体"/>
          <w:color w:val="auto"/>
          <w:sz w:val="36"/>
          <w:szCs w:val="30"/>
          <w:highlight w:val="none"/>
        </w:rPr>
        <w:t>年</w:t>
      </w:r>
      <w:r>
        <w:rPr>
          <w:rFonts w:ascii="宋体" w:hAnsi="宋体"/>
          <w:color w:val="auto"/>
          <w:sz w:val="36"/>
          <w:szCs w:val="30"/>
          <w:highlight w:val="none"/>
          <w:u w:val="single"/>
        </w:rPr>
        <w:t xml:space="preserve">  </w:t>
      </w:r>
      <w:r>
        <w:rPr>
          <w:rFonts w:hint="eastAsia" w:ascii="宋体" w:hAnsi="宋体"/>
          <w:color w:val="auto"/>
          <w:sz w:val="36"/>
          <w:szCs w:val="30"/>
          <w:highlight w:val="none"/>
          <w:u w:val="single"/>
        </w:rPr>
        <w:t xml:space="preserve">   </w:t>
      </w:r>
      <w:r>
        <w:rPr>
          <w:rFonts w:ascii="宋体" w:hAnsi="宋体"/>
          <w:color w:val="auto"/>
          <w:sz w:val="36"/>
          <w:szCs w:val="30"/>
          <w:highlight w:val="none"/>
          <w:u w:val="single"/>
        </w:rPr>
        <w:t xml:space="preserve"> </w:t>
      </w:r>
      <w:r>
        <w:rPr>
          <w:rFonts w:hint="eastAsia" w:ascii="宋体" w:hAnsi="宋体"/>
          <w:color w:val="auto"/>
          <w:sz w:val="36"/>
          <w:szCs w:val="30"/>
          <w:highlight w:val="none"/>
        </w:rPr>
        <w:t>月</w:t>
      </w:r>
      <w:r>
        <w:rPr>
          <w:rFonts w:ascii="宋体" w:hAnsi="宋体"/>
          <w:color w:val="auto"/>
          <w:sz w:val="36"/>
          <w:szCs w:val="30"/>
          <w:highlight w:val="none"/>
          <w:u w:val="single"/>
        </w:rPr>
        <w:t xml:space="preserve"> </w:t>
      </w:r>
      <w:r>
        <w:rPr>
          <w:rFonts w:hint="eastAsia" w:ascii="宋体" w:hAnsi="宋体"/>
          <w:color w:val="auto"/>
          <w:sz w:val="36"/>
          <w:szCs w:val="30"/>
          <w:highlight w:val="none"/>
          <w:u w:val="single"/>
        </w:rPr>
        <w:t xml:space="preserve">   </w:t>
      </w:r>
      <w:r>
        <w:rPr>
          <w:rFonts w:ascii="宋体" w:hAnsi="宋体"/>
          <w:color w:val="auto"/>
          <w:sz w:val="36"/>
          <w:szCs w:val="30"/>
          <w:highlight w:val="none"/>
          <w:u w:val="single"/>
        </w:rPr>
        <w:t xml:space="preserve">  </w:t>
      </w:r>
      <w:r>
        <w:rPr>
          <w:rFonts w:hint="eastAsia" w:ascii="宋体" w:hAnsi="宋体"/>
          <w:color w:val="auto"/>
          <w:sz w:val="36"/>
          <w:szCs w:val="30"/>
          <w:highlight w:val="none"/>
        </w:rPr>
        <w:t>日</w:t>
      </w:r>
    </w:p>
    <w:p w14:paraId="006C28CA">
      <w:pPr>
        <w:pStyle w:val="2"/>
        <w:shd w:val="clear"/>
        <w:rPr>
          <w:color w:val="auto"/>
          <w:highlight w:val="none"/>
        </w:rPr>
      </w:pPr>
    </w:p>
    <w:p w14:paraId="12340517">
      <w:pPr>
        <w:pStyle w:val="6"/>
        <w:shd w:val="clear"/>
        <w:spacing w:line="240" w:lineRule="auto"/>
        <w:rPr>
          <w:rFonts w:hint="eastAsia" w:ascii="宋体" w:hAnsi="宋体"/>
          <w:b w:val="0"/>
          <w:color w:val="auto"/>
          <w:sz w:val="44"/>
          <w:szCs w:val="44"/>
          <w:highlight w:val="none"/>
        </w:rPr>
      </w:pPr>
      <w:r>
        <w:rPr>
          <w:rFonts w:hint="eastAsia" w:ascii="宋体" w:hAnsi="宋体"/>
          <w:b w:val="0"/>
          <w:color w:val="auto"/>
          <w:highlight w:val="none"/>
        </w:rPr>
        <w:br w:type="page"/>
      </w:r>
      <w:bookmarkStart w:id="35" w:name="_Toc27645"/>
      <w:r>
        <w:rPr>
          <w:rFonts w:hint="eastAsia" w:ascii="宋体" w:hAnsi="宋体"/>
          <w:b w:val="0"/>
          <w:color w:val="auto"/>
          <w:sz w:val="44"/>
          <w:szCs w:val="44"/>
          <w:highlight w:val="none"/>
        </w:rPr>
        <w:t>结算审计复核委托协议</w:t>
      </w:r>
      <w:bookmarkEnd w:id="35"/>
    </w:p>
    <w:p w14:paraId="75CF1EC3">
      <w:pPr>
        <w:shd w:val="clear"/>
        <w:adjustRightInd w:val="0"/>
        <w:snapToGrid w:val="0"/>
        <w:jc w:val="left"/>
        <w:rPr>
          <w:rFonts w:ascii="宋体" w:hAnsi="宋体"/>
          <w:color w:val="auto"/>
          <w:sz w:val="18"/>
          <w:szCs w:val="18"/>
          <w:highlight w:val="none"/>
        </w:rPr>
      </w:pPr>
    </w:p>
    <w:p w14:paraId="7B679965">
      <w:pPr>
        <w:shd w:val="clear"/>
        <w:adjustRightInd w:val="0"/>
        <w:snapToGrid w:val="0"/>
        <w:spacing w:line="360" w:lineRule="auto"/>
        <w:jc w:val="left"/>
        <w:rPr>
          <w:rFonts w:ascii="宋体" w:hAnsi="宋体"/>
          <w:color w:val="auto"/>
          <w:sz w:val="30"/>
          <w:szCs w:val="30"/>
          <w:highlight w:val="none"/>
        </w:rPr>
      </w:pPr>
      <w:r>
        <w:rPr>
          <w:rFonts w:hint="eastAsia" w:ascii="宋体" w:hAnsi="宋体"/>
          <w:color w:val="auto"/>
          <w:sz w:val="30"/>
          <w:szCs w:val="30"/>
          <w:highlight w:val="none"/>
        </w:rPr>
        <w:t>委托人（全称）：</w:t>
      </w:r>
      <w:r>
        <w:rPr>
          <w:rFonts w:hint="eastAsia" w:ascii="宋体" w:hAnsi="宋体" w:cs="仿宋_GB2312"/>
          <w:color w:val="auto"/>
          <w:sz w:val="30"/>
          <w:szCs w:val="30"/>
          <w:highlight w:val="none"/>
          <w:u w:val="single"/>
          <w:lang w:eastAsia="zh-CN"/>
        </w:rPr>
        <w:t>安徽省琅琊山旅游发展有限公司</w:t>
      </w:r>
      <w:r>
        <w:rPr>
          <w:rFonts w:ascii="宋体" w:hAnsi="宋体" w:cs="仿宋_GB2312"/>
          <w:color w:val="auto"/>
          <w:sz w:val="30"/>
          <w:szCs w:val="30"/>
          <w:highlight w:val="none"/>
          <w:u w:val="single"/>
        </w:rPr>
        <w:t xml:space="preserve"> </w:t>
      </w:r>
    </w:p>
    <w:p w14:paraId="32163DD3">
      <w:pPr>
        <w:shd w:val="clear"/>
        <w:adjustRightInd w:val="0"/>
        <w:snapToGrid w:val="0"/>
        <w:spacing w:line="360" w:lineRule="auto"/>
        <w:rPr>
          <w:rFonts w:ascii="宋体" w:hAnsi="宋体"/>
          <w:color w:val="auto"/>
          <w:sz w:val="30"/>
          <w:szCs w:val="30"/>
          <w:highlight w:val="none"/>
        </w:rPr>
      </w:pPr>
      <w:r>
        <w:rPr>
          <w:rFonts w:hint="eastAsia" w:ascii="宋体" w:hAnsi="宋体"/>
          <w:color w:val="auto"/>
          <w:sz w:val="30"/>
          <w:szCs w:val="30"/>
          <w:highlight w:val="none"/>
        </w:rPr>
        <w:t>受托人（全称）：</w:t>
      </w:r>
      <w:r>
        <w:rPr>
          <w:rFonts w:hint="eastAsia" w:ascii="宋体" w:hAnsi="宋体" w:eastAsia="宋体" w:cs="宋体"/>
          <w:color w:val="auto"/>
          <w:kern w:val="0"/>
          <w:sz w:val="28"/>
          <w:szCs w:val="28"/>
          <w:highlight w:val="none"/>
          <w:u w:val="single"/>
          <w:lang w:val="en-US" w:eastAsia="zh-CN"/>
        </w:rPr>
        <w:t xml:space="preserve">                   .</w:t>
      </w:r>
      <w:r>
        <w:rPr>
          <w:rFonts w:hint="eastAsia" w:ascii="宋体" w:hAnsi="宋体"/>
          <w:color w:val="auto"/>
          <w:sz w:val="30"/>
          <w:szCs w:val="30"/>
          <w:highlight w:val="none"/>
        </w:rPr>
        <w:t xml:space="preserve"> </w:t>
      </w:r>
      <w:r>
        <w:rPr>
          <w:rFonts w:hint="eastAsia" w:ascii="宋体" w:hAnsi="宋体"/>
          <w:color w:val="auto"/>
          <w:sz w:val="30"/>
          <w:szCs w:val="30"/>
          <w:highlight w:val="none"/>
          <w:u w:val="single"/>
        </w:rPr>
        <w:t xml:space="preserve">                       </w:t>
      </w:r>
      <w:r>
        <w:rPr>
          <w:rFonts w:hint="eastAsia" w:ascii="宋体" w:hAnsi="宋体" w:cs="仿宋_GB2312"/>
          <w:color w:val="auto"/>
          <w:sz w:val="30"/>
          <w:szCs w:val="30"/>
          <w:highlight w:val="none"/>
        </w:rPr>
        <w:t xml:space="preserve">        </w:t>
      </w:r>
    </w:p>
    <w:p w14:paraId="10A08101">
      <w:pPr>
        <w:shd w:val="clear"/>
        <w:ind w:firstLine="600" w:firstLineChars="200"/>
        <w:jc w:val="left"/>
        <w:rPr>
          <w:rFonts w:ascii="宋体" w:hAnsi="宋体"/>
          <w:color w:val="auto"/>
          <w:sz w:val="30"/>
          <w:szCs w:val="30"/>
          <w:highlight w:val="none"/>
        </w:rPr>
      </w:pPr>
      <w:r>
        <w:rPr>
          <w:rFonts w:hint="eastAsia" w:ascii="宋体" w:hAnsi="宋体"/>
          <w:color w:val="auto"/>
          <w:sz w:val="30"/>
          <w:szCs w:val="30"/>
          <w:highlight w:val="none"/>
        </w:rPr>
        <w:t>为保证滁州市政府投资项目审计工作质量和效率，依据《中华人民共和国</w:t>
      </w:r>
      <w:r>
        <w:rPr>
          <w:rFonts w:hint="eastAsia" w:ascii="宋体" w:hAnsi="宋体"/>
          <w:color w:val="auto"/>
          <w:sz w:val="30"/>
          <w:szCs w:val="30"/>
          <w:highlight w:val="none"/>
          <w:lang w:eastAsia="zh-CN"/>
        </w:rPr>
        <w:t>民法典</w:t>
      </w:r>
      <w:r>
        <w:rPr>
          <w:rFonts w:hint="eastAsia" w:ascii="宋体" w:hAnsi="宋体"/>
          <w:color w:val="auto"/>
          <w:sz w:val="30"/>
          <w:szCs w:val="30"/>
          <w:highlight w:val="none"/>
        </w:rPr>
        <w:t>》等有关法律规定，遵循平等、自愿、公平和诚实信用的原则，双方就</w:t>
      </w:r>
      <w:r>
        <w:rPr>
          <w:rFonts w:hint="eastAsia" w:ascii="宋体" w:hAnsi="宋体" w:cs="Times New Roman"/>
          <w:b/>
          <w:bCs/>
          <w:color w:val="auto"/>
          <w:sz w:val="30"/>
          <w:szCs w:val="30"/>
          <w:highlight w:val="none"/>
          <w:lang w:eastAsia="zh-CN"/>
        </w:rPr>
        <w:t>琅琊山南门民宿等四个项目结算复核服务项目</w:t>
      </w:r>
      <w:r>
        <w:rPr>
          <w:rFonts w:hint="eastAsia" w:ascii="宋体" w:hAnsi="宋体" w:eastAsia="宋体" w:cs="Times New Roman"/>
          <w:b/>
          <w:bCs/>
          <w:color w:val="auto"/>
          <w:sz w:val="30"/>
          <w:szCs w:val="30"/>
          <w:highlight w:val="none"/>
        </w:rPr>
        <w:t>结算复核</w:t>
      </w:r>
      <w:r>
        <w:rPr>
          <w:rFonts w:hint="eastAsia" w:ascii="宋体" w:hAnsi="宋体"/>
          <w:color w:val="auto"/>
          <w:sz w:val="30"/>
          <w:szCs w:val="30"/>
          <w:highlight w:val="none"/>
        </w:rPr>
        <w:t>及有关事项协商一致，共同达成如下协议：</w:t>
      </w:r>
    </w:p>
    <w:p w14:paraId="550F8566">
      <w:pPr>
        <w:shd w:val="clear"/>
        <w:ind w:firstLine="640" w:firstLineChars="200"/>
        <w:rPr>
          <w:rFonts w:ascii="宋体" w:hAnsi="宋体"/>
          <w:color w:val="auto"/>
          <w:sz w:val="32"/>
          <w:szCs w:val="32"/>
          <w:highlight w:val="none"/>
        </w:rPr>
      </w:pPr>
      <w:r>
        <w:rPr>
          <w:rFonts w:hint="eastAsia" w:ascii="宋体" w:hAnsi="宋体"/>
          <w:color w:val="auto"/>
          <w:sz w:val="32"/>
          <w:szCs w:val="32"/>
          <w:highlight w:val="none"/>
        </w:rPr>
        <w:t>一、项目概况</w:t>
      </w:r>
    </w:p>
    <w:p w14:paraId="0EFF17BA">
      <w:pPr>
        <w:shd w:val="clear"/>
        <w:ind w:firstLine="600" w:firstLineChars="200"/>
        <w:jc w:val="left"/>
        <w:rPr>
          <w:rFonts w:hint="eastAsia" w:ascii="宋体" w:hAnsi="宋体" w:eastAsia="宋体" w:cs="仿宋_GB2312"/>
          <w:color w:val="auto"/>
          <w:sz w:val="30"/>
          <w:szCs w:val="30"/>
          <w:highlight w:val="none"/>
          <w:u w:val="single"/>
          <w:lang w:val="en-US" w:eastAsia="zh-CN"/>
        </w:rPr>
      </w:pPr>
      <w:r>
        <w:rPr>
          <w:rFonts w:hint="eastAsia" w:ascii="宋体" w:hAnsi="宋体"/>
          <w:bCs/>
          <w:color w:val="auto"/>
          <w:sz w:val="30"/>
          <w:szCs w:val="30"/>
          <w:highlight w:val="none"/>
        </w:rPr>
        <w:t>1、项目名称</w:t>
      </w:r>
      <w:r>
        <w:rPr>
          <w:rFonts w:hint="eastAsia" w:ascii="宋体" w:hAnsi="宋体"/>
          <w:color w:val="auto"/>
          <w:sz w:val="30"/>
          <w:szCs w:val="30"/>
          <w:highlight w:val="none"/>
        </w:rPr>
        <w:t>：</w:t>
      </w:r>
      <w:r>
        <w:rPr>
          <w:rFonts w:hint="eastAsia" w:ascii="宋体" w:hAnsi="宋体" w:cs="仿宋_GB2312"/>
          <w:color w:val="auto"/>
          <w:sz w:val="30"/>
          <w:szCs w:val="30"/>
          <w:highlight w:val="none"/>
          <w:u w:val="single"/>
          <w:lang w:eastAsia="zh-CN"/>
        </w:rPr>
        <w:t>琅琊山南门民宿等四个项目结算复核服务项目</w:t>
      </w:r>
    </w:p>
    <w:p w14:paraId="4CFF9D62">
      <w:pPr>
        <w:shd w:val="clear"/>
        <w:ind w:firstLine="600" w:firstLineChars="200"/>
        <w:jc w:val="left"/>
        <w:rPr>
          <w:rFonts w:hint="eastAsia" w:ascii="宋体" w:hAnsi="宋体"/>
          <w:color w:val="auto"/>
          <w:sz w:val="30"/>
          <w:szCs w:val="30"/>
          <w:highlight w:val="none"/>
        </w:rPr>
      </w:pPr>
      <w:r>
        <w:rPr>
          <w:rFonts w:hint="eastAsia" w:ascii="宋体" w:hAnsi="宋体"/>
          <w:color w:val="auto"/>
          <w:sz w:val="30"/>
          <w:szCs w:val="32"/>
          <w:highlight w:val="none"/>
        </w:rPr>
        <w:t>2、项目造价</w:t>
      </w:r>
      <w:r>
        <w:rPr>
          <w:rFonts w:hint="eastAsia" w:ascii="宋体" w:hAnsi="宋体"/>
          <w:bCs/>
          <w:color w:val="auto"/>
          <w:sz w:val="30"/>
          <w:szCs w:val="30"/>
          <w:highlight w:val="none"/>
        </w:rPr>
        <w:t>：</w:t>
      </w:r>
      <w:r>
        <w:rPr>
          <w:rFonts w:hint="eastAsia" w:ascii="宋体" w:hAnsi="宋体" w:eastAsia="宋体" w:cs="宋体"/>
          <w:color w:val="auto"/>
          <w:kern w:val="0"/>
          <w:sz w:val="28"/>
          <w:szCs w:val="28"/>
          <w:highlight w:val="none"/>
          <w:u w:val="single"/>
          <w:lang w:val="en-US" w:eastAsia="zh-CN"/>
        </w:rPr>
        <w:t xml:space="preserve">                   </w:t>
      </w:r>
      <w:r>
        <w:rPr>
          <w:rFonts w:hint="eastAsia" w:ascii="宋体" w:hAnsi="宋体" w:eastAsia="宋体" w:cs="宋体"/>
          <w:color w:val="auto"/>
          <w:kern w:val="0"/>
          <w:sz w:val="28"/>
          <w:szCs w:val="28"/>
          <w:highlight w:val="none"/>
          <w:lang w:val="en-US" w:eastAsia="zh-CN"/>
        </w:rPr>
        <w:t>.</w:t>
      </w:r>
      <w:r>
        <w:rPr>
          <w:rFonts w:hint="eastAsia" w:ascii="宋体" w:hAnsi="宋体"/>
          <w:color w:val="auto"/>
          <w:sz w:val="30"/>
          <w:szCs w:val="30"/>
          <w:highlight w:val="none"/>
          <w:u w:val="single"/>
        </w:rPr>
        <w:t xml:space="preserve">               </w:t>
      </w:r>
    </w:p>
    <w:p w14:paraId="197FA426">
      <w:pPr>
        <w:shd w:val="clear"/>
        <w:ind w:firstLine="600" w:firstLineChars="200"/>
        <w:jc w:val="left"/>
        <w:rPr>
          <w:rFonts w:hint="eastAsia" w:ascii="宋体" w:hAnsi="宋体" w:cs="仿宋_GB2312"/>
          <w:color w:val="auto"/>
          <w:sz w:val="30"/>
          <w:szCs w:val="30"/>
          <w:highlight w:val="none"/>
          <w:u w:val="single"/>
        </w:rPr>
      </w:pPr>
      <w:r>
        <w:rPr>
          <w:rFonts w:hint="eastAsia" w:ascii="宋体" w:hAnsi="宋体" w:cs="仿宋_GB2312"/>
          <w:color w:val="auto"/>
          <w:sz w:val="30"/>
          <w:szCs w:val="30"/>
          <w:highlight w:val="none"/>
        </w:rPr>
        <w:t>3、委托内容：</w:t>
      </w:r>
      <w:r>
        <w:rPr>
          <w:rFonts w:hint="eastAsia" w:ascii="宋体" w:hAnsi="宋体" w:cs="仿宋_GB2312"/>
          <w:color w:val="auto"/>
          <w:sz w:val="30"/>
          <w:szCs w:val="30"/>
          <w:highlight w:val="none"/>
          <w:u w:val="single"/>
        </w:rPr>
        <w:t>结算审计复核。</w:t>
      </w:r>
    </w:p>
    <w:p w14:paraId="068BBADF">
      <w:pPr>
        <w:shd w:val="clear"/>
        <w:ind w:firstLine="640" w:firstLineChars="200"/>
        <w:rPr>
          <w:rFonts w:hint="eastAsia" w:ascii="宋体" w:hAnsi="宋体"/>
          <w:color w:val="auto"/>
          <w:sz w:val="32"/>
          <w:szCs w:val="32"/>
          <w:highlight w:val="none"/>
        </w:rPr>
      </w:pPr>
      <w:r>
        <w:rPr>
          <w:rFonts w:hint="eastAsia" w:ascii="宋体" w:hAnsi="宋体"/>
          <w:color w:val="auto"/>
          <w:sz w:val="32"/>
          <w:szCs w:val="32"/>
          <w:highlight w:val="none"/>
        </w:rPr>
        <w:t>二、项目结算复核人员配备</w:t>
      </w:r>
    </w:p>
    <w:p w14:paraId="364D2E92">
      <w:pPr>
        <w:widowControl/>
        <w:shd w:val="clear"/>
        <w:ind w:firstLine="600" w:firstLineChars="200"/>
        <w:rPr>
          <w:rFonts w:hint="eastAsia" w:eastAsia="宋体"/>
          <w:b/>
          <w:bCs/>
          <w:color w:val="auto"/>
          <w:highlight w:val="none"/>
          <w:lang w:eastAsia="zh-CN"/>
        </w:rPr>
      </w:pPr>
      <w:r>
        <w:rPr>
          <w:rFonts w:hint="eastAsia" w:ascii="宋体" w:hAnsi="宋体"/>
          <w:color w:val="auto"/>
          <w:sz w:val="30"/>
          <w:szCs w:val="30"/>
          <w:highlight w:val="none"/>
        </w:rPr>
        <w:t>项目组成人员要求：项目负责人：注册造价工程师（或一级造价师）</w:t>
      </w:r>
      <w:r>
        <w:rPr>
          <w:rFonts w:hint="eastAsia" w:ascii="宋体" w:hAnsi="宋体"/>
          <w:color w:val="auto"/>
          <w:sz w:val="30"/>
          <w:szCs w:val="30"/>
          <w:highlight w:val="none"/>
          <w:lang w:val="en-US" w:eastAsia="zh-CN"/>
        </w:rPr>
        <w:t>不少于</w:t>
      </w:r>
      <w:r>
        <w:rPr>
          <w:rFonts w:hint="eastAsia" w:ascii="宋体" w:hAnsi="宋体"/>
          <w:color w:val="auto"/>
          <w:sz w:val="30"/>
          <w:szCs w:val="30"/>
          <w:highlight w:val="none"/>
        </w:rPr>
        <w:t>1名；项目组成人员：不少于2名且具有在本单位注册的二级及以上造价工程师（土木建筑工程专业至少1名、安装工程专业至少1名）</w:t>
      </w:r>
      <w:r>
        <w:rPr>
          <w:rFonts w:hint="eastAsia" w:ascii="宋体" w:hAnsi="宋体" w:eastAsia="宋体" w:cs="Times New Roman"/>
          <w:color w:val="auto"/>
          <w:sz w:val="30"/>
          <w:szCs w:val="30"/>
          <w:highlight w:val="none"/>
          <w:lang w:eastAsia="zh-CN"/>
        </w:rPr>
        <w:t>。</w:t>
      </w:r>
    </w:p>
    <w:p w14:paraId="34CF99FC">
      <w:pPr>
        <w:widowControl/>
        <w:shd w:val="clear"/>
        <w:ind w:left="570"/>
        <w:rPr>
          <w:rFonts w:hint="eastAsia" w:ascii="宋体" w:hAnsi="宋体"/>
          <w:color w:val="auto"/>
          <w:sz w:val="30"/>
          <w:szCs w:val="30"/>
          <w:highlight w:val="none"/>
        </w:rPr>
      </w:pPr>
      <w:r>
        <w:rPr>
          <w:rFonts w:hint="eastAsia" w:ascii="宋体" w:hAnsi="宋体"/>
          <w:color w:val="auto"/>
          <w:sz w:val="30"/>
          <w:szCs w:val="30"/>
          <w:highlight w:val="none"/>
        </w:rPr>
        <w:t>本项目结算复核人员为：</w:t>
      </w:r>
    </w:p>
    <w:p w14:paraId="7157B9FC">
      <w:pPr>
        <w:widowControl/>
        <w:shd w:val="clear"/>
        <w:wordWrap w:val="0"/>
        <w:ind w:left="573"/>
        <w:rPr>
          <w:rFonts w:ascii="宋体" w:hAnsi="宋体" w:cs="仿宋_GB2312"/>
          <w:color w:val="auto"/>
          <w:sz w:val="30"/>
          <w:szCs w:val="30"/>
          <w:highlight w:val="none"/>
          <w:u w:val="single"/>
        </w:rPr>
      </w:pPr>
      <w:r>
        <w:rPr>
          <w:rFonts w:hint="eastAsia" w:ascii="宋体" w:hAnsi="宋体"/>
          <w:color w:val="auto"/>
          <w:sz w:val="30"/>
          <w:szCs w:val="30"/>
          <w:highlight w:val="none"/>
        </w:rPr>
        <w:t>项目负责人：</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rPr>
        <w:t xml:space="preserve"> </w:t>
      </w:r>
      <w:r>
        <w:rPr>
          <w:rFonts w:hint="eastAsia" w:ascii="宋体" w:hAnsi="宋体" w:cs="仿宋_GB2312"/>
          <w:color w:val="auto"/>
          <w:sz w:val="30"/>
          <w:szCs w:val="30"/>
          <w:highlight w:val="none"/>
        </w:rPr>
        <w:t>；身份证号：</w:t>
      </w:r>
      <w:r>
        <w:rPr>
          <w:rFonts w:hint="eastAsia" w:ascii="宋体" w:hAnsi="宋体" w:cs="仿宋_GB2312"/>
          <w:color w:val="auto"/>
          <w:sz w:val="30"/>
          <w:szCs w:val="30"/>
          <w:highlight w:val="none"/>
          <w:u w:val="single"/>
        </w:rPr>
        <w:t xml:space="preserve">      </w:t>
      </w:r>
      <w:r>
        <w:rPr>
          <w:rFonts w:hint="eastAsia" w:ascii="宋体" w:hAnsi="宋体" w:cs="仿宋_GB2312"/>
          <w:color w:val="auto"/>
          <w:sz w:val="30"/>
          <w:szCs w:val="30"/>
          <w:highlight w:val="none"/>
        </w:rPr>
        <w:t>；证书编号：</w:t>
      </w:r>
      <w:r>
        <w:rPr>
          <w:rFonts w:hint="eastAsia" w:ascii="宋体" w:hAnsi="宋体" w:cs="仿宋_GB2312"/>
          <w:color w:val="auto"/>
          <w:sz w:val="30"/>
          <w:szCs w:val="30"/>
          <w:highlight w:val="none"/>
          <w:u w:val="single"/>
        </w:rPr>
        <w:t xml:space="preserve">     </w:t>
      </w:r>
    </w:p>
    <w:p w14:paraId="1FF638A0">
      <w:pPr>
        <w:widowControl/>
        <w:shd w:val="clear"/>
        <w:wordWrap w:val="0"/>
        <w:ind w:left="573"/>
        <w:rPr>
          <w:rFonts w:hint="eastAsia" w:ascii="宋体" w:hAnsi="宋体" w:cs="仿宋_GB2312"/>
          <w:color w:val="auto"/>
          <w:sz w:val="30"/>
          <w:szCs w:val="30"/>
          <w:highlight w:val="none"/>
          <w:u w:val="single"/>
        </w:rPr>
      </w:pPr>
      <w:r>
        <w:rPr>
          <w:rFonts w:hint="eastAsia" w:ascii="宋体" w:hAnsi="宋体"/>
          <w:color w:val="auto"/>
          <w:sz w:val="30"/>
          <w:szCs w:val="30"/>
          <w:highlight w:val="none"/>
        </w:rPr>
        <w:t>项目组成人员：</w:t>
      </w:r>
      <w:r>
        <w:rPr>
          <w:rFonts w:hint="eastAsia" w:ascii="宋体" w:hAnsi="宋体"/>
          <w:color w:val="auto"/>
          <w:sz w:val="30"/>
          <w:szCs w:val="30"/>
          <w:highlight w:val="none"/>
          <w:u w:val="single"/>
        </w:rPr>
        <w:t xml:space="preserve">       </w:t>
      </w:r>
      <w:r>
        <w:rPr>
          <w:rFonts w:hint="eastAsia" w:ascii="宋体" w:hAnsi="宋体" w:cs="仿宋_GB2312"/>
          <w:color w:val="auto"/>
          <w:sz w:val="30"/>
          <w:szCs w:val="30"/>
          <w:highlight w:val="none"/>
        </w:rPr>
        <w:t>；身份证号：</w:t>
      </w:r>
      <w:r>
        <w:rPr>
          <w:rFonts w:hint="eastAsia" w:ascii="宋体" w:hAnsi="宋体" w:cs="仿宋_GB2312"/>
          <w:color w:val="auto"/>
          <w:sz w:val="30"/>
          <w:szCs w:val="30"/>
          <w:highlight w:val="none"/>
          <w:u w:val="single"/>
        </w:rPr>
        <w:t xml:space="preserve">      </w:t>
      </w:r>
      <w:r>
        <w:rPr>
          <w:rFonts w:hint="eastAsia" w:ascii="宋体" w:hAnsi="宋体" w:cs="仿宋_GB2312"/>
          <w:color w:val="auto"/>
          <w:sz w:val="30"/>
          <w:szCs w:val="30"/>
          <w:highlight w:val="none"/>
        </w:rPr>
        <w:t>；证书编号：</w:t>
      </w:r>
      <w:r>
        <w:rPr>
          <w:rFonts w:hint="eastAsia" w:ascii="宋体" w:hAnsi="宋体" w:cs="仿宋_GB2312"/>
          <w:color w:val="auto"/>
          <w:sz w:val="30"/>
          <w:szCs w:val="30"/>
          <w:highlight w:val="none"/>
          <w:u w:val="single"/>
        </w:rPr>
        <w:t xml:space="preserve"> </w:t>
      </w:r>
    </w:p>
    <w:p w14:paraId="482DC44E">
      <w:pPr>
        <w:widowControl/>
        <w:shd w:val="clear"/>
        <w:wordWrap w:val="0"/>
        <w:ind w:left="573"/>
        <w:rPr>
          <w:rFonts w:hint="eastAsia" w:ascii="宋体" w:hAnsi="宋体" w:cs="仿宋_GB2312"/>
          <w:color w:val="auto"/>
          <w:sz w:val="30"/>
          <w:szCs w:val="30"/>
          <w:highlight w:val="none"/>
          <w:u w:val="single"/>
        </w:rPr>
      </w:pPr>
      <w:r>
        <w:rPr>
          <w:rFonts w:hint="eastAsia" w:ascii="宋体" w:hAnsi="宋体"/>
          <w:color w:val="auto"/>
          <w:sz w:val="30"/>
          <w:szCs w:val="30"/>
          <w:highlight w:val="none"/>
        </w:rPr>
        <w:t>项目组成人员：</w:t>
      </w:r>
      <w:r>
        <w:rPr>
          <w:rFonts w:hint="eastAsia" w:ascii="宋体" w:hAnsi="宋体"/>
          <w:color w:val="auto"/>
          <w:sz w:val="30"/>
          <w:szCs w:val="30"/>
          <w:highlight w:val="none"/>
          <w:u w:val="single"/>
        </w:rPr>
        <w:t xml:space="preserve">       </w:t>
      </w:r>
      <w:r>
        <w:rPr>
          <w:rFonts w:hint="eastAsia" w:ascii="宋体" w:hAnsi="宋体" w:cs="仿宋_GB2312"/>
          <w:color w:val="auto"/>
          <w:sz w:val="30"/>
          <w:szCs w:val="30"/>
          <w:highlight w:val="none"/>
        </w:rPr>
        <w:t>；身份证号：</w:t>
      </w:r>
      <w:r>
        <w:rPr>
          <w:rFonts w:hint="eastAsia" w:ascii="宋体" w:hAnsi="宋体" w:cs="仿宋_GB2312"/>
          <w:color w:val="auto"/>
          <w:sz w:val="30"/>
          <w:szCs w:val="30"/>
          <w:highlight w:val="none"/>
          <w:u w:val="single"/>
        </w:rPr>
        <w:t xml:space="preserve">      </w:t>
      </w:r>
      <w:r>
        <w:rPr>
          <w:rFonts w:hint="eastAsia" w:ascii="宋体" w:hAnsi="宋体" w:cs="仿宋_GB2312"/>
          <w:color w:val="auto"/>
          <w:sz w:val="30"/>
          <w:szCs w:val="30"/>
          <w:highlight w:val="none"/>
        </w:rPr>
        <w:t>；证书编号：</w:t>
      </w:r>
      <w:r>
        <w:rPr>
          <w:rFonts w:hint="eastAsia" w:ascii="宋体" w:hAnsi="宋体" w:cs="仿宋_GB2312"/>
          <w:color w:val="auto"/>
          <w:sz w:val="30"/>
          <w:szCs w:val="30"/>
          <w:highlight w:val="none"/>
          <w:u w:val="single"/>
        </w:rPr>
        <w:t xml:space="preserve">    </w:t>
      </w:r>
    </w:p>
    <w:p w14:paraId="290C10E9">
      <w:pPr>
        <w:shd w:val="clear"/>
        <w:ind w:firstLine="640" w:firstLineChars="200"/>
        <w:jc w:val="left"/>
        <w:rPr>
          <w:rFonts w:ascii="宋体" w:hAnsi="宋体"/>
          <w:color w:val="auto"/>
          <w:sz w:val="32"/>
          <w:szCs w:val="32"/>
          <w:highlight w:val="none"/>
        </w:rPr>
      </w:pPr>
      <w:r>
        <w:rPr>
          <w:rFonts w:hint="eastAsia" w:ascii="宋体" w:hAnsi="宋体"/>
          <w:color w:val="auto"/>
          <w:sz w:val="32"/>
          <w:szCs w:val="32"/>
          <w:highlight w:val="none"/>
        </w:rPr>
        <w:t>三、咨询期限</w:t>
      </w:r>
    </w:p>
    <w:p w14:paraId="724D4FCD">
      <w:pPr>
        <w:shd w:val="clear"/>
        <w:spacing w:line="580" w:lineRule="exact"/>
        <w:ind w:firstLine="588" w:firstLineChars="196"/>
        <w:rPr>
          <w:rFonts w:ascii="宋体" w:hAnsi="宋体"/>
          <w:bCs/>
          <w:color w:val="auto"/>
          <w:sz w:val="30"/>
          <w:szCs w:val="30"/>
          <w:highlight w:val="none"/>
        </w:rPr>
      </w:pPr>
      <w:r>
        <w:rPr>
          <w:rFonts w:hint="eastAsia" w:ascii="宋体" w:hAnsi="宋体"/>
          <w:bCs/>
          <w:color w:val="auto"/>
          <w:sz w:val="30"/>
          <w:szCs w:val="30"/>
          <w:highlight w:val="none"/>
        </w:rPr>
        <w:t>1、计划开始日期：</w:t>
      </w:r>
      <w:r>
        <w:rPr>
          <w:rFonts w:ascii="宋体" w:hAnsi="宋体"/>
          <w:bCs/>
          <w:color w:val="auto"/>
          <w:sz w:val="30"/>
          <w:szCs w:val="30"/>
          <w:highlight w:val="none"/>
          <w:u w:val="single"/>
        </w:rPr>
        <w:t xml:space="preserve">    20</w:t>
      </w:r>
      <w:r>
        <w:rPr>
          <w:rFonts w:hint="eastAsia" w:ascii="宋体" w:hAnsi="宋体"/>
          <w:bCs/>
          <w:color w:val="auto"/>
          <w:sz w:val="30"/>
          <w:szCs w:val="30"/>
          <w:highlight w:val="none"/>
          <w:u w:val="single"/>
        </w:rPr>
        <w:t>2</w:t>
      </w:r>
      <w:r>
        <w:rPr>
          <w:rFonts w:hint="eastAsia" w:ascii="宋体" w:hAnsi="宋体"/>
          <w:bCs/>
          <w:color w:val="auto"/>
          <w:sz w:val="30"/>
          <w:szCs w:val="30"/>
          <w:highlight w:val="none"/>
          <w:u w:val="single"/>
          <w:lang w:val="en-US" w:eastAsia="zh-CN"/>
        </w:rPr>
        <w:t>5</w:t>
      </w:r>
      <w:r>
        <w:rPr>
          <w:rFonts w:ascii="宋体" w:hAnsi="宋体"/>
          <w:bCs/>
          <w:color w:val="auto"/>
          <w:sz w:val="30"/>
          <w:szCs w:val="30"/>
          <w:highlight w:val="none"/>
          <w:u w:val="single"/>
        </w:rPr>
        <w:t xml:space="preserve">   </w:t>
      </w:r>
      <w:r>
        <w:rPr>
          <w:rFonts w:hint="eastAsia" w:ascii="宋体" w:hAnsi="宋体"/>
          <w:bCs/>
          <w:color w:val="auto"/>
          <w:sz w:val="30"/>
          <w:szCs w:val="30"/>
          <w:highlight w:val="none"/>
        </w:rPr>
        <w:t>年</w:t>
      </w:r>
      <w:r>
        <w:rPr>
          <w:rFonts w:ascii="宋体" w:hAnsi="宋体"/>
          <w:bCs/>
          <w:color w:val="auto"/>
          <w:sz w:val="30"/>
          <w:szCs w:val="30"/>
          <w:highlight w:val="none"/>
          <w:u w:val="single"/>
        </w:rPr>
        <w:t xml:space="preserve"> </w:t>
      </w:r>
      <w:r>
        <w:rPr>
          <w:rFonts w:hint="eastAsia" w:ascii="宋体" w:hAnsi="宋体"/>
          <w:bCs/>
          <w:color w:val="auto"/>
          <w:sz w:val="30"/>
          <w:szCs w:val="30"/>
          <w:highlight w:val="none"/>
          <w:u w:val="single"/>
        </w:rPr>
        <w:t xml:space="preserve">   </w:t>
      </w:r>
      <w:r>
        <w:rPr>
          <w:rFonts w:hint="eastAsia" w:ascii="宋体" w:hAnsi="宋体"/>
          <w:bCs/>
          <w:color w:val="auto"/>
          <w:sz w:val="30"/>
          <w:szCs w:val="30"/>
          <w:highlight w:val="none"/>
        </w:rPr>
        <w:t>月</w:t>
      </w:r>
      <w:r>
        <w:rPr>
          <w:rFonts w:ascii="宋体" w:hAnsi="宋体"/>
          <w:bCs/>
          <w:color w:val="auto"/>
          <w:sz w:val="30"/>
          <w:szCs w:val="30"/>
          <w:highlight w:val="none"/>
          <w:u w:val="single"/>
        </w:rPr>
        <w:t xml:space="preserve">  </w:t>
      </w:r>
      <w:r>
        <w:rPr>
          <w:rFonts w:hint="eastAsia" w:ascii="宋体" w:hAnsi="宋体"/>
          <w:bCs/>
          <w:color w:val="auto"/>
          <w:sz w:val="30"/>
          <w:szCs w:val="30"/>
          <w:highlight w:val="none"/>
          <w:u w:val="single"/>
        </w:rPr>
        <w:t xml:space="preserve"> </w:t>
      </w:r>
      <w:r>
        <w:rPr>
          <w:rFonts w:ascii="宋体" w:hAnsi="宋体"/>
          <w:bCs/>
          <w:color w:val="auto"/>
          <w:sz w:val="30"/>
          <w:szCs w:val="30"/>
          <w:highlight w:val="none"/>
          <w:u w:val="single"/>
        </w:rPr>
        <w:t xml:space="preserve">  </w:t>
      </w:r>
      <w:r>
        <w:rPr>
          <w:rFonts w:hint="eastAsia" w:ascii="宋体" w:hAnsi="宋体"/>
          <w:bCs/>
          <w:color w:val="auto"/>
          <w:sz w:val="30"/>
          <w:szCs w:val="30"/>
          <w:highlight w:val="none"/>
        </w:rPr>
        <w:t>日。</w:t>
      </w:r>
    </w:p>
    <w:p w14:paraId="780F7F41">
      <w:pPr>
        <w:shd w:val="clear"/>
        <w:ind w:firstLine="600" w:firstLineChars="200"/>
        <w:rPr>
          <w:rFonts w:hint="eastAsia" w:ascii="宋体" w:hAnsi="宋体"/>
          <w:bCs/>
          <w:color w:val="auto"/>
          <w:sz w:val="30"/>
          <w:szCs w:val="30"/>
          <w:highlight w:val="none"/>
        </w:rPr>
      </w:pPr>
      <w:r>
        <w:rPr>
          <w:rFonts w:hint="eastAsia" w:ascii="宋体" w:hAnsi="宋体"/>
          <w:bCs/>
          <w:color w:val="auto"/>
          <w:sz w:val="30"/>
          <w:szCs w:val="30"/>
          <w:highlight w:val="none"/>
        </w:rPr>
        <w:t>2、计划结束日期：</w:t>
      </w:r>
      <w:r>
        <w:rPr>
          <w:rFonts w:ascii="宋体" w:hAnsi="宋体"/>
          <w:bCs/>
          <w:color w:val="auto"/>
          <w:sz w:val="30"/>
          <w:szCs w:val="30"/>
          <w:highlight w:val="none"/>
          <w:u w:val="single"/>
        </w:rPr>
        <w:t xml:space="preserve">    20</w:t>
      </w:r>
      <w:r>
        <w:rPr>
          <w:rFonts w:hint="eastAsia" w:ascii="宋体" w:hAnsi="宋体"/>
          <w:bCs/>
          <w:color w:val="auto"/>
          <w:sz w:val="30"/>
          <w:szCs w:val="30"/>
          <w:highlight w:val="none"/>
          <w:u w:val="single"/>
        </w:rPr>
        <w:t>2</w:t>
      </w:r>
      <w:r>
        <w:rPr>
          <w:rFonts w:hint="eastAsia" w:ascii="宋体" w:hAnsi="宋体"/>
          <w:bCs/>
          <w:color w:val="auto"/>
          <w:sz w:val="30"/>
          <w:szCs w:val="30"/>
          <w:highlight w:val="none"/>
          <w:u w:val="single"/>
          <w:lang w:val="en-US" w:eastAsia="zh-CN"/>
        </w:rPr>
        <w:t>5</w:t>
      </w:r>
      <w:r>
        <w:rPr>
          <w:rFonts w:hint="eastAsia" w:ascii="宋体" w:hAnsi="宋体"/>
          <w:bCs/>
          <w:color w:val="auto"/>
          <w:sz w:val="30"/>
          <w:szCs w:val="30"/>
          <w:highlight w:val="none"/>
          <w:u w:val="single"/>
        </w:rPr>
        <w:t xml:space="preserve"> </w:t>
      </w:r>
      <w:r>
        <w:rPr>
          <w:rFonts w:ascii="宋体" w:hAnsi="宋体"/>
          <w:bCs/>
          <w:color w:val="auto"/>
          <w:sz w:val="30"/>
          <w:szCs w:val="30"/>
          <w:highlight w:val="none"/>
          <w:u w:val="single"/>
        </w:rPr>
        <w:t xml:space="preserve">   </w:t>
      </w:r>
      <w:r>
        <w:rPr>
          <w:rFonts w:hint="eastAsia" w:ascii="宋体" w:hAnsi="宋体"/>
          <w:bCs/>
          <w:color w:val="auto"/>
          <w:sz w:val="30"/>
          <w:szCs w:val="30"/>
          <w:highlight w:val="none"/>
        </w:rPr>
        <w:t>年</w:t>
      </w:r>
      <w:r>
        <w:rPr>
          <w:rFonts w:ascii="宋体" w:hAnsi="宋体"/>
          <w:bCs/>
          <w:color w:val="auto"/>
          <w:sz w:val="30"/>
          <w:szCs w:val="30"/>
          <w:highlight w:val="none"/>
          <w:u w:val="single"/>
        </w:rPr>
        <w:t xml:space="preserve"> </w:t>
      </w:r>
      <w:r>
        <w:rPr>
          <w:rFonts w:hint="eastAsia" w:ascii="宋体" w:hAnsi="宋体"/>
          <w:bCs/>
          <w:color w:val="auto"/>
          <w:sz w:val="30"/>
          <w:szCs w:val="30"/>
          <w:highlight w:val="none"/>
          <w:u w:val="single"/>
        </w:rPr>
        <w:t xml:space="preserve">   </w:t>
      </w:r>
      <w:r>
        <w:rPr>
          <w:rFonts w:hint="eastAsia" w:ascii="宋体" w:hAnsi="宋体"/>
          <w:bCs/>
          <w:color w:val="auto"/>
          <w:sz w:val="30"/>
          <w:szCs w:val="30"/>
          <w:highlight w:val="none"/>
        </w:rPr>
        <w:t>月</w:t>
      </w:r>
      <w:r>
        <w:rPr>
          <w:rFonts w:ascii="宋体" w:hAnsi="宋体"/>
          <w:bCs/>
          <w:color w:val="auto"/>
          <w:sz w:val="30"/>
          <w:szCs w:val="30"/>
          <w:highlight w:val="none"/>
          <w:u w:val="single"/>
        </w:rPr>
        <w:t xml:space="preserve"> </w:t>
      </w:r>
      <w:r>
        <w:rPr>
          <w:rFonts w:hint="eastAsia" w:ascii="宋体" w:hAnsi="宋体"/>
          <w:bCs/>
          <w:color w:val="auto"/>
          <w:sz w:val="30"/>
          <w:szCs w:val="30"/>
          <w:highlight w:val="none"/>
          <w:u w:val="single"/>
        </w:rPr>
        <w:t xml:space="preserve">   </w:t>
      </w:r>
      <w:r>
        <w:rPr>
          <w:rFonts w:ascii="宋体" w:hAnsi="宋体"/>
          <w:bCs/>
          <w:color w:val="auto"/>
          <w:sz w:val="30"/>
          <w:szCs w:val="30"/>
          <w:highlight w:val="none"/>
          <w:u w:val="single"/>
        </w:rPr>
        <w:t xml:space="preserve"> </w:t>
      </w:r>
      <w:r>
        <w:rPr>
          <w:rFonts w:hint="eastAsia" w:ascii="宋体" w:hAnsi="宋体"/>
          <w:bCs/>
          <w:color w:val="auto"/>
          <w:sz w:val="30"/>
          <w:szCs w:val="30"/>
          <w:highlight w:val="none"/>
        </w:rPr>
        <w:t>日。</w:t>
      </w:r>
    </w:p>
    <w:p w14:paraId="59B1C678">
      <w:pPr>
        <w:pStyle w:val="2"/>
        <w:shd w:val="clear"/>
        <w:ind w:left="0" w:leftChars="0" w:firstLine="600"/>
        <w:rPr>
          <w:rFonts w:hint="eastAsia"/>
          <w:color w:val="auto"/>
          <w:highlight w:val="none"/>
          <w:u w:val="single"/>
          <w:lang w:val="en-US" w:eastAsia="zh-CN"/>
        </w:rPr>
      </w:pPr>
      <w:r>
        <w:rPr>
          <w:rFonts w:hint="eastAsia" w:hAnsi="宋体"/>
          <w:bCs/>
          <w:color w:val="auto"/>
          <w:sz w:val="30"/>
          <w:szCs w:val="30"/>
          <w:highlight w:val="none"/>
        </w:rPr>
        <w:t>3、结算复核时限要求：</w:t>
      </w:r>
      <w:r>
        <w:rPr>
          <w:rFonts w:hint="eastAsia"/>
          <w:color w:val="auto"/>
          <w:highlight w:val="none"/>
          <w:u w:val="single"/>
          <w:lang w:val="en-US" w:eastAsia="zh-CN"/>
        </w:rPr>
        <w:t xml:space="preserve">      </w:t>
      </w:r>
    </w:p>
    <w:p w14:paraId="03CF250B">
      <w:pPr>
        <w:pStyle w:val="2"/>
        <w:shd w:val="clear"/>
        <w:ind w:left="0" w:leftChars="0" w:firstLine="600"/>
        <w:rPr>
          <w:rFonts w:ascii="宋体" w:hAnsi="宋体"/>
          <w:color w:val="auto"/>
          <w:sz w:val="32"/>
          <w:szCs w:val="32"/>
          <w:highlight w:val="none"/>
        </w:rPr>
      </w:pPr>
      <w:r>
        <w:rPr>
          <w:rFonts w:hint="eastAsia" w:ascii="宋体" w:hAnsi="宋体"/>
          <w:color w:val="auto"/>
          <w:sz w:val="32"/>
          <w:szCs w:val="32"/>
          <w:highlight w:val="none"/>
        </w:rPr>
        <w:t>四、质量标准</w:t>
      </w:r>
    </w:p>
    <w:p w14:paraId="517D8E7F">
      <w:pPr>
        <w:shd w:val="clear"/>
        <w:ind w:firstLine="600" w:firstLineChars="200"/>
        <w:rPr>
          <w:rFonts w:ascii="宋体" w:hAnsi="宋体"/>
          <w:color w:val="auto"/>
          <w:sz w:val="30"/>
          <w:szCs w:val="30"/>
          <w:highlight w:val="none"/>
        </w:rPr>
      </w:pPr>
      <w:r>
        <w:rPr>
          <w:rFonts w:hint="eastAsia" w:ascii="宋体" w:hAnsi="宋体"/>
          <w:color w:val="auto"/>
          <w:kern w:val="0"/>
          <w:sz w:val="30"/>
          <w:szCs w:val="32"/>
          <w:highlight w:val="none"/>
        </w:rPr>
        <w:t>工程造价咨询成果文件质量符合</w:t>
      </w:r>
      <w:r>
        <w:rPr>
          <w:rFonts w:hint="eastAsia" w:ascii="宋体" w:hAnsi="宋体" w:cs="仿宋_GB2312"/>
          <w:color w:val="auto"/>
          <w:sz w:val="30"/>
          <w:szCs w:val="30"/>
          <w:highlight w:val="none"/>
          <w:u w:val="single"/>
        </w:rPr>
        <w:t>《建设工程造价咨询成果文件质量标准》（</w:t>
      </w:r>
      <w:r>
        <w:rPr>
          <w:rFonts w:ascii="宋体" w:hAnsi="宋体" w:cs="仿宋_GB2312"/>
          <w:color w:val="auto"/>
          <w:sz w:val="30"/>
          <w:szCs w:val="30"/>
          <w:highlight w:val="none"/>
          <w:u w:val="single"/>
        </w:rPr>
        <w:t>CECA/GC7-2012)</w:t>
      </w:r>
      <w:r>
        <w:rPr>
          <w:rFonts w:hint="eastAsia" w:ascii="宋体" w:hAnsi="宋体" w:cs="仿宋_GB2312"/>
          <w:color w:val="auto"/>
          <w:sz w:val="30"/>
          <w:szCs w:val="30"/>
          <w:highlight w:val="none"/>
          <w:u w:val="single"/>
        </w:rPr>
        <w:t>要求</w:t>
      </w:r>
      <w:r>
        <w:rPr>
          <w:rFonts w:ascii="宋体" w:hAnsi="宋体"/>
          <w:color w:val="auto"/>
          <w:sz w:val="30"/>
          <w:szCs w:val="30"/>
          <w:highlight w:val="none"/>
          <w:u w:val="single"/>
        </w:rPr>
        <w:t xml:space="preserve"> </w:t>
      </w:r>
      <w:r>
        <w:rPr>
          <w:rFonts w:hint="eastAsia" w:ascii="宋体" w:hAnsi="宋体"/>
          <w:color w:val="auto"/>
          <w:sz w:val="30"/>
          <w:szCs w:val="30"/>
          <w:highlight w:val="none"/>
        </w:rPr>
        <w:t>标准。</w:t>
      </w:r>
    </w:p>
    <w:p w14:paraId="1B8C75E4">
      <w:pPr>
        <w:shd w:val="clear"/>
        <w:ind w:firstLine="640" w:firstLineChars="200"/>
        <w:rPr>
          <w:rFonts w:ascii="宋体" w:hAnsi="宋体"/>
          <w:color w:val="auto"/>
          <w:sz w:val="32"/>
          <w:szCs w:val="32"/>
          <w:highlight w:val="none"/>
        </w:rPr>
      </w:pPr>
      <w:r>
        <w:rPr>
          <w:rFonts w:hint="eastAsia" w:ascii="宋体" w:hAnsi="宋体"/>
          <w:color w:val="auto"/>
          <w:sz w:val="32"/>
          <w:szCs w:val="32"/>
          <w:highlight w:val="none"/>
        </w:rPr>
        <w:t>五、咨询酬金</w:t>
      </w:r>
      <w:r>
        <w:rPr>
          <w:rFonts w:ascii="宋体" w:hAnsi="宋体"/>
          <w:color w:val="auto"/>
          <w:sz w:val="32"/>
          <w:szCs w:val="32"/>
          <w:highlight w:val="none"/>
        </w:rPr>
        <w:t xml:space="preserve"> </w:t>
      </w:r>
    </w:p>
    <w:tbl>
      <w:tblPr>
        <w:tblStyle w:val="45"/>
        <w:tblW w:w="0" w:type="auto"/>
        <w:jc w:val="center"/>
        <w:tblLayout w:type="fixed"/>
        <w:tblCellMar>
          <w:top w:w="0" w:type="dxa"/>
          <w:left w:w="108" w:type="dxa"/>
          <w:bottom w:w="0" w:type="dxa"/>
          <w:right w:w="108" w:type="dxa"/>
        </w:tblCellMar>
      </w:tblPr>
      <w:tblGrid>
        <w:gridCol w:w="3705"/>
        <w:gridCol w:w="2280"/>
        <w:gridCol w:w="2340"/>
      </w:tblGrid>
      <w:tr w14:paraId="41EE2414">
        <w:tblPrEx>
          <w:tblCellMar>
            <w:top w:w="0" w:type="dxa"/>
            <w:left w:w="108" w:type="dxa"/>
            <w:bottom w:w="0" w:type="dxa"/>
            <w:right w:w="108" w:type="dxa"/>
          </w:tblCellMar>
        </w:tblPrEx>
        <w:trPr>
          <w:trHeight w:val="435" w:hRule="atLeast"/>
          <w:jc w:val="center"/>
        </w:trPr>
        <w:tc>
          <w:tcPr>
            <w:tcW w:w="3705" w:type="dxa"/>
            <w:tcBorders>
              <w:top w:val="single" w:color="auto" w:sz="4" w:space="0"/>
              <w:left w:val="single" w:color="auto" w:sz="4" w:space="0"/>
              <w:bottom w:val="single" w:color="auto" w:sz="4" w:space="0"/>
              <w:right w:val="single" w:color="auto" w:sz="4" w:space="0"/>
            </w:tcBorders>
            <w:noWrap w:val="0"/>
            <w:vAlign w:val="center"/>
          </w:tcPr>
          <w:p w14:paraId="3D0D602F">
            <w:pPr>
              <w:keepNext w:val="0"/>
              <w:keepLines w:val="0"/>
              <w:pageBreakBefore w:val="0"/>
              <w:widowControl/>
              <w:suppressLineNumbers w:val="0"/>
              <w:shd w:val="clear"/>
              <w:kinsoku/>
              <w:wordWrap/>
              <w:overflowPunct/>
              <w:topLinePunct w:val="0"/>
              <w:autoSpaceDE/>
              <w:autoSpaceDN/>
              <w:bidi w:val="0"/>
              <w:adjustRightInd/>
              <w:spacing w:before="0" w:beforeAutospacing="0" w:after="0" w:afterAutospacing="0" w:line="600" w:lineRule="exact"/>
              <w:ind w:left="0" w:leftChars="0" w:right="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工程造价金额（万元）</w:t>
            </w:r>
          </w:p>
        </w:tc>
        <w:tc>
          <w:tcPr>
            <w:tcW w:w="2280" w:type="dxa"/>
            <w:tcBorders>
              <w:top w:val="single" w:color="auto" w:sz="4" w:space="0"/>
              <w:left w:val="nil"/>
              <w:bottom w:val="single" w:color="auto" w:sz="4" w:space="0"/>
              <w:right w:val="single" w:color="auto" w:sz="4" w:space="0"/>
            </w:tcBorders>
            <w:noWrap w:val="0"/>
            <w:vAlign w:val="center"/>
          </w:tcPr>
          <w:p w14:paraId="736D8FAD">
            <w:pPr>
              <w:keepNext w:val="0"/>
              <w:keepLines w:val="0"/>
              <w:pageBreakBefore w:val="0"/>
              <w:widowControl/>
              <w:suppressLineNumbers w:val="0"/>
              <w:shd w:val="clear"/>
              <w:kinsoku/>
              <w:wordWrap/>
              <w:overflowPunct/>
              <w:topLinePunct w:val="0"/>
              <w:autoSpaceDE/>
              <w:autoSpaceDN/>
              <w:bidi w:val="0"/>
              <w:adjustRightInd/>
              <w:spacing w:before="0" w:beforeAutospacing="0" w:after="0" w:afterAutospacing="0" w:line="600" w:lineRule="exact"/>
              <w:ind w:left="0" w:right="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rPr>
              <w:t>基本费</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元</w:t>
            </w:r>
            <w:r>
              <w:rPr>
                <w:rFonts w:hint="eastAsia" w:ascii="宋体" w:hAnsi="宋体" w:eastAsia="宋体" w:cs="宋体"/>
                <w:color w:val="auto"/>
                <w:kern w:val="0"/>
                <w:sz w:val="28"/>
                <w:szCs w:val="28"/>
                <w:highlight w:val="none"/>
                <w:lang w:eastAsia="zh-CN"/>
              </w:rPr>
              <w:t>）</w:t>
            </w:r>
          </w:p>
        </w:tc>
        <w:tc>
          <w:tcPr>
            <w:tcW w:w="2340" w:type="dxa"/>
            <w:tcBorders>
              <w:top w:val="single" w:color="auto" w:sz="4" w:space="0"/>
              <w:left w:val="nil"/>
              <w:bottom w:val="single" w:color="auto" w:sz="4" w:space="0"/>
              <w:right w:val="single" w:color="auto" w:sz="4" w:space="0"/>
            </w:tcBorders>
            <w:noWrap w:val="0"/>
            <w:vAlign w:val="center"/>
          </w:tcPr>
          <w:p w14:paraId="3C0870F7">
            <w:pPr>
              <w:keepNext w:val="0"/>
              <w:keepLines w:val="0"/>
              <w:pageBreakBefore w:val="0"/>
              <w:widowControl/>
              <w:suppressLineNumbers w:val="0"/>
              <w:shd w:val="clear"/>
              <w:kinsoku/>
              <w:wordWrap/>
              <w:overflowPunct/>
              <w:topLinePunct w:val="0"/>
              <w:autoSpaceDE/>
              <w:autoSpaceDN/>
              <w:bidi w:val="0"/>
              <w:adjustRightInd/>
              <w:spacing w:before="0" w:beforeAutospacing="0" w:after="0" w:afterAutospacing="0" w:line="600" w:lineRule="exact"/>
              <w:ind w:left="0" w:leftChars="0" w:right="0" w:firstLine="280" w:firstLineChars="100"/>
              <w:textAlignment w:val="auto"/>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rPr>
              <w:t>审核成果费</w:t>
            </w:r>
            <w:r>
              <w:rPr>
                <w:rFonts w:hint="eastAsia" w:ascii="宋体" w:hAnsi="宋体" w:eastAsia="宋体" w:cs="宋体"/>
                <w:color w:val="auto"/>
                <w:kern w:val="0"/>
                <w:sz w:val="28"/>
                <w:szCs w:val="28"/>
                <w:highlight w:val="none"/>
                <w:lang w:val="en-US" w:eastAsia="zh-CN"/>
              </w:rPr>
              <w:t>率</w:t>
            </w:r>
          </w:p>
        </w:tc>
      </w:tr>
      <w:tr w14:paraId="09FFB09A">
        <w:tblPrEx>
          <w:tblCellMar>
            <w:top w:w="0" w:type="dxa"/>
            <w:left w:w="108" w:type="dxa"/>
            <w:bottom w:w="0" w:type="dxa"/>
            <w:right w:w="108" w:type="dxa"/>
          </w:tblCellMar>
        </w:tblPrEx>
        <w:trPr>
          <w:trHeight w:val="430" w:hRule="atLeast"/>
          <w:jc w:val="center"/>
        </w:trPr>
        <w:tc>
          <w:tcPr>
            <w:tcW w:w="3705" w:type="dxa"/>
            <w:tcBorders>
              <w:top w:val="nil"/>
              <w:left w:val="single" w:color="auto" w:sz="4" w:space="0"/>
              <w:bottom w:val="single" w:color="auto" w:sz="4" w:space="0"/>
              <w:right w:val="single" w:color="auto" w:sz="4" w:space="0"/>
            </w:tcBorders>
            <w:noWrap w:val="0"/>
            <w:vAlign w:val="center"/>
          </w:tcPr>
          <w:p w14:paraId="0CDF944F">
            <w:pPr>
              <w:keepNext w:val="0"/>
              <w:keepLines w:val="0"/>
              <w:pageBreakBefore w:val="0"/>
              <w:widowControl/>
              <w:suppressLineNumbers w:val="0"/>
              <w:shd w:val="clear"/>
              <w:kinsoku/>
              <w:wordWrap/>
              <w:overflowPunct/>
              <w:topLinePunct w:val="0"/>
              <w:autoSpaceDE/>
              <w:autoSpaceDN/>
              <w:bidi w:val="0"/>
              <w:adjustRightInd/>
              <w:spacing w:before="0" w:beforeAutospacing="0" w:after="0" w:afterAutospacing="0" w:line="600" w:lineRule="exact"/>
              <w:ind w:left="0" w:leftChars="0" w:right="0"/>
              <w:jc w:val="center"/>
              <w:textAlignment w:val="auto"/>
              <w:rPr>
                <w:rFonts w:hint="eastAsia" w:ascii="宋体" w:hAnsi="宋体" w:eastAsia="宋体" w:cs="宋体"/>
                <w:color w:val="auto"/>
                <w:kern w:val="0"/>
                <w:sz w:val="28"/>
                <w:szCs w:val="28"/>
                <w:highlight w:val="none"/>
              </w:rPr>
            </w:pPr>
          </w:p>
        </w:tc>
        <w:tc>
          <w:tcPr>
            <w:tcW w:w="2280" w:type="dxa"/>
            <w:tcBorders>
              <w:top w:val="nil"/>
              <w:left w:val="nil"/>
              <w:bottom w:val="single" w:color="auto" w:sz="4" w:space="0"/>
              <w:right w:val="single" w:color="auto" w:sz="4" w:space="0"/>
            </w:tcBorders>
            <w:noWrap w:val="0"/>
            <w:vAlign w:val="center"/>
          </w:tcPr>
          <w:p w14:paraId="17D1D8D8">
            <w:pPr>
              <w:keepNext w:val="0"/>
              <w:keepLines w:val="0"/>
              <w:pageBreakBefore w:val="0"/>
              <w:widowControl/>
              <w:suppressLineNumbers w:val="0"/>
              <w:shd w:val="clear"/>
              <w:kinsoku/>
              <w:wordWrap/>
              <w:overflowPunct/>
              <w:topLinePunct w:val="0"/>
              <w:autoSpaceDE/>
              <w:autoSpaceDN/>
              <w:bidi w:val="0"/>
              <w:adjustRightInd/>
              <w:spacing w:before="0" w:beforeAutospacing="0" w:after="0" w:afterAutospacing="0" w:line="600" w:lineRule="exact"/>
              <w:ind w:left="0" w:leftChars="0" w:right="0"/>
              <w:jc w:val="center"/>
              <w:textAlignment w:val="auto"/>
              <w:rPr>
                <w:rFonts w:hint="eastAsia" w:ascii="宋体" w:hAnsi="宋体" w:eastAsia="宋体" w:cs="宋体"/>
                <w:color w:val="auto"/>
                <w:kern w:val="0"/>
                <w:sz w:val="28"/>
                <w:szCs w:val="28"/>
                <w:highlight w:val="none"/>
              </w:rPr>
            </w:pPr>
          </w:p>
        </w:tc>
        <w:tc>
          <w:tcPr>
            <w:tcW w:w="2340" w:type="dxa"/>
            <w:tcBorders>
              <w:top w:val="nil"/>
              <w:left w:val="nil"/>
              <w:bottom w:val="single" w:color="auto" w:sz="4" w:space="0"/>
              <w:right w:val="single" w:color="auto" w:sz="4" w:space="0"/>
            </w:tcBorders>
            <w:noWrap w:val="0"/>
            <w:vAlign w:val="center"/>
          </w:tcPr>
          <w:p w14:paraId="2D1FF148">
            <w:pPr>
              <w:keepNext w:val="0"/>
              <w:keepLines w:val="0"/>
              <w:pageBreakBefore w:val="0"/>
              <w:widowControl/>
              <w:suppressLineNumbers w:val="0"/>
              <w:shd w:val="clear"/>
              <w:kinsoku/>
              <w:wordWrap/>
              <w:overflowPunct/>
              <w:topLinePunct w:val="0"/>
              <w:autoSpaceDE/>
              <w:autoSpaceDN/>
              <w:bidi w:val="0"/>
              <w:adjustRightInd/>
              <w:spacing w:before="0" w:beforeAutospacing="0" w:after="0" w:afterAutospacing="0" w:line="600" w:lineRule="exact"/>
              <w:ind w:left="0" w:leftChars="0" w:right="0"/>
              <w:jc w:val="center"/>
              <w:textAlignment w:val="auto"/>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lang w:val="en-US" w:eastAsia="zh-CN"/>
              </w:rPr>
              <w:t>4</w:t>
            </w:r>
            <w:r>
              <w:rPr>
                <w:rFonts w:hint="eastAsia" w:ascii="宋体" w:hAnsi="宋体" w:eastAsia="宋体" w:cs="宋体"/>
                <w:b/>
                <w:bCs/>
                <w:color w:val="auto"/>
                <w:kern w:val="0"/>
                <w:sz w:val="28"/>
                <w:szCs w:val="28"/>
                <w:highlight w:val="none"/>
              </w:rPr>
              <w:t>%</w:t>
            </w:r>
          </w:p>
        </w:tc>
      </w:tr>
    </w:tbl>
    <w:p w14:paraId="4DF8A5A3">
      <w:pPr>
        <w:keepNext w:val="0"/>
        <w:keepLines w:val="0"/>
        <w:pageBreakBefore w:val="0"/>
        <w:shd w:val="clear"/>
        <w:kinsoku/>
        <w:wordWrap/>
        <w:overflowPunct/>
        <w:topLinePunct w:val="0"/>
        <w:autoSpaceDE/>
        <w:autoSpaceDN/>
        <w:bidi w:val="0"/>
        <w:adjustRightInd/>
        <w:spacing w:line="600" w:lineRule="exact"/>
        <w:ind w:left="0" w:leftChars="0"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注：</w:t>
      </w:r>
      <w:r>
        <w:rPr>
          <w:rFonts w:hint="eastAsia" w:ascii="宋体" w:hAnsi="宋体" w:eastAsia="宋体" w:cs="宋体"/>
          <w:color w:val="auto"/>
          <w:sz w:val="28"/>
          <w:szCs w:val="28"/>
          <w:highlight w:val="none"/>
          <w:lang w:val="en-US" w:eastAsia="zh-CN"/>
        </w:rPr>
        <w:t xml:space="preserve">1. </w:t>
      </w:r>
      <w:r>
        <w:rPr>
          <w:rFonts w:hint="eastAsia" w:ascii="宋体" w:hAnsi="宋体" w:eastAsia="宋体" w:cs="宋体"/>
          <w:color w:val="auto"/>
          <w:sz w:val="28"/>
          <w:szCs w:val="28"/>
          <w:highlight w:val="none"/>
          <w:lang w:eastAsia="zh-CN"/>
        </w:rPr>
        <w:t>服务</w:t>
      </w:r>
      <w:r>
        <w:rPr>
          <w:rFonts w:hint="eastAsia" w:ascii="宋体" w:hAnsi="宋体" w:eastAsia="宋体" w:cs="宋体"/>
          <w:color w:val="auto"/>
          <w:sz w:val="28"/>
          <w:szCs w:val="28"/>
          <w:highlight w:val="none"/>
        </w:rPr>
        <w:t>费计算方式为：</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基本费+核减额*4%）*折扣率。其中，审核成果费计算基数为</w:t>
      </w:r>
      <w:r>
        <w:rPr>
          <w:rFonts w:hint="eastAsia" w:ascii="宋体" w:hAnsi="宋体" w:eastAsia="宋体" w:cs="宋体"/>
          <w:color w:val="auto"/>
          <w:sz w:val="28"/>
          <w:szCs w:val="28"/>
          <w:highlight w:val="none"/>
          <w:lang w:eastAsia="zh-CN"/>
        </w:rPr>
        <w:t>独立</w:t>
      </w:r>
      <w:r>
        <w:rPr>
          <w:rFonts w:hint="eastAsia" w:ascii="宋体" w:hAnsi="宋体" w:eastAsia="宋体" w:cs="宋体"/>
          <w:color w:val="auto"/>
          <w:sz w:val="28"/>
          <w:szCs w:val="28"/>
          <w:highlight w:val="none"/>
        </w:rPr>
        <w:t>核减金额。</w:t>
      </w:r>
    </w:p>
    <w:p w14:paraId="2C03AEA1">
      <w:pPr>
        <w:shd w:val="clear"/>
        <w:ind w:firstLine="562" w:firstLineChars="200"/>
        <w:rPr>
          <w:rFonts w:hint="eastAsia" w:ascii="宋体" w:hAnsi="宋体" w:eastAsia="宋体" w:cs="宋体"/>
          <w:color w:val="auto"/>
          <w:sz w:val="28"/>
          <w:szCs w:val="28"/>
          <w:highlight w:val="none"/>
        </w:rPr>
      </w:pPr>
      <w:r>
        <w:rPr>
          <w:rFonts w:hint="eastAsia" w:ascii="宋体" w:hAnsi="宋体" w:eastAsia="宋体" w:cs="宋体"/>
          <w:b/>
          <w:bCs/>
          <w:color w:val="auto"/>
          <w:kern w:val="2"/>
          <w:sz w:val="28"/>
          <w:szCs w:val="28"/>
          <w:highlight w:val="none"/>
          <w:lang w:val="en-US" w:eastAsia="zh-CN" w:bidi="ar-SA"/>
        </w:rPr>
        <w:t>付款方式：各项目分别出具审核报告，交付招标人初审确认，报经招标人备案审查通过后，按照招标人审查备案金额结算支付审计服务费用。</w:t>
      </w:r>
    </w:p>
    <w:p w14:paraId="65E4EDBB">
      <w:pPr>
        <w:shd w:val="clear"/>
        <w:ind w:firstLine="640" w:firstLineChars="200"/>
        <w:rPr>
          <w:rFonts w:ascii="宋体" w:hAnsi="宋体"/>
          <w:color w:val="auto"/>
          <w:sz w:val="32"/>
          <w:szCs w:val="32"/>
          <w:highlight w:val="none"/>
        </w:rPr>
      </w:pPr>
      <w:r>
        <w:rPr>
          <w:rFonts w:hint="eastAsia" w:ascii="宋体" w:hAnsi="宋体"/>
          <w:color w:val="auto"/>
          <w:sz w:val="32"/>
          <w:szCs w:val="32"/>
          <w:highlight w:val="none"/>
          <w:lang w:val="en-US" w:eastAsia="zh-CN"/>
        </w:rPr>
        <w:t>六</w:t>
      </w:r>
      <w:r>
        <w:rPr>
          <w:rFonts w:hint="eastAsia" w:ascii="宋体" w:hAnsi="宋体"/>
          <w:color w:val="auto"/>
          <w:sz w:val="32"/>
          <w:szCs w:val="32"/>
          <w:highlight w:val="none"/>
        </w:rPr>
        <w:t>、签订时间</w:t>
      </w:r>
    </w:p>
    <w:p w14:paraId="2B4BE52B">
      <w:pPr>
        <w:shd w:val="clear"/>
        <w:ind w:firstLine="600" w:firstLineChars="200"/>
        <w:rPr>
          <w:rFonts w:ascii="宋体" w:hAnsi="宋体"/>
          <w:color w:val="auto"/>
          <w:sz w:val="30"/>
          <w:szCs w:val="30"/>
          <w:highlight w:val="none"/>
        </w:rPr>
      </w:pPr>
      <w:r>
        <w:rPr>
          <w:rFonts w:hint="eastAsia" w:ascii="宋体" w:hAnsi="宋体"/>
          <w:bCs/>
          <w:color w:val="auto"/>
          <w:sz w:val="30"/>
          <w:szCs w:val="30"/>
          <w:highlight w:val="none"/>
        </w:rPr>
        <w:t>本合同于</w:t>
      </w:r>
      <w:r>
        <w:rPr>
          <w:rFonts w:ascii="宋体" w:hAnsi="宋体"/>
          <w:color w:val="auto"/>
          <w:sz w:val="30"/>
          <w:szCs w:val="30"/>
          <w:highlight w:val="none"/>
          <w:u w:val="single"/>
        </w:rPr>
        <w:t xml:space="preserve">  </w:t>
      </w:r>
      <w:r>
        <w:rPr>
          <w:rFonts w:hint="eastAsia" w:ascii="宋体" w:hAnsi="宋体"/>
          <w:color w:val="auto"/>
          <w:sz w:val="30"/>
          <w:szCs w:val="30"/>
          <w:highlight w:val="none"/>
          <w:u w:val="single"/>
        </w:rPr>
        <w:t>20</w:t>
      </w:r>
      <w:r>
        <w:rPr>
          <w:rFonts w:hint="eastAsia" w:ascii="宋体" w:hAnsi="宋体"/>
          <w:color w:val="auto"/>
          <w:sz w:val="30"/>
          <w:szCs w:val="30"/>
          <w:highlight w:val="none"/>
          <w:u w:val="single"/>
          <w:lang w:val="en-US" w:eastAsia="zh-CN"/>
        </w:rPr>
        <w:t>25</w:t>
      </w:r>
      <w:r>
        <w:rPr>
          <w:rFonts w:ascii="宋体" w:hAnsi="宋体"/>
          <w:color w:val="auto"/>
          <w:sz w:val="30"/>
          <w:szCs w:val="30"/>
          <w:highlight w:val="none"/>
          <w:u w:val="single"/>
        </w:rPr>
        <w:t xml:space="preserve">  </w:t>
      </w:r>
      <w:r>
        <w:rPr>
          <w:rFonts w:hint="eastAsia" w:ascii="宋体" w:hAnsi="宋体"/>
          <w:color w:val="auto"/>
          <w:sz w:val="30"/>
          <w:szCs w:val="30"/>
          <w:highlight w:val="none"/>
        </w:rPr>
        <w:t>年</w:t>
      </w:r>
      <w:r>
        <w:rPr>
          <w:rFonts w:ascii="宋体" w:hAnsi="宋体"/>
          <w:color w:val="auto"/>
          <w:sz w:val="30"/>
          <w:szCs w:val="30"/>
          <w:highlight w:val="none"/>
          <w:u w:val="single"/>
        </w:rPr>
        <w:t xml:space="preserve">   </w:t>
      </w:r>
      <w:r>
        <w:rPr>
          <w:rFonts w:hint="eastAsia" w:ascii="宋体" w:hAnsi="宋体"/>
          <w:color w:val="auto"/>
          <w:sz w:val="30"/>
          <w:szCs w:val="30"/>
          <w:highlight w:val="none"/>
          <w:u w:val="single"/>
        </w:rPr>
        <w:t xml:space="preserve"> </w:t>
      </w:r>
      <w:r>
        <w:rPr>
          <w:rFonts w:ascii="宋体" w:hAnsi="宋体"/>
          <w:color w:val="auto"/>
          <w:sz w:val="30"/>
          <w:szCs w:val="30"/>
          <w:highlight w:val="none"/>
          <w:u w:val="single"/>
        </w:rPr>
        <w:t xml:space="preserve">  </w:t>
      </w:r>
      <w:r>
        <w:rPr>
          <w:rFonts w:hint="eastAsia" w:ascii="宋体" w:hAnsi="宋体"/>
          <w:color w:val="auto"/>
          <w:sz w:val="30"/>
          <w:szCs w:val="30"/>
          <w:highlight w:val="none"/>
        </w:rPr>
        <w:t>月</w:t>
      </w:r>
      <w:r>
        <w:rPr>
          <w:rFonts w:ascii="宋体" w:hAnsi="宋体"/>
          <w:color w:val="auto"/>
          <w:sz w:val="30"/>
          <w:szCs w:val="30"/>
          <w:highlight w:val="none"/>
          <w:u w:val="single"/>
        </w:rPr>
        <w:t xml:space="preserve">       </w:t>
      </w:r>
      <w:r>
        <w:rPr>
          <w:rFonts w:hint="eastAsia" w:ascii="宋体" w:hAnsi="宋体"/>
          <w:color w:val="auto"/>
          <w:sz w:val="30"/>
          <w:szCs w:val="30"/>
          <w:highlight w:val="none"/>
        </w:rPr>
        <w:t>日</w:t>
      </w:r>
      <w:r>
        <w:rPr>
          <w:rFonts w:hint="eastAsia" w:ascii="宋体" w:hAnsi="宋体"/>
          <w:bCs/>
          <w:color w:val="auto"/>
          <w:sz w:val="30"/>
          <w:szCs w:val="30"/>
          <w:highlight w:val="none"/>
        </w:rPr>
        <w:t>签订</w:t>
      </w:r>
      <w:r>
        <w:rPr>
          <w:rFonts w:hint="eastAsia" w:ascii="宋体" w:hAnsi="宋体"/>
          <w:color w:val="auto"/>
          <w:sz w:val="30"/>
          <w:szCs w:val="30"/>
          <w:highlight w:val="none"/>
        </w:rPr>
        <w:t>。</w:t>
      </w:r>
    </w:p>
    <w:p w14:paraId="1033F66F">
      <w:pPr>
        <w:shd w:val="clear"/>
        <w:ind w:firstLine="640" w:firstLineChars="200"/>
        <w:rPr>
          <w:rFonts w:ascii="宋体" w:hAnsi="宋体"/>
          <w:color w:val="auto"/>
          <w:sz w:val="32"/>
          <w:szCs w:val="32"/>
          <w:highlight w:val="none"/>
        </w:rPr>
      </w:pPr>
      <w:r>
        <w:rPr>
          <w:rFonts w:hint="eastAsia" w:ascii="宋体" w:hAnsi="宋体"/>
          <w:color w:val="auto"/>
          <w:sz w:val="32"/>
          <w:szCs w:val="32"/>
          <w:highlight w:val="none"/>
          <w:lang w:val="en-US" w:eastAsia="zh-CN"/>
        </w:rPr>
        <w:t>七</w:t>
      </w:r>
      <w:r>
        <w:rPr>
          <w:rFonts w:hint="eastAsia" w:ascii="宋体" w:hAnsi="宋体"/>
          <w:color w:val="auto"/>
          <w:sz w:val="32"/>
          <w:szCs w:val="32"/>
          <w:highlight w:val="none"/>
        </w:rPr>
        <w:t>、签订地点</w:t>
      </w:r>
    </w:p>
    <w:p w14:paraId="4F787284">
      <w:pPr>
        <w:shd w:val="clear"/>
        <w:ind w:firstLine="600" w:firstLineChars="200"/>
        <w:rPr>
          <w:rFonts w:ascii="宋体" w:hAnsi="宋体"/>
          <w:color w:val="auto"/>
          <w:sz w:val="30"/>
          <w:szCs w:val="30"/>
          <w:highlight w:val="none"/>
        </w:rPr>
      </w:pPr>
      <w:r>
        <w:rPr>
          <w:rFonts w:hint="eastAsia" w:ascii="宋体" w:hAnsi="宋体"/>
          <w:bCs/>
          <w:color w:val="auto"/>
          <w:sz w:val="30"/>
          <w:szCs w:val="30"/>
          <w:highlight w:val="none"/>
        </w:rPr>
        <w:t>本合同在</w:t>
      </w:r>
      <w:r>
        <w:rPr>
          <w:rFonts w:ascii="宋体" w:hAnsi="宋体"/>
          <w:color w:val="auto"/>
          <w:sz w:val="30"/>
          <w:szCs w:val="30"/>
          <w:highlight w:val="none"/>
          <w:u w:val="single"/>
        </w:rPr>
        <w:t xml:space="preserve">  </w:t>
      </w:r>
      <w:r>
        <w:rPr>
          <w:rFonts w:hint="eastAsia" w:ascii="宋体" w:hAnsi="宋体" w:cs="仿宋_GB2312"/>
          <w:color w:val="auto"/>
          <w:sz w:val="30"/>
          <w:szCs w:val="30"/>
          <w:highlight w:val="none"/>
          <w:u w:val="single"/>
          <w:lang w:val="en-US" w:eastAsia="zh-CN"/>
        </w:rPr>
        <w:t xml:space="preserve"> </w:t>
      </w:r>
      <w:r>
        <w:rPr>
          <w:rFonts w:hint="eastAsia" w:ascii="宋体" w:hAnsi="宋体" w:cs="宋体"/>
          <w:color w:val="auto"/>
          <w:sz w:val="28"/>
          <w:szCs w:val="28"/>
          <w:highlight w:val="none"/>
          <w:u w:val="single"/>
          <w:lang w:eastAsia="zh-CN"/>
        </w:rPr>
        <w:t>安徽省琅琊山旅游发展有限公司</w:t>
      </w:r>
      <w:r>
        <w:rPr>
          <w:rFonts w:hint="eastAsia" w:ascii="宋体" w:hAnsi="宋体" w:cs="仿宋_GB2312"/>
          <w:color w:val="auto"/>
          <w:sz w:val="30"/>
          <w:szCs w:val="30"/>
          <w:highlight w:val="none"/>
          <w:u w:val="single"/>
          <w:lang w:val="en-US" w:eastAsia="zh-CN"/>
        </w:rPr>
        <w:t xml:space="preserve">   </w:t>
      </w:r>
      <w:r>
        <w:rPr>
          <w:rFonts w:hint="eastAsia" w:ascii="宋体" w:hAnsi="宋体"/>
          <w:color w:val="auto"/>
          <w:sz w:val="30"/>
          <w:szCs w:val="30"/>
          <w:highlight w:val="none"/>
          <w:u w:val="single"/>
        </w:rPr>
        <w:t xml:space="preserve"> </w:t>
      </w:r>
      <w:r>
        <w:rPr>
          <w:rFonts w:ascii="宋体" w:hAnsi="宋体"/>
          <w:color w:val="auto"/>
          <w:sz w:val="30"/>
          <w:szCs w:val="30"/>
          <w:highlight w:val="none"/>
          <w:u w:val="single"/>
        </w:rPr>
        <w:t xml:space="preserve"> </w:t>
      </w:r>
      <w:r>
        <w:rPr>
          <w:rFonts w:hint="eastAsia" w:ascii="宋体" w:hAnsi="宋体"/>
          <w:color w:val="auto"/>
          <w:sz w:val="30"/>
          <w:szCs w:val="30"/>
          <w:highlight w:val="none"/>
        </w:rPr>
        <w:t>签订。</w:t>
      </w:r>
    </w:p>
    <w:p w14:paraId="60EFACA2">
      <w:pPr>
        <w:shd w:val="clear"/>
        <w:ind w:firstLine="640" w:firstLineChars="200"/>
        <w:rPr>
          <w:rFonts w:ascii="宋体" w:hAnsi="宋体"/>
          <w:color w:val="auto"/>
          <w:sz w:val="32"/>
          <w:szCs w:val="32"/>
          <w:highlight w:val="none"/>
        </w:rPr>
      </w:pPr>
      <w:r>
        <w:rPr>
          <w:rFonts w:hint="eastAsia" w:ascii="宋体" w:hAnsi="宋体"/>
          <w:color w:val="auto"/>
          <w:sz w:val="32"/>
          <w:szCs w:val="32"/>
          <w:highlight w:val="none"/>
          <w:lang w:val="en-US" w:eastAsia="zh-CN"/>
        </w:rPr>
        <w:t>八</w:t>
      </w:r>
      <w:r>
        <w:rPr>
          <w:rFonts w:hint="eastAsia" w:ascii="宋体" w:hAnsi="宋体"/>
          <w:color w:val="auto"/>
          <w:sz w:val="32"/>
          <w:szCs w:val="32"/>
          <w:highlight w:val="none"/>
        </w:rPr>
        <w:t>、补充协议</w:t>
      </w:r>
    </w:p>
    <w:p w14:paraId="27D6D483">
      <w:pPr>
        <w:shd w:val="clear"/>
        <w:ind w:firstLine="600" w:firstLineChars="200"/>
        <w:rPr>
          <w:rFonts w:ascii="宋体" w:hAnsi="宋体"/>
          <w:color w:val="auto"/>
          <w:sz w:val="30"/>
          <w:szCs w:val="30"/>
          <w:highlight w:val="none"/>
        </w:rPr>
      </w:pPr>
      <w:r>
        <w:rPr>
          <w:rFonts w:hint="eastAsia" w:ascii="宋体" w:hAnsi="宋体"/>
          <w:color w:val="auto"/>
          <w:sz w:val="30"/>
          <w:szCs w:val="30"/>
          <w:highlight w:val="none"/>
        </w:rPr>
        <w:t>合同未尽事宜，合同当事人另行签订补充协议，补充协议是合同的组成部分。</w:t>
      </w:r>
    </w:p>
    <w:p w14:paraId="6431A008">
      <w:pPr>
        <w:shd w:val="clear"/>
        <w:ind w:firstLine="640" w:firstLineChars="200"/>
        <w:rPr>
          <w:rFonts w:ascii="宋体" w:hAnsi="宋体"/>
          <w:color w:val="auto"/>
          <w:sz w:val="32"/>
          <w:szCs w:val="32"/>
          <w:highlight w:val="none"/>
        </w:rPr>
      </w:pPr>
      <w:r>
        <w:rPr>
          <w:rFonts w:hint="eastAsia" w:ascii="宋体" w:hAnsi="宋体"/>
          <w:color w:val="auto"/>
          <w:sz w:val="32"/>
          <w:szCs w:val="32"/>
          <w:highlight w:val="none"/>
          <w:lang w:val="en-US" w:eastAsia="zh-CN"/>
        </w:rPr>
        <w:t>九</w:t>
      </w:r>
      <w:r>
        <w:rPr>
          <w:rFonts w:hint="eastAsia" w:ascii="宋体" w:hAnsi="宋体"/>
          <w:color w:val="auto"/>
          <w:sz w:val="32"/>
          <w:szCs w:val="32"/>
          <w:highlight w:val="none"/>
        </w:rPr>
        <w:t>、合同生效</w:t>
      </w:r>
    </w:p>
    <w:p w14:paraId="62024AE3">
      <w:pPr>
        <w:shd w:val="clear"/>
        <w:ind w:firstLine="600" w:firstLineChars="200"/>
        <w:rPr>
          <w:rFonts w:ascii="宋体" w:hAnsi="宋体"/>
          <w:color w:val="auto"/>
          <w:sz w:val="30"/>
          <w:szCs w:val="30"/>
          <w:highlight w:val="none"/>
        </w:rPr>
      </w:pPr>
      <w:r>
        <w:rPr>
          <w:rFonts w:hint="eastAsia" w:ascii="宋体" w:hAnsi="宋体"/>
          <w:color w:val="auto"/>
          <w:sz w:val="30"/>
          <w:szCs w:val="30"/>
          <w:highlight w:val="none"/>
        </w:rPr>
        <w:t>本合同自</w:t>
      </w:r>
      <w:r>
        <w:rPr>
          <w:rFonts w:ascii="宋体" w:hAnsi="宋体"/>
          <w:color w:val="auto"/>
          <w:sz w:val="30"/>
          <w:szCs w:val="30"/>
          <w:highlight w:val="none"/>
          <w:u w:val="single"/>
        </w:rPr>
        <w:t xml:space="preserve">   </w:t>
      </w:r>
      <w:r>
        <w:rPr>
          <w:rFonts w:hint="eastAsia" w:ascii="宋体" w:hAnsi="宋体"/>
          <w:color w:val="auto"/>
          <w:sz w:val="30"/>
          <w:szCs w:val="30"/>
          <w:highlight w:val="none"/>
          <w:u w:val="single"/>
        </w:rPr>
        <w:t>签订之日起</w:t>
      </w:r>
      <w:r>
        <w:rPr>
          <w:rFonts w:ascii="宋体" w:hAnsi="宋体"/>
          <w:color w:val="auto"/>
          <w:sz w:val="30"/>
          <w:szCs w:val="30"/>
          <w:highlight w:val="none"/>
          <w:u w:val="single"/>
        </w:rPr>
        <w:t xml:space="preserve">   </w:t>
      </w:r>
      <w:r>
        <w:rPr>
          <w:rFonts w:hint="eastAsia" w:ascii="宋体" w:hAnsi="宋体"/>
          <w:color w:val="auto"/>
          <w:sz w:val="30"/>
          <w:szCs w:val="30"/>
          <w:highlight w:val="none"/>
        </w:rPr>
        <w:t>生效。</w:t>
      </w:r>
    </w:p>
    <w:p w14:paraId="294B1600">
      <w:pPr>
        <w:shd w:val="clear"/>
        <w:ind w:firstLine="640" w:firstLineChars="200"/>
        <w:rPr>
          <w:rFonts w:ascii="宋体" w:hAnsi="宋体"/>
          <w:color w:val="auto"/>
          <w:sz w:val="32"/>
          <w:szCs w:val="32"/>
          <w:highlight w:val="none"/>
        </w:rPr>
      </w:pPr>
      <w:r>
        <w:rPr>
          <w:rFonts w:hint="eastAsia" w:ascii="宋体" w:hAnsi="宋体"/>
          <w:color w:val="auto"/>
          <w:sz w:val="32"/>
          <w:szCs w:val="32"/>
          <w:highlight w:val="none"/>
        </w:rPr>
        <w:t>十、合同份数</w:t>
      </w:r>
    </w:p>
    <w:p w14:paraId="6D560D60">
      <w:pPr>
        <w:shd w:val="clear"/>
        <w:ind w:firstLine="600" w:firstLineChars="200"/>
        <w:rPr>
          <w:rFonts w:ascii="宋体" w:hAnsi="宋体"/>
          <w:bCs/>
          <w:color w:val="auto"/>
          <w:sz w:val="30"/>
          <w:szCs w:val="30"/>
          <w:highlight w:val="none"/>
        </w:rPr>
      </w:pPr>
      <w:r>
        <w:rPr>
          <w:rFonts w:hint="eastAsia" w:ascii="宋体" w:hAnsi="宋体"/>
          <w:color w:val="auto"/>
          <w:sz w:val="30"/>
          <w:szCs w:val="30"/>
          <w:highlight w:val="none"/>
        </w:rPr>
        <w:t>本合同一式</w:t>
      </w:r>
      <w:r>
        <w:rPr>
          <w:rFonts w:ascii="宋体" w:hAnsi="宋体"/>
          <w:color w:val="auto"/>
          <w:sz w:val="30"/>
          <w:szCs w:val="30"/>
          <w:highlight w:val="none"/>
          <w:u w:val="single"/>
        </w:rPr>
        <w:t xml:space="preserve">  </w:t>
      </w:r>
      <w:r>
        <w:rPr>
          <w:rFonts w:hint="eastAsia" w:ascii="宋体" w:hAnsi="宋体"/>
          <w:color w:val="auto"/>
          <w:sz w:val="30"/>
          <w:szCs w:val="30"/>
          <w:highlight w:val="none"/>
          <w:u w:val="single"/>
        </w:rPr>
        <w:t>肆</w:t>
      </w:r>
      <w:r>
        <w:rPr>
          <w:rFonts w:ascii="宋体" w:hAnsi="宋体"/>
          <w:color w:val="auto"/>
          <w:sz w:val="30"/>
          <w:szCs w:val="30"/>
          <w:highlight w:val="none"/>
          <w:u w:val="single"/>
        </w:rPr>
        <w:t xml:space="preserve">  </w:t>
      </w:r>
      <w:r>
        <w:rPr>
          <w:rFonts w:hint="eastAsia" w:ascii="宋体" w:hAnsi="宋体"/>
          <w:color w:val="auto"/>
          <w:sz w:val="30"/>
          <w:szCs w:val="30"/>
          <w:highlight w:val="none"/>
        </w:rPr>
        <w:t>份，均具有同等法律效力，委托人</w:t>
      </w:r>
      <w:r>
        <w:rPr>
          <w:rFonts w:ascii="宋体" w:hAnsi="宋体"/>
          <w:color w:val="auto"/>
          <w:sz w:val="30"/>
          <w:szCs w:val="30"/>
          <w:highlight w:val="none"/>
          <w:u w:val="single"/>
        </w:rPr>
        <w:t xml:space="preserve">  </w:t>
      </w:r>
      <w:r>
        <w:rPr>
          <w:rFonts w:hint="eastAsia" w:ascii="宋体" w:hAnsi="宋体"/>
          <w:color w:val="auto"/>
          <w:sz w:val="30"/>
          <w:szCs w:val="30"/>
          <w:highlight w:val="none"/>
          <w:u w:val="single"/>
        </w:rPr>
        <w:t>贰</w:t>
      </w:r>
      <w:r>
        <w:rPr>
          <w:rFonts w:ascii="宋体" w:hAnsi="宋体"/>
          <w:color w:val="auto"/>
          <w:sz w:val="30"/>
          <w:szCs w:val="30"/>
          <w:highlight w:val="none"/>
          <w:u w:val="single"/>
        </w:rPr>
        <w:t xml:space="preserve">  </w:t>
      </w:r>
      <w:r>
        <w:rPr>
          <w:rFonts w:hint="eastAsia" w:ascii="宋体" w:hAnsi="宋体"/>
          <w:color w:val="auto"/>
          <w:sz w:val="30"/>
          <w:szCs w:val="30"/>
          <w:highlight w:val="none"/>
        </w:rPr>
        <w:t>份，咨询人</w:t>
      </w:r>
      <w:r>
        <w:rPr>
          <w:rFonts w:ascii="宋体" w:hAnsi="宋体"/>
          <w:color w:val="auto"/>
          <w:sz w:val="30"/>
          <w:szCs w:val="30"/>
          <w:highlight w:val="none"/>
          <w:u w:val="single"/>
        </w:rPr>
        <w:t xml:space="preserve">  </w:t>
      </w:r>
      <w:r>
        <w:rPr>
          <w:rFonts w:hint="eastAsia" w:ascii="宋体" w:hAnsi="宋体"/>
          <w:color w:val="auto"/>
          <w:sz w:val="30"/>
          <w:szCs w:val="30"/>
          <w:highlight w:val="none"/>
          <w:u w:val="single"/>
        </w:rPr>
        <w:t>贰</w:t>
      </w:r>
      <w:r>
        <w:rPr>
          <w:rFonts w:ascii="宋体" w:hAnsi="宋体"/>
          <w:color w:val="auto"/>
          <w:sz w:val="30"/>
          <w:szCs w:val="30"/>
          <w:highlight w:val="none"/>
          <w:u w:val="single"/>
        </w:rPr>
        <w:t xml:space="preserve">  </w:t>
      </w:r>
      <w:r>
        <w:rPr>
          <w:rFonts w:hint="eastAsia" w:ascii="宋体" w:hAnsi="宋体"/>
          <w:color w:val="auto"/>
          <w:sz w:val="30"/>
          <w:szCs w:val="30"/>
          <w:highlight w:val="none"/>
        </w:rPr>
        <w:t>份。</w:t>
      </w:r>
    </w:p>
    <w:p w14:paraId="200FA12E">
      <w:pPr>
        <w:pStyle w:val="2"/>
        <w:shd w:val="clear"/>
        <w:ind w:left="420" w:firstLine="600"/>
        <w:rPr>
          <w:rFonts w:hAnsi="宋体"/>
          <w:bCs/>
          <w:color w:val="auto"/>
          <w:sz w:val="30"/>
          <w:szCs w:val="30"/>
          <w:highlight w:val="none"/>
        </w:rPr>
      </w:pPr>
    </w:p>
    <w:p w14:paraId="347D9E8E">
      <w:pPr>
        <w:shd w:val="clear"/>
        <w:rPr>
          <w:color w:val="auto"/>
          <w:highlight w:val="none"/>
        </w:rPr>
      </w:pPr>
    </w:p>
    <w:p w14:paraId="5D0E7B5F">
      <w:pPr>
        <w:shd w:val="clear"/>
        <w:tabs>
          <w:tab w:val="left" w:pos="4830"/>
        </w:tabs>
        <w:rPr>
          <w:rFonts w:ascii="宋体" w:hAnsi="宋体"/>
          <w:color w:val="auto"/>
          <w:sz w:val="30"/>
          <w:szCs w:val="30"/>
          <w:highlight w:val="none"/>
        </w:rPr>
      </w:pPr>
      <w:bookmarkStart w:id="36" w:name="_Toc407261893"/>
      <w:r>
        <w:rPr>
          <w:rFonts w:hint="eastAsia" w:ascii="宋体" w:hAnsi="宋体"/>
          <w:color w:val="auto"/>
          <w:sz w:val="30"/>
          <w:szCs w:val="30"/>
          <w:highlight w:val="none"/>
        </w:rPr>
        <w:t>委托人：</w:t>
      </w:r>
      <w:r>
        <w:rPr>
          <w:rFonts w:ascii="宋体" w:hAnsi="宋体"/>
          <w:color w:val="auto"/>
          <w:sz w:val="30"/>
          <w:szCs w:val="30"/>
          <w:highlight w:val="none"/>
        </w:rPr>
        <w:t xml:space="preserve">  (</w:t>
      </w:r>
      <w:r>
        <w:rPr>
          <w:rFonts w:hint="eastAsia" w:ascii="宋体" w:hAnsi="宋体"/>
          <w:color w:val="auto"/>
          <w:sz w:val="30"/>
          <w:szCs w:val="30"/>
          <w:highlight w:val="none"/>
        </w:rPr>
        <w:t>公章</w:t>
      </w:r>
      <w:r>
        <w:rPr>
          <w:rFonts w:ascii="宋体" w:hAnsi="宋体"/>
          <w:color w:val="auto"/>
          <w:sz w:val="30"/>
          <w:szCs w:val="30"/>
          <w:highlight w:val="none"/>
        </w:rPr>
        <w:t xml:space="preserve">)                </w:t>
      </w:r>
      <w:r>
        <w:rPr>
          <w:rFonts w:hint="eastAsia" w:ascii="宋体" w:hAnsi="宋体"/>
          <w:color w:val="auto"/>
          <w:sz w:val="30"/>
          <w:szCs w:val="30"/>
          <w:highlight w:val="none"/>
        </w:rPr>
        <w:t>受托人：</w:t>
      </w:r>
      <w:r>
        <w:rPr>
          <w:rFonts w:ascii="宋体" w:hAnsi="宋体"/>
          <w:color w:val="auto"/>
          <w:sz w:val="30"/>
          <w:szCs w:val="30"/>
          <w:highlight w:val="none"/>
        </w:rPr>
        <w:t xml:space="preserve">  (</w:t>
      </w:r>
      <w:r>
        <w:rPr>
          <w:rFonts w:hint="eastAsia" w:ascii="宋体" w:hAnsi="宋体"/>
          <w:color w:val="auto"/>
          <w:sz w:val="30"/>
          <w:szCs w:val="30"/>
          <w:highlight w:val="none"/>
        </w:rPr>
        <w:t>公章</w:t>
      </w:r>
      <w:r>
        <w:rPr>
          <w:rFonts w:ascii="宋体" w:hAnsi="宋体"/>
          <w:color w:val="auto"/>
          <w:sz w:val="30"/>
          <w:szCs w:val="30"/>
          <w:highlight w:val="none"/>
        </w:rPr>
        <w:t xml:space="preserve">)         </w:t>
      </w:r>
    </w:p>
    <w:p w14:paraId="2A04B27B">
      <w:pPr>
        <w:shd w:val="clear"/>
        <w:tabs>
          <w:tab w:val="left" w:pos="4830"/>
        </w:tabs>
        <w:rPr>
          <w:rFonts w:ascii="宋体" w:hAnsi="宋体"/>
          <w:color w:val="auto"/>
          <w:sz w:val="30"/>
          <w:szCs w:val="30"/>
          <w:highlight w:val="none"/>
        </w:rPr>
      </w:pPr>
      <w:r>
        <w:rPr>
          <w:rFonts w:ascii="宋体" w:hAnsi="宋体"/>
          <w:color w:val="auto"/>
          <w:sz w:val="30"/>
          <w:szCs w:val="30"/>
          <w:highlight w:val="none"/>
        </w:rPr>
        <w:t xml:space="preserve">                </w:t>
      </w:r>
    </w:p>
    <w:p w14:paraId="6E5255AB">
      <w:pPr>
        <w:shd w:val="clear"/>
        <w:rPr>
          <w:rFonts w:ascii="宋体" w:hAnsi="宋体"/>
          <w:color w:val="auto"/>
          <w:sz w:val="30"/>
          <w:szCs w:val="30"/>
          <w:highlight w:val="none"/>
        </w:rPr>
      </w:pPr>
      <w:r>
        <w:rPr>
          <w:rFonts w:hint="eastAsia" w:ascii="宋体" w:hAnsi="宋体"/>
          <w:color w:val="auto"/>
          <w:sz w:val="30"/>
          <w:szCs w:val="30"/>
          <w:highlight w:val="none"/>
        </w:rPr>
        <w:t>法定代表人或其委托代理人：</w:t>
      </w:r>
      <w:r>
        <w:rPr>
          <w:rFonts w:ascii="宋体" w:hAnsi="宋体"/>
          <w:color w:val="auto"/>
          <w:sz w:val="30"/>
          <w:szCs w:val="30"/>
          <w:highlight w:val="none"/>
        </w:rPr>
        <w:t xml:space="preserve">     </w:t>
      </w:r>
      <w:r>
        <w:rPr>
          <w:rFonts w:hint="eastAsia" w:ascii="宋体" w:hAnsi="宋体"/>
          <w:color w:val="auto"/>
          <w:sz w:val="30"/>
          <w:szCs w:val="30"/>
          <w:highlight w:val="none"/>
        </w:rPr>
        <w:t>法定代表人或其委托代理人：</w:t>
      </w:r>
    </w:p>
    <w:p w14:paraId="0A69DA5A">
      <w:pPr>
        <w:shd w:val="clear"/>
        <w:rPr>
          <w:rFonts w:ascii="宋体" w:hAnsi="宋体"/>
          <w:color w:val="auto"/>
          <w:sz w:val="30"/>
          <w:szCs w:val="30"/>
          <w:highlight w:val="none"/>
        </w:rPr>
      </w:pPr>
      <w:r>
        <w:rPr>
          <w:rFonts w:hint="eastAsia" w:ascii="宋体" w:hAnsi="宋体"/>
          <w:color w:val="auto"/>
          <w:sz w:val="30"/>
          <w:szCs w:val="30"/>
          <w:highlight w:val="none"/>
        </w:rPr>
        <w:t>（签字）</w:t>
      </w:r>
      <w:r>
        <w:rPr>
          <w:rFonts w:ascii="宋体" w:hAnsi="宋体"/>
          <w:color w:val="auto"/>
          <w:sz w:val="30"/>
          <w:szCs w:val="30"/>
          <w:highlight w:val="none"/>
        </w:rPr>
        <w:t xml:space="preserve">                       </w:t>
      </w:r>
      <w:r>
        <w:rPr>
          <w:rFonts w:hint="eastAsia" w:ascii="宋体" w:hAnsi="宋体"/>
          <w:color w:val="auto"/>
          <w:sz w:val="30"/>
          <w:szCs w:val="30"/>
          <w:highlight w:val="none"/>
        </w:rPr>
        <w:t>（签字）</w:t>
      </w:r>
    </w:p>
    <w:p w14:paraId="02605171">
      <w:pPr>
        <w:shd w:val="clear"/>
        <w:ind w:firstLine="2100" w:firstLineChars="700"/>
        <w:rPr>
          <w:rFonts w:hint="eastAsia" w:ascii="宋体" w:hAnsi="宋体"/>
          <w:color w:val="auto"/>
          <w:sz w:val="30"/>
          <w:szCs w:val="30"/>
          <w:highlight w:val="none"/>
        </w:rPr>
      </w:pPr>
      <w:r>
        <w:rPr>
          <w:rFonts w:hint="eastAsia" w:ascii="宋体" w:hAnsi="宋体"/>
          <w:color w:val="auto"/>
          <w:sz w:val="30"/>
          <w:szCs w:val="30"/>
          <w:highlight w:val="none"/>
        </w:rPr>
        <w:t>年  月  日                      年  月  日</w:t>
      </w:r>
    </w:p>
    <w:p w14:paraId="370DFDA3">
      <w:pPr>
        <w:shd w:val="clear"/>
        <w:rPr>
          <w:rFonts w:hint="eastAsia" w:ascii="宋体" w:hAnsi="宋体"/>
          <w:color w:val="auto"/>
          <w:sz w:val="30"/>
          <w:szCs w:val="30"/>
          <w:highlight w:val="none"/>
        </w:rPr>
      </w:pPr>
    </w:p>
    <w:bookmarkEnd w:id="36"/>
    <w:p w14:paraId="7EBD6B56">
      <w:pPr>
        <w:shd w:val="clea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br w:type="page"/>
      </w:r>
    </w:p>
    <w:p w14:paraId="5CC731ED">
      <w:pPr>
        <w:pStyle w:val="6"/>
        <w:shd w:val="clear"/>
        <w:spacing w:before="0" w:after="0"/>
        <w:rPr>
          <w:rFonts w:hint="eastAsia" w:ascii="宋体" w:hAnsi="宋体" w:eastAsia="宋体" w:cs="宋体"/>
          <w:color w:val="auto"/>
          <w:highlight w:val="none"/>
          <w:lang w:val="en-US" w:eastAsia="zh-CN"/>
        </w:rPr>
      </w:pPr>
      <w:bookmarkStart w:id="37" w:name="_Toc2691"/>
    </w:p>
    <w:p w14:paraId="27BCA841">
      <w:pPr>
        <w:pStyle w:val="6"/>
        <w:shd w:val="clear"/>
        <w:spacing w:before="0" w:after="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第六章投标文件格式</w:t>
      </w:r>
      <w:bookmarkEnd w:id="34"/>
      <w:bookmarkEnd w:id="37"/>
    </w:p>
    <w:p w14:paraId="720FFBAD">
      <w:pPr>
        <w:shd w:val="clear"/>
        <w:rPr>
          <w:color w:val="auto"/>
          <w:highlight w:val="none"/>
        </w:rPr>
      </w:pPr>
    </w:p>
    <w:p w14:paraId="507945FE">
      <w:pPr>
        <w:pStyle w:val="28"/>
        <w:shd w:val="clear"/>
        <w:rPr>
          <w:color w:val="auto"/>
          <w:highlight w:val="none"/>
        </w:rPr>
      </w:pPr>
    </w:p>
    <w:p w14:paraId="34211662">
      <w:pPr>
        <w:pStyle w:val="28"/>
        <w:shd w:val="clear"/>
        <w:rPr>
          <w:color w:val="auto"/>
          <w:highlight w:val="none"/>
        </w:rPr>
      </w:pPr>
    </w:p>
    <w:p w14:paraId="0DA5841D">
      <w:pPr>
        <w:shd w:val="clear"/>
        <w:jc w:val="center"/>
        <w:rPr>
          <w:rFonts w:hint="eastAsia" w:ascii="宋体" w:hAnsi="宋体" w:cs="宋体"/>
          <w:color w:val="auto"/>
          <w:sz w:val="20"/>
          <w:highlight w:val="none"/>
        </w:rPr>
      </w:pPr>
    </w:p>
    <w:p w14:paraId="44DC9C24">
      <w:pPr>
        <w:shd w:val="clear"/>
        <w:ind w:firstLine="2240" w:firstLineChars="700"/>
        <w:rPr>
          <w:rFonts w:hint="eastAsia" w:ascii="宋体" w:hAnsi="宋体" w:cs="宋体"/>
          <w:color w:val="auto"/>
          <w:sz w:val="44"/>
          <w:szCs w:val="44"/>
          <w:highlight w:val="none"/>
        </w:rPr>
      </w:pPr>
      <w:r>
        <w:rPr>
          <w:rFonts w:hint="eastAsia" w:ascii="宋体" w:hAnsi="宋体" w:cs="宋体"/>
          <w:color w:val="auto"/>
          <w:sz w:val="32"/>
          <w:szCs w:val="32"/>
          <w:highlight w:val="none"/>
          <w:u w:val="single"/>
        </w:rPr>
        <w:t xml:space="preserve">       （项目名称）          </w:t>
      </w:r>
      <w:r>
        <w:rPr>
          <w:rFonts w:hint="eastAsia" w:ascii="宋体" w:hAnsi="宋体" w:cs="宋体"/>
          <w:color w:val="auto"/>
          <w:sz w:val="28"/>
          <w:szCs w:val="28"/>
          <w:highlight w:val="none"/>
        </w:rPr>
        <w:t xml:space="preserve"> </w:t>
      </w:r>
    </w:p>
    <w:p w14:paraId="1CB46F25">
      <w:pPr>
        <w:shd w:val="clear"/>
        <w:jc w:val="center"/>
        <w:rPr>
          <w:rFonts w:hint="eastAsia" w:ascii="宋体" w:hAnsi="宋体" w:cs="宋体"/>
          <w:color w:val="auto"/>
          <w:sz w:val="20"/>
          <w:highlight w:val="none"/>
        </w:rPr>
      </w:pPr>
    </w:p>
    <w:p w14:paraId="606A6F46">
      <w:pPr>
        <w:shd w:val="clear"/>
        <w:rPr>
          <w:rFonts w:hint="eastAsia" w:ascii="宋体" w:hAnsi="宋体" w:cs="宋体"/>
          <w:color w:val="auto"/>
          <w:sz w:val="20"/>
          <w:highlight w:val="none"/>
        </w:rPr>
      </w:pPr>
    </w:p>
    <w:p w14:paraId="3A2CFF3A">
      <w:pPr>
        <w:shd w:val="clear"/>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 xml:space="preserve">投  标  文  件 </w:t>
      </w:r>
    </w:p>
    <w:p w14:paraId="21B86B6E">
      <w:pPr>
        <w:shd w:val="clear"/>
        <w:jc w:val="center"/>
        <w:rPr>
          <w:rFonts w:hint="eastAsia" w:ascii="宋体" w:hAnsi="宋体" w:cs="宋体"/>
          <w:color w:val="auto"/>
          <w:sz w:val="40"/>
          <w:szCs w:val="40"/>
          <w:highlight w:val="none"/>
        </w:rPr>
      </w:pPr>
      <w:r>
        <w:rPr>
          <w:rFonts w:hint="eastAsia" w:ascii="宋体" w:hAnsi="宋体" w:eastAsia="宋体" w:cs="宋体"/>
          <w:color w:val="auto"/>
          <w:sz w:val="28"/>
          <w:szCs w:val="20"/>
          <w:highlight w:val="none"/>
          <w:u w:val="none"/>
          <w:lang w:val="en-US" w:eastAsia="zh-CN"/>
        </w:rPr>
        <w:t>项目编号：</w:t>
      </w:r>
    </w:p>
    <w:p w14:paraId="56DC4F68">
      <w:pPr>
        <w:shd w:val="clear"/>
        <w:jc w:val="center"/>
        <w:rPr>
          <w:rFonts w:hint="eastAsia" w:ascii="宋体" w:hAnsi="宋体" w:cs="宋体"/>
          <w:color w:val="auto"/>
          <w:sz w:val="44"/>
          <w:szCs w:val="44"/>
          <w:highlight w:val="none"/>
        </w:rPr>
      </w:pPr>
    </w:p>
    <w:p w14:paraId="4C964EE1">
      <w:pPr>
        <w:shd w:val="clear"/>
        <w:rPr>
          <w:rFonts w:hint="eastAsia" w:ascii="宋体" w:hAnsi="宋体" w:cs="宋体"/>
          <w:color w:val="auto"/>
          <w:sz w:val="28"/>
          <w:szCs w:val="28"/>
          <w:highlight w:val="none"/>
        </w:rPr>
      </w:pPr>
    </w:p>
    <w:p w14:paraId="407392E0">
      <w:pPr>
        <w:shd w:val="clear"/>
        <w:rPr>
          <w:rFonts w:hint="eastAsia" w:ascii="宋体" w:hAnsi="宋体" w:cs="宋体"/>
          <w:color w:val="auto"/>
          <w:sz w:val="28"/>
          <w:szCs w:val="28"/>
          <w:highlight w:val="none"/>
        </w:rPr>
      </w:pPr>
    </w:p>
    <w:p w14:paraId="50DB5A6F">
      <w:pPr>
        <w:shd w:val="clear"/>
        <w:rPr>
          <w:rFonts w:hint="eastAsia" w:ascii="宋体" w:hAnsi="宋体" w:cs="宋体"/>
          <w:color w:val="auto"/>
          <w:sz w:val="28"/>
          <w:szCs w:val="28"/>
          <w:highlight w:val="none"/>
        </w:rPr>
      </w:pPr>
    </w:p>
    <w:p w14:paraId="68B7BC9F">
      <w:pPr>
        <w:shd w:val="clear"/>
        <w:rPr>
          <w:rFonts w:hint="eastAsia" w:ascii="宋体" w:hAnsi="宋体" w:cs="宋体"/>
          <w:color w:val="auto"/>
          <w:sz w:val="28"/>
          <w:szCs w:val="28"/>
          <w:highlight w:val="none"/>
        </w:rPr>
      </w:pPr>
    </w:p>
    <w:p w14:paraId="5E7157E6">
      <w:pPr>
        <w:shd w:val="clear"/>
        <w:rPr>
          <w:rFonts w:hint="eastAsia" w:ascii="宋体" w:hAnsi="宋体" w:cs="宋体"/>
          <w:color w:val="auto"/>
          <w:sz w:val="28"/>
          <w:szCs w:val="28"/>
          <w:highlight w:val="none"/>
        </w:rPr>
      </w:pPr>
    </w:p>
    <w:p w14:paraId="1353BBBB">
      <w:pPr>
        <w:shd w:val="clear"/>
        <w:rPr>
          <w:rFonts w:hint="eastAsia" w:ascii="宋体" w:hAnsi="宋体" w:cs="宋体"/>
          <w:color w:val="auto"/>
          <w:sz w:val="28"/>
          <w:szCs w:val="28"/>
          <w:highlight w:val="none"/>
        </w:rPr>
      </w:pPr>
    </w:p>
    <w:p w14:paraId="69AD12D5">
      <w:pPr>
        <w:pStyle w:val="2"/>
        <w:shd w:val="clear"/>
        <w:ind w:firstLine="560"/>
        <w:rPr>
          <w:rFonts w:hint="eastAsia" w:ascii="宋体" w:hAnsi="宋体" w:cs="宋体"/>
          <w:color w:val="auto"/>
          <w:sz w:val="28"/>
          <w:szCs w:val="28"/>
          <w:highlight w:val="none"/>
        </w:rPr>
      </w:pPr>
    </w:p>
    <w:p w14:paraId="23EE9D88">
      <w:pPr>
        <w:shd w:val="clear"/>
        <w:rPr>
          <w:rFonts w:hint="eastAsia"/>
          <w:color w:val="auto"/>
          <w:highlight w:val="none"/>
        </w:rPr>
      </w:pPr>
    </w:p>
    <w:p w14:paraId="13DAFE3B">
      <w:pPr>
        <w:shd w:val="clear"/>
        <w:jc w:val="center"/>
        <w:rPr>
          <w:rFonts w:hint="eastAsia" w:ascii="宋体" w:hAnsi="宋体" w:cs="宋体"/>
          <w:color w:val="auto"/>
          <w:sz w:val="28"/>
          <w:szCs w:val="28"/>
          <w:highlight w:val="none"/>
          <w:u w:val="single"/>
        </w:rPr>
      </w:pPr>
      <w:r>
        <w:rPr>
          <w:rFonts w:hint="eastAsia" w:ascii="宋体" w:hAnsi="宋体" w:cs="宋体"/>
          <w:color w:val="auto"/>
          <w:sz w:val="28"/>
          <w:szCs w:val="28"/>
          <w:highlight w:val="none"/>
        </w:rPr>
        <w:t>投标人：</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（盖章）</w:t>
      </w:r>
    </w:p>
    <w:p w14:paraId="58EBC56E">
      <w:pPr>
        <w:shd w:val="clear"/>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法定代表人或授权委托代理人：</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（签字或盖章）</w:t>
      </w:r>
    </w:p>
    <w:p w14:paraId="2608584D">
      <w:pPr>
        <w:shd w:val="clear"/>
        <w:spacing w:line="540" w:lineRule="exact"/>
        <w:jc w:val="center"/>
        <w:rPr>
          <w:rFonts w:hint="eastAsia" w:ascii="宋体" w:hAnsi="宋体" w:cs="宋体"/>
          <w:color w:val="auto"/>
          <w:highlight w:val="none"/>
        </w:rPr>
      </w:pP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年</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月</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日</w:t>
      </w:r>
    </w:p>
    <w:p w14:paraId="3A480219">
      <w:pPr>
        <w:shd w:val="clear"/>
        <w:spacing w:line="540" w:lineRule="exact"/>
        <w:rPr>
          <w:rFonts w:hint="eastAsia" w:ascii="宋体" w:hAnsi="宋体" w:cs="宋体"/>
          <w:color w:val="auto"/>
          <w:highlight w:val="none"/>
        </w:rPr>
      </w:pPr>
    </w:p>
    <w:p w14:paraId="37BB7487">
      <w:pPr>
        <w:pStyle w:val="2"/>
        <w:shd w:val="clear"/>
        <w:rPr>
          <w:rFonts w:hint="eastAsia" w:ascii="宋体" w:hAnsi="宋体" w:cs="宋体"/>
          <w:color w:val="auto"/>
          <w:highlight w:val="none"/>
        </w:rPr>
      </w:pPr>
    </w:p>
    <w:p w14:paraId="33D157ED">
      <w:pPr>
        <w:shd w:val="clear"/>
        <w:rPr>
          <w:rFonts w:hint="eastAsia" w:ascii="仿宋" w:hAnsi="仿宋" w:eastAsia="仿宋" w:cs="仿宋"/>
          <w:b/>
          <w:bCs/>
          <w:color w:val="auto"/>
          <w:kern w:val="0"/>
          <w:sz w:val="30"/>
          <w:szCs w:val="30"/>
          <w:highlight w:val="none"/>
        </w:rPr>
      </w:pPr>
      <w:r>
        <w:rPr>
          <w:rFonts w:hint="eastAsia" w:ascii="仿宋" w:hAnsi="仿宋" w:eastAsia="仿宋" w:cs="仿宋"/>
          <w:b/>
          <w:bCs/>
          <w:color w:val="auto"/>
          <w:kern w:val="0"/>
          <w:sz w:val="30"/>
          <w:szCs w:val="30"/>
          <w:highlight w:val="none"/>
        </w:rPr>
        <w:br w:type="page"/>
      </w:r>
    </w:p>
    <w:p w14:paraId="346C5CDF">
      <w:pPr>
        <w:shd w:val="clear"/>
        <w:spacing w:line="480" w:lineRule="auto"/>
        <w:ind w:right="980" w:firstLine="602" w:firstLineChars="200"/>
        <w:jc w:val="center"/>
        <w:rPr>
          <w:rFonts w:ascii="仿宋" w:hAnsi="仿宋" w:eastAsia="仿宋" w:cs="仿宋"/>
          <w:b/>
          <w:bCs/>
          <w:color w:val="auto"/>
          <w:kern w:val="0"/>
          <w:sz w:val="30"/>
          <w:szCs w:val="30"/>
          <w:highlight w:val="none"/>
        </w:rPr>
      </w:pPr>
      <w:r>
        <w:rPr>
          <w:rFonts w:hint="eastAsia" w:ascii="仿宋" w:hAnsi="仿宋" w:eastAsia="仿宋" w:cs="仿宋"/>
          <w:b/>
          <w:bCs/>
          <w:color w:val="auto"/>
          <w:kern w:val="0"/>
          <w:sz w:val="30"/>
          <w:szCs w:val="30"/>
          <w:highlight w:val="none"/>
        </w:rPr>
        <w:t>目录</w:t>
      </w:r>
    </w:p>
    <w:p w14:paraId="502BBD95">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bookmarkStart w:id="38" w:name="_Toc23863"/>
      <w:r>
        <w:rPr>
          <w:rFonts w:hint="eastAsia" w:ascii="宋体" w:hAnsi="宋体" w:eastAsia="宋体" w:cs="宋体"/>
          <w:color w:val="auto"/>
          <w:sz w:val="21"/>
          <w:szCs w:val="21"/>
          <w:highlight w:val="none"/>
        </w:rPr>
        <w:t>（1）法定代表人身份证明文件和本人有效身份证(或法定代表人授权委托书和委托代理人有效身份证)；</w:t>
      </w:r>
      <w:r>
        <w:rPr>
          <w:rFonts w:hint="eastAsia" w:ascii="宋体" w:hAnsi="宋体" w:cs="宋体"/>
          <w:color w:val="auto"/>
          <w:sz w:val="21"/>
          <w:szCs w:val="21"/>
          <w:highlight w:val="none"/>
          <w:lang w:val="en-US" w:eastAsia="zh-CN"/>
        </w:rPr>
        <w:t>（格式见附件）</w:t>
      </w:r>
    </w:p>
    <w:p w14:paraId="3AA53F94">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rPr>
        <w:t>（2）企业法人营业执照；</w:t>
      </w:r>
      <w:r>
        <w:rPr>
          <w:rFonts w:hint="eastAsia" w:ascii="宋体" w:hAnsi="宋体" w:eastAsia="宋体" w:cs="宋体"/>
          <w:color w:val="auto"/>
          <w:sz w:val="21"/>
          <w:szCs w:val="21"/>
          <w:highlight w:val="none"/>
          <w:lang w:val="en-US" w:eastAsia="zh-CN"/>
        </w:rPr>
        <w:t xml:space="preserve"> </w:t>
      </w:r>
    </w:p>
    <w:p w14:paraId="436A6A2E">
      <w:pPr>
        <w:keepNext w:val="0"/>
        <w:keepLines w:val="0"/>
        <w:pageBreakBefore w:val="0"/>
        <w:widowControl w:val="0"/>
        <w:shd w:val="clear"/>
        <w:kinsoku/>
        <w:wordWrap/>
        <w:overflowPunct/>
        <w:topLinePunct w:val="0"/>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项目人员配备表；（格式见附件）</w:t>
      </w:r>
    </w:p>
    <w:p w14:paraId="73421FE5">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拟派项目负责人注册造价师证书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若注册</w:t>
      </w:r>
      <w:r>
        <w:rPr>
          <w:rFonts w:hint="eastAsia" w:ascii="宋体" w:hAnsi="宋体" w:eastAsia="宋体" w:cs="宋体"/>
          <w:color w:val="auto"/>
          <w:sz w:val="21"/>
          <w:szCs w:val="21"/>
          <w:highlight w:val="none"/>
        </w:rPr>
        <w:t>证书</w:t>
      </w:r>
      <w:r>
        <w:rPr>
          <w:rFonts w:hint="eastAsia" w:ascii="宋体" w:hAnsi="宋体" w:eastAsia="宋体" w:cs="宋体"/>
          <w:color w:val="auto"/>
          <w:sz w:val="21"/>
          <w:szCs w:val="21"/>
          <w:highlight w:val="none"/>
          <w:lang w:val="en-US" w:eastAsia="zh-CN"/>
        </w:rPr>
        <w:t>上无法体现专业的，还需另行提供</w:t>
      </w:r>
      <w:r>
        <w:rPr>
          <w:rFonts w:hint="eastAsia" w:ascii="宋体" w:hAnsi="宋体" w:eastAsia="宋体" w:cs="宋体"/>
          <w:color w:val="auto"/>
          <w:sz w:val="21"/>
          <w:szCs w:val="21"/>
          <w:highlight w:val="none"/>
        </w:rPr>
        <w:t>证明专业的证明材料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 </w:t>
      </w:r>
    </w:p>
    <w:p w14:paraId="1E0A622D">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）项目组其他成员（不含项目负责人）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0"/>
          <w:sz w:val="21"/>
          <w:szCs w:val="21"/>
          <w:highlight w:val="none"/>
        </w:rPr>
        <w:t>不少于2名且具有在本单位注册的二级及以上造价工程师注册证书（土木建筑工程专业至少1名、安装工程专业至少1名）（若注册证书上无法体现专业的，还需另行提供证明专业的证明材料）</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 xml:space="preserve"> </w:t>
      </w:r>
    </w:p>
    <w:p w14:paraId="3E70CE69">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）承诺书</w:t>
      </w:r>
      <w:r>
        <w:rPr>
          <w:rFonts w:hint="eastAsia" w:ascii="宋体" w:hAnsi="宋体" w:cs="宋体"/>
          <w:color w:val="auto"/>
          <w:sz w:val="21"/>
          <w:szCs w:val="21"/>
          <w:highlight w:val="none"/>
          <w:lang w:val="en-US" w:eastAsia="zh-CN"/>
        </w:rPr>
        <w:t>（格式自拟）；</w:t>
      </w:r>
    </w:p>
    <w:p w14:paraId="01CA4D33">
      <w:pPr>
        <w:keepNext w:val="0"/>
        <w:keepLines w:val="0"/>
        <w:pageBreakBefore w:val="0"/>
        <w:widowControl w:val="0"/>
        <w:numPr>
          <w:ilvl w:val="0"/>
          <w:numId w:val="0"/>
        </w:numPr>
        <w:shd w:val="clear"/>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法定代表人（或委托代理人）、项目负责人、项目组其他成员须持有社保部门出具的本单位为其缴纳的投标前近三个月内任意一月的养老保险证明（含官网在线打印件，证明文件两个月内有效），或投标人提供承诺已为上述人员缴纳养老保险证明的承诺书（格式自拟）。</w:t>
      </w:r>
      <w:r>
        <w:rPr>
          <w:rFonts w:hint="eastAsia" w:ascii="宋体" w:hAnsi="宋体" w:cs="宋体"/>
          <w:color w:val="auto"/>
          <w:sz w:val="21"/>
          <w:szCs w:val="21"/>
          <w:highlight w:val="none"/>
          <w:lang w:val="en-US" w:eastAsia="zh-CN"/>
        </w:rPr>
        <w:t>；</w:t>
      </w:r>
    </w:p>
    <w:p w14:paraId="2409490E">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）投标人业绩材料。</w:t>
      </w:r>
    </w:p>
    <w:p w14:paraId="646FEA89">
      <w:pPr>
        <w:keepNext w:val="0"/>
        <w:keepLines w:val="0"/>
        <w:pageBreakBefore w:val="0"/>
        <w:widowControl w:val="0"/>
        <w:numPr>
          <w:ilvl w:val="0"/>
          <w:numId w:val="0"/>
        </w:numPr>
        <w:shd w:val="clear"/>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）投标函</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（格式见附件）</w:t>
      </w:r>
    </w:p>
    <w:p w14:paraId="75576C76">
      <w:pPr>
        <w:keepNext w:val="0"/>
        <w:keepLines w:val="0"/>
        <w:pageBreakBefore w:val="0"/>
        <w:widowControl w:val="0"/>
        <w:numPr>
          <w:ilvl w:val="0"/>
          <w:numId w:val="0"/>
        </w:numPr>
        <w:shd w:val="clear"/>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）投标人认为需要提供的其他材料。</w:t>
      </w:r>
    </w:p>
    <w:p w14:paraId="60857337">
      <w:pPr>
        <w:keepNext w:val="0"/>
        <w:keepLines w:val="0"/>
        <w:pageBreakBefore w:val="0"/>
        <w:widowControl w:val="0"/>
        <w:shd w:val="clear"/>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p>
    <w:p w14:paraId="2BBE2232">
      <w:pPr>
        <w:shd w:val="clear"/>
        <w:spacing w:line="360" w:lineRule="auto"/>
        <w:jc w:val="center"/>
        <w:rPr>
          <w:rFonts w:hint="eastAsia" w:ascii="宋体" w:hAnsi="宋体" w:cs="宋体"/>
          <w:b/>
          <w:color w:val="auto"/>
          <w:sz w:val="28"/>
          <w:szCs w:val="28"/>
          <w:highlight w:val="none"/>
        </w:rPr>
      </w:pPr>
      <w:r>
        <w:rPr>
          <w:rFonts w:hint="eastAsia"/>
          <w:b/>
          <w:color w:val="auto"/>
          <w:sz w:val="28"/>
          <w:szCs w:val="28"/>
          <w:highlight w:val="none"/>
        </w:rPr>
        <w:br w:type="page"/>
      </w:r>
      <w:r>
        <w:rPr>
          <w:rFonts w:hint="eastAsia"/>
          <w:b/>
          <w:color w:val="auto"/>
          <w:sz w:val="28"/>
          <w:szCs w:val="28"/>
          <w:highlight w:val="none"/>
        </w:rPr>
        <w:t>（1）</w:t>
      </w:r>
      <w:r>
        <w:rPr>
          <w:rFonts w:hint="eastAsia" w:ascii="宋体" w:hAnsi="宋体" w:cs="宋体"/>
          <w:b/>
          <w:color w:val="auto"/>
          <w:sz w:val="28"/>
          <w:szCs w:val="28"/>
          <w:highlight w:val="none"/>
        </w:rPr>
        <w:t>法定代表人身份证明或授权委托书</w:t>
      </w:r>
    </w:p>
    <w:p w14:paraId="0CC82E48">
      <w:pPr>
        <w:pStyle w:val="144"/>
        <w:keepNext w:val="0"/>
        <w:keepLines w:val="0"/>
        <w:pageBreakBefore w:val="0"/>
        <w:shd w:val="clear"/>
        <w:kinsoku/>
        <w:wordWrap/>
        <w:overflowPunct/>
        <w:topLinePunct w:val="0"/>
        <w:autoSpaceDE/>
        <w:autoSpaceDN/>
        <w:bidi w:val="0"/>
        <w:adjustRightInd/>
        <w:snapToGrid/>
        <w:spacing w:before="312" w:beforeLines="100" w:after="312" w:afterLines="100" w:line="400" w:lineRule="exact"/>
        <w:rPr>
          <w:rFonts w:hint="eastAsia" w:ascii="宋体" w:hAnsi="宋体" w:cs="宋体"/>
          <w:b/>
          <w:color w:val="auto"/>
          <w:sz w:val="24"/>
          <w:szCs w:val="24"/>
          <w:highlight w:val="none"/>
        </w:rPr>
      </w:pPr>
      <w:r>
        <w:rPr>
          <w:rFonts w:hint="eastAsia" w:ascii="宋体" w:hAnsi="宋体" w:cs="宋体"/>
          <w:color w:val="auto"/>
          <w:sz w:val="24"/>
          <w:szCs w:val="24"/>
          <w:highlight w:val="none"/>
        </w:rPr>
        <w:t>1、法定代表人身份证明</w:t>
      </w:r>
    </w:p>
    <w:p w14:paraId="6A5F8DB5">
      <w:pPr>
        <w:keepNext w:val="0"/>
        <w:keepLines w:val="0"/>
        <w:pageBreakBefore w:val="0"/>
        <w:shd w:val="clear"/>
        <w:kinsoku/>
        <w:wordWrap/>
        <w:overflowPunct/>
        <w:topLinePunct w:val="0"/>
        <w:autoSpaceDE/>
        <w:autoSpaceDN/>
        <w:bidi w:val="0"/>
        <w:adjustRightInd/>
        <w:snapToGrid/>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2B6DC61">
      <w:pPr>
        <w:keepNext w:val="0"/>
        <w:keepLines w:val="0"/>
        <w:pageBreakBefore w:val="0"/>
        <w:shd w:val="clear"/>
        <w:kinsoku/>
        <w:wordWrap/>
        <w:overflowPunct/>
        <w:topLinePunct w:val="0"/>
        <w:autoSpaceDE/>
        <w:autoSpaceDN/>
        <w:bidi w:val="0"/>
        <w:adjustRightInd/>
        <w:snapToGrid/>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单位性质：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730285C1">
      <w:pPr>
        <w:keepNext w:val="0"/>
        <w:keepLines w:val="0"/>
        <w:pageBreakBefore w:val="0"/>
        <w:shd w:val="clear"/>
        <w:kinsoku/>
        <w:wordWrap/>
        <w:overflowPunct/>
        <w:topLinePunct w:val="0"/>
        <w:autoSpaceDE/>
        <w:autoSpaceDN/>
        <w:bidi w:val="0"/>
        <w:adjustRightInd/>
        <w:snapToGrid/>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54BEA488">
      <w:pPr>
        <w:keepNext w:val="0"/>
        <w:keepLines w:val="0"/>
        <w:pageBreakBefore w:val="0"/>
        <w:shd w:val="clear"/>
        <w:kinsoku/>
        <w:wordWrap/>
        <w:overflowPunct/>
        <w:topLinePunct w:val="0"/>
        <w:autoSpaceDE/>
        <w:autoSpaceDN/>
        <w:bidi w:val="0"/>
        <w:adjustRightInd/>
        <w:snapToGrid/>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成立时间：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66A465CF">
      <w:pPr>
        <w:keepNext w:val="0"/>
        <w:keepLines w:val="0"/>
        <w:pageBreakBefore w:val="0"/>
        <w:shd w:val="clear"/>
        <w:kinsoku/>
        <w:wordWrap/>
        <w:overflowPunct/>
        <w:topLinePunct w:val="0"/>
        <w:autoSpaceDE/>
        <w:autoSpaceDN/>
        <w:bidi w:val="0"/>
        <w:adjustRightInd/>
        <w:snapToGrid/>
        <w:spacing w:line="40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经营期限：</w:t>
      </w:r>
      <w:r>
        <w:rPr>
          <w:rFonts w:hint="eastAsia" w:ascii="宋体" w:hAnsi="宋体" w:cs="宋体"/>
          <w:color w:val="auto"/>
          <w:sz w:val="24"/>
          <w:highlight w:val="none"/>
          <w:u w:val="single"/>
        </w:rPr>
        <w:t xml:space="preserve">                                </w:t>
      </w:r>
    </w:p>
    <w:p w14:paraId="79912714">
      <w:pPr>
        <w:keepNext w:val="0"/>
        <w:keepLines w:val="0"/>
        <w:pageBreakBefore w:val="0"/>
        <w:shd w:val="clear"/>
        <w:kinsoku/>
        <w:wordWrap/>
        <w:overflowPunct/>
        <w:topLinePunct w:val="0"/>
        <w:autoSpaceDE/>
        <w:autoSpaceDN/>
        <w:bidi w:val="0"/>
        <w:adjustRightInd/>
        <w:snapToGrid/>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姓名：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性别：</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年龄：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职务：</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DE4E842">
      <w:pPr>
        <w:keepNext w:val="0"/>
        <w:keepLines w:val="0"/>
        <w:pageBreakBefore w:val="0"/>
        <w:shd w:val="clear"/>
        <w:kinsoku/>
        <w:wordWrap/>
        <w:overflowPunct/>
        <w:topLinePunct w:val="0"/>
        <w:autoSpaceDE/>
        <w:autoSpaceDN/>
        <w:bidi w:val="0"/>
        <w:adjustRightInd/>
        <w:snapToGrid/>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（投标人名称）的法定代表人。</w:t>
      </w:r>
    </w:p>
    <w:p w14:paraId="50B59679">
      <w:pPr>
        <w:keepNext w:val="0"/>
        <w:keepLines w:val="0"/>
        <w:pageBreakBefore w:val="0"/>
        <w:shd w:val="clear"/>
        <w:kinsoku/>
        <w:wordWrap/>
        <w:overflowPunct/>
        <w:topLinePunct w:val="0"/>
        <w:autoSpaceDE/>
        <w:autoSpaceDN/>
        <w:bidi w:val="0"/>
        <w:adjustRightInd/>
        <w:snapToGrid/>
        <w:spacing w:line="400" w:lineRule="exact"/>
        <w:ind w:firstLine="960" w:firstLineChars="400"/>
        <w:rPr>
          <w:rFonts w:hint="eastAsia" w:ascii="宋体" w:hAnsi="宋体" w:cs="宋体"/>
          <w:color w:val="auto"/>
          <w:sz w:val="24"/>
          <w:highlight w:val="none"/>
        </w:rPr>
      </w:pPr>
      <w:r>
        <w:rPr>
          <w:rFonts w:hint="eastAsia" w:ascii="宋体" w:hAnsi="宋体" w:cs="宋体"/>
          <w:color w:val="auto"/>
          <w:sz w:val="24"/>
          <w:highlight w:val="none"/>
        </w:rPr>
        <w:t>特此证明。</w:t>
      </w:r>
    </w:p>
    <w:p w14:paraId="7423309D">
      <w:pPr>
        <w:pStyle w:val="2"/>
        <w:keepNext w:val="0"/>
        <w:keepLines w:val="0"/>
        <w:pageBreakBefore w:val="0"/>
        <w:shd w:val="clear"/>
        <w:kinsoku/>
        <w:wordWrap/>
        <w:overflowPunct/>
        <w:topLinePunct w:val="0"/>
        <w:autoSpaceDE/>
        <w:autoSpaceDN/>
        <w:bidi w:val="0"/>
        <w:adjustRightInd/>
        <w:snapToGrid/>
        <w:spacing w:line="400" w:lineRule="exact"/>
        <w:ind w:firstLine="480"/>
        <w:rPr>
          <w:rFonts w:hint="eastAsia" w:ascii="宋体" w:hAnsi="宋体" w:cs="宋体"/>
          <w:color w:val="auto"/>
          <w:highlight w:val="none"/>
        </w:rPr>
      </w:pPr>
      <w:r>
        <w:rPr>
          <w:rFonts w:hint="eastAsia" w:ascii="宋体" w:hAnsi="宋体" w:cs="宋体"/>
          <w:color w:val="auto"/>
          <w:sz w:val="24"/>
          <w:highlight w:val="none"/>
        </w:rPr>
        <w:t>附：</w:t>
      </w:r>
      <w:r>
        <w:rPr>
          <w:rFonts w:hint="eastAsia" w:ascii="宋体" w:hAnsi="宋体" w:cs="宋体"/>
          <w:b/>
          <w:color w:val="auto"/>
          <w:sz w:val="24"/>
          <w:highlight w:val="none"/>
        </w:rPr>
        <w:t>法定代表人身份证复印件</w:t>
      </w:r>
    </w:p>
    <w:p w14:paraId="648D82AC">
      <w:pPr>
        <w:keepNext w:val="0"/>
        <w:keepLines w:val="0"/>
        <w:pageBreakBefore w:val="0"/>
        <w:shd w:val="clear"/>
        <w:kinsoku/>
        <w:wordWrap/>
        <w:overflowPunct/>
        <w:topLinePunct w:val="0"/>
        <w:autoSpaceDE/>
        <w:autoSpaceDN/>
        <w:bidi w:val="0"/>
        <w:adjustRightInd/>
        <w:snapToGrid/>
        <w:spacing w:line="400" w:lineRule="exact"/>
        <w:ind w:firstLine="3480" w:firstLineChars="1450"/>
        <w:rPr>
          <w:rFonts w:hint="eastAsia" w:ascii="宋体" w:hAnsi="宋体" w:cs="宋体"/>
          <w:color w:val="auto"/>
          <w:sz w:val="24"/>
          <w:highlight w:val="none"/>
        </w:rPr>
      </w:pPr>
      <w:r>
        <w:rPr>
          <w:rFonts w:hint="eastAsia" w:ascii="宋体" w:hAnsi="宋体" w:cs="宋体"/>
          <w:color w:val="auto"/>
          <w:sz w:val="24"/>
          <w:highlight w:val="none"/>
        </w:rPr>
        <w:t>投标人：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（盖章）</w:t>
      </w:r>
    </w:p>
    <w:p w14:paraId="7D350DC3">
      <w:pPr>
        <w:keepNext w:val="0"/>
        <w:keepLines w:val="0"/>
        <w:pageBreakBefore w:val="0"/>
        <w:shd w:val="clear"/>
        <w:kinsoku/>
        <w:wordWrap/>
        <w:overflowPunct/>
        <w:topLinePunct w:val="0"/>
        <w:autoSpaceDE/>
        <w:autoSpaceDN/>
        <w:bidi w:val="0"/>
        <w:adjustRightInd/>
        <w:snapToGrid/>
        <w:spacing w:line="400" w:lineRule="exact"/>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0252270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cs="宋体"/>
          <w:color w:val="auto"/>
          <w:sz w:val="28"/>
          <w:szCs w:val="28"/>
          <w:highlight w:val="none"/>
        </w:rPr>
      </w:pPr>
    </w:p>
    <w:p w14:paraId="11C1A9A4">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cs="宋体"/>
          <w:color w:val="auto"/>
          <w:sz w:val="28"/>
          <w:szCs w:val="28"/>
          <w:highlight w:val="none"/>
        </w:rPr>
      </w:pPr>
    </w:p>
    <w:p w14:paraId="0F9D0457">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cs="宋体"/>
          <w:color w:val="auto"/>
          <w:sz w:val="28"/>
          <w:szCs w:val="28"/>
          <w:highlight w:val="none"/>
        </w:rPr>
      </w:pPr>
    </w:p>
    <w:p w14:paraId="5C65F381">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2、授权委托书</w:t>
      </w:r>
    </w:p>
    <w:p w14:paraId="1472B3E6">
      <w:pPr>
        <w:keepNext w:val="0"/>
        <w:keepLines w:val="0"/>
        <w:pageBreakBefore w:val="0"/>
        <w:shd w:val="clear"/>
        <w:kinsoku/>
        <w:wordWrap/>
        <w:overflowPunct/>
        <w:topLinePunct w:val="0"/>
        <w:autoSpaceDE/>
        <w:autoSpaceDN/>
        <w:bidi w:val="0"/>
        <w:adjustRightInd/>
        <w:snapToGrid/>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本人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（投标人）的法定代表人，现委托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（姓名）为我方代理人。代理人根据授权，以我方名义签署、澄清、说明、补正、递交、撤回、修改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”(项目名称）投标文件，全权处理与该项目投标、评审答疑、签订合同以及与合同执行有关的一切事务，其法律后果由我方承担。</w:t>
      </w:r>
    </w:p>
    <w:p w14:paraId="1BA387F8">
      <w:pPr>
        <w:keepNext w:val="0"/>
        <w:keepLines w:val="0"/>
        <w:pageBreakBefore w:val="0"/>
        <w:shd w:val="clear"/>
        <w:kinsoku/>
        <w:wordWrap/>
        <w:overflowPunct/>
        <w:topLinePunct w:val="0"/>
        <w:autoSpaceDE/>
        <w:autoSpaceDN/>
        <w:bidi w:val="0"/>
        <w:adjustRightInd/>
        <w:snapToGrid/>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委托期限：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 w:val="24"/>
          <w:highlight w:val="none"/>
        </w:rPr>
        <w:t xml:space="preserve">     </w:t>
      </w:r>
    </w:p>
    <w:p w14:paraId="42E62AF8">
      <w:pPr>
        <w:keepNext w:val="0"/>
        <w:keepLines w:val="0"/>
        <w:pageBreakBefore w:val="0"/>
        <w:shd w:val="clear"/>
        <w:kinsoku/>
        <w:wordWrap/>
        <w:overflowPunct/>
        <w:topLinePunct w:val="0"/>
        <w:autoSpaceDE/>
        <w:autoSpaceDN/>
        <w:bidi w:val="0"/>
        <w:adjustRightInd/>
        <w:snapToGrid/>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代理人无转委托权。</w:t>
      </w:r>
    </w:p>
    <w:p w14:paraId="002FB0FF">
      <w:pPr>
        <w:keepNext w:val="0"/>
        <w:keepLines w:val="0"/>
        <w:pageBreakBefore w:val="0"/>
        <w:shd w:val="clear"/>
        <w:kinsoku/>
        <w:wordWrap/>
        <w:overflowPunct/>
        <w:topLinePunct w:val="0"/>
        <w:autoSpaceDE/>
        <w:autoSpaceDN/>
        <w:bidi w:val="0"/>
        <w:adjustRightInd/>
        <w:snapToGrid/>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附：①法定代表人身份证复印件</w:t>
      </w:r>
    </w:p>
    <w:p w14:paraId="01B3A396">
      <w:pPr>
        <w:keepNext w:val="0"/>
        <w:keepLines w:val="0"/>
        <w:pageBreakBefore w:val="0"/>
        <w:shd w:val="clear"/>
        <w:kinsoku/>
        <w:wordWrap/>
        <w:overflowPunct/>
        <w:topLinePunct w:val="0"/>
        <w:autoSpaceDE/>
        <w:autoSpaceDN/>
        <w:bidi w:val="0"/>
        <w:adjustRightInd/>
        <w:snapToGrid/>
        <w:spacing w:line="400" w:lineRule="exact"/>
        <w:ind w:firstLine="960" w:firstLineChars="400"/>
        <w:rPr>
          <w:rFonts w:hint="eastAsia" w:ascii="宋体" w:hAnsi="宋体" w:cs="宋体"/>
          <w:color w:val="auto"/>
          <w:sz w:val="24"/>
          <w:highlight w:val="none"/>
        </w:rPr>
      </w:pPr>
      <w:r>
        <w:rPr>
          <w:rFonts w:hint="eastAsia" w:ascii="宋体" w:hAnsi="宋体" w:cs="宋体"/>
          <w:color w:val="auto"/>
          <w:sz w:val="24"/>
          <w:highlight w:val="none"/>
        </w:rPr>
        <w:t>②委托代理人身份证复印件</w:t>
      </w:r>
    </w:p>
    <w:p w14:paraId="01CC137F">
      <w:pPr>
        <w:keepNext w:val="0"/>
        <w:keepLines w:val="0"/>
        <w:pageBreakBefore w:val="0"/>
        <w:shd w:val="clear"/>
        <w:kinsoku/>
        <w:wordWrap/>
        <w:overflowPunct/>
        <w:topLinePunct w:val="0"/>
        <w:autoSpaceDE/>
        <w:autoSpaceDN/>
        <w:bidi w:val="0"/>
        <w:adjustRightInd/>
        <w:snapToGrid/>
        <w:spacing w:line="400" w:lineRule="exact"/>
        <w:ind w:firstLine="960" w:firstLineChars="40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896648D">
      <w:pPr>
        <w:keepNext w:val="0"/>
        <w:keepLines w:val="0"/>
        <w:pageBreakBefore w:val="0"/>
        <w:shd w:val="clear"/>
        <w:kinsoku/>
        <w:wordWrap/>
        <w:overflowPunct/>
        <w:topLinePunct w:val="0"/>
        <w:autoSpaceDE/>
        <w:autoSpaceDN/>
        <w:bidi w:val="0"/>
        <w:adjustRightInd/>
        <w:snapToGrid/>
        <w:spacing w:line="400" w:lineRule="exact"/>
        <w:ind w:firstLine="3000" w:firstLineChars="1250"/>
        <w:rPr>
          <w:rFonts w:hint="eastAsia" w:ascii="宋体" w:hAnsi="宋体" w:cs="宋体"/>
          <w:color w:val="auto"/>
          <w:sz w:val="24"/>
          <w:highlight w:val="none"/>
        </w:rPr>
      </w:pPr>
      <w:r>
        <w:rPr>
          <w:rFonts w:hint="eastAsia" w:ascii="宋体" w:hAnsi="宋体" w:cs="宋体"/>
          <w:color w:val="auto"/>
          <w:sz w:val="24"/>
          <w:highlight w:val="none"/>
        </w:rPr>
        <w:t>投标人（盖单位章）：</w:t>
      </w:r>
    </w:p>
    <w:p w14:paraId="7F67B15D">
      <w:pPr>
        <w:keepNext w:val="0"/>
        <w:keepLines w:val="0"/>
        <w:pageBreakBefore w:val="0"/>
        <w:shd w:val="clear"/>
        <w:kinsoku/>
        <w:wordWrap/>
        <w:overflowPunct/>
        <w:topLinePunct w:val="0"/>
        <w:autoSpaceDE/>
        <w:autoSpaceDN/>
        <w:bidi w:val="0"/>
        <w:adjustRightInd/>
        <w:snapToGrid/>
        <w:spacing w:line="400" w:lineRule="exact"/>
        <w:ind w:firstLine="2280" w:firstLineChars="950"/>
        <w:rPr>
          <w:rFonts w:hint="eastAsia" w:ascii="宋体" w:hAnsi="宋体" w:cs="宋体"/>
          <w:color w:val="auto"/>
          <w:sz w:val="24"/>
          <w:highlight w:val="none"/>
        </w:rPr>
      </w:pPr>
      <w:r>
        <w:rPr>
          <w:rFonts w:hint="eastAsia" w:ascii="宋体" w:hAnsi="宋体" w:cs="宋体"/>
          <w:color w:val="auto"/>
          <w:sz w:val="24"/>
          <w:highlight w:val="none"/>
        </w:rPr>
        <w:t>法定代表人（身份证号码）：          （签字或盖章）</w:t>
      </w:r>
    </w:p>
    <w:p w14:paraId="746E9805">
      <w:pPr>
        <w:keepNext w:val="0"/>
        <w:keepLines w:val="0"/>
        <w:pageBreakBefore w:val="0"/>
        <w:shd w:val="clear"/>
        <w:kinsoku/>
        <w:wordWrap/>
        <w:overflowPunct/>
        <w:topLinePunct w:val="0"/>
        <w:autoSpaceDE/>
        <w:autoSpaceDN/>
        <w:bidi w:val="0"/>
        <w:adjustRightInd/>
        <w:snapToGrid/>
        <w:spacing w:line="400" w:lineRule="exact"/>
        <w:ind w:firstLine="2280" w:firstLineChars="950"/>
        <w:rPr>
          <w:rFonts w:hint="eastAsia" w:ascii="宋体" w:hAnsi="宋体" w:cs="宋体"/>
          <w:color w:val="auto"/>
          <w:sz w:val="24"/>
          <w:highlight w:val="none"/>
        </w:rPr>
      </w:pPr>
      <w:r>
        <w:rPr>
          <w:rFonts w:hint="eastAsia" w:ascii="宋体" w:hAnsi="宋体" w:cs="宋体"/>
          <w:color w:val="auto"/>
          <w:sz w:val="24"/>
          <w:highlight w:val="none"/>
        </w:rPr>
        <w:t>委托代理人（身份证号码）：          （签字或盖章）</w:t>
      </w:r>
    </w:p>
    <w:p w14:paraId="159B6E9F">
      <w:pPr>
        <w:keepNext w:val="0"/>
        <w:keepLines w:val="0"/>
        <w:pageBreakBefore w:val="0"/>
        <w:shd w:val="clear"/>
        <w:kinsoku/>
        <w:wordWrap/>
        <w:overflowPunct/>
        <w:topLinePunct w:val="0"/>
        <w:autoSpaceDE/>
        <w:autoSpaceDN/>
        <w:bidi w:val="0"/>
        <w:adjustRightInd/>
        <w:snapToGrid/>
        <w:spacing w:line="400" w:lineRule="exact"/>
        <w:ind w:firstLine="2280" w:firstLineChars="950"/>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516D9A81">
      <w:pPr>
        <w:shd w:val="clear"/>
        <w:spacing w:line="360" w:lineRule="auto"/>
        <w:jc w:val="center"/>
        <w:rPr>
          <w:rFonts w:hint="eastAsia" w:ascii="宋体" w:hAnsi="宋体" w:cs="宋体"/>
          <w:b/>
          <w:color w:val="auto"/>
          <w:sz w:val="28"/>
          <w:szCs w:val="28"/>
          <w:highlight w:val="none"/>
        </w:rPr>
      </w:pPr>
    </w:p>
    <w:p w14:paraId="07CDE77D">
      <w:pPr>
        <w:pStyle w:val="42"/>
        <w:keepNext w:val="0"/>
        <w:keepLines w:val="0"/>
        <w:pageBreakBefore w:val="0"/>
        <w:shd w:val="clear"/>
        <w:kinsoku/>
        <w:wordWrap/>
        <w:overflowPunct/>
        <w:topLinePunct w:val="0"/>
        <w:autoSpaceDE/>
        <w:autoSpaceDN/>
        <w:bidi w:val="0"/>
        <w:snapToGrid w:val="0"/>
        <w:spacing w:before="0" w:beforeAutospacing="0" w:after="0" w:afterAutospacing="0" w:line="500" w:lineRule="exact"/>
        <w:jc w:val="center"/>
        <w:textAlignment w:val="auto"/>
        <w:rPr>
          <w:rFonts w:hint="default" w:ascii="宋体" w:hAnsi="宋体" w:eastAsia="宋体" w:cs="宋体"/>
          <w:b/>
          <w:color w:val="auto"/>
          <w:kern w:val="2"/>
          <w:sz w:val="28"/>
          <w:szCs w:val="28"/>
          <w:highlight w:val="none"/>
          <w:lang w:val="en-US" w:eastAsia="zh-CN" w:bidi="ar-SA"/>
        </w:rPr>
      </w:pPr>
      <w:r>
        <w:rPr>
          <w:rFonts w:hint="eastAsia"/>
          <w:b/>
          <w:color w:val="auto"/>
          <w:sz w:val="28"/>
          <w:szCs w:val="28"/>
          <w:highlight w:val="none"/>
          <w:lang w:eastAsia="zh-CN"/>
        </w:rPr>
        <w:t>（</w:t>
      </w:r>
      <w:r>
        <w:rPr>
          <w:rFonts w:hint="eastAsia"/>
          <w:b/>
          <w:color w:val="auto"/>
          <w:sz w:val="28"/>
          <w:szCs w:val="28"/>
          <w:highlight w:val="none"/>
          <w:lang w:val="en-US" w:eastAsia="zh-CN"/>
        </w:rPr>
        <w:t>2</w:t>
      </w:r>
      <w:r>
        <w:rPr>
          <w:rFonts w:hint="eastAsia"/>
          <w:b/>
          <w:color w:val="auto"/>
          <w:sz w:val="28"/>
          <w:szCs w:val="28"/>
          <w:highlight w:val="none"/>
          <w:lang w:eastAsia="zh-CN"/>
        </w:rPr>
        <w:t>）</w:t>
      </w:r>
      <w:bookmarkStart w:id="39" w:name="_Toc15300917"/>
      <w:bookmarkStart w:id="40" w:name="_Toc492972267"/>
      <w:bookmarkStart w:id="41" w:name="_Toc492972202"/>
      <w:bookmarkStart w:id="42" w:name="_Toc488780208"/>
      <w:bookmarkStart w:id="43" w:name="_Toc56962913"/>
      <w:r>
        <w:rPr>
          <w:rFonts w:hint="default" w:ascii="宋体" w:hAnsi="宋体" w:eastAsia="宋体" w:cs="宋体"/>
          <w:b/>
          <w:color w:val="auto"/>
          <w:kern w:val="2"/>
          <w:sz w:val="28"/>
          <w:szCs w:val="28"/>
          <w:highlight w:val="none"/>
          <w:lang w:val="en-US" w:eastAsia="zh-CN" w:bidi="ar-SA"/>
        </w:rPr>
        <w:t>项目人员配备表</w:t>
      </w:r>
    </w:p>
    <w:tbl>
      <w:tblPr>
        <w:tblStyle w:val="46"/>
        <w:tblW w:w="9517" w:type="dxa"/>
        <w:tblInd w:w="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782"/>
        <w:gridCol w:w="792"/>
        <w:gridCol w:w="1454"/>
        <w:gridCol w:w="2355"/>
        <w:gridCol w:w="1183"/>
        <w:gridCol w:w="1292"/>
      </w:tblGrid>
      <w:tr w14:paraId="7960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center"/>
          </w:tcPr>
          <w:p w14:paraId="79D1DE7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jc w:val="center"/>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岗位</w:t>
            </w:r>
          </w:p>
        </w:tc>
        <w:tc>
          <w:tcPr>
            <w:tcW w:w="782" w:type="dxa"/>
            <w:noWrap w:val="0"/>
            <w:vAlign w:val="center"/>
          </w:tcPr>
          <w:p w14:paraId="72DE1F7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姓名</w:t>
            </w:r>
          </w:p>
        </w:tc>
        <w:tc>
          <w:tcPr>
            <w:tcW w:w="792" w:type="dxa"/>
            <w:noWrap w:val="0"/>
            <w:vAlign w:val="center"/>
          </w:tcPr>
          <w:p w14:paraId="034DE915">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性别</w:t>
            </w:r>
          </w:p>
        </w:tc>
        <w:tc>
          <w:tcPr>
            <w:tcW w:w="1454" w:type="dxa"/>
            <w:noWrap w:val="0"/>
            <w:vAlign w:val="center"/>
          </w:tcPr>
          <w:p w14:paraId="05BD75E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jc w:val="center"/>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身份证号码</w:t>
            </w:r>
          </w:p>
        </w:tc>
        <w:tc>
          <w:tcPr>
            <w:tcW w:w="2355" w:type="dxa"/>
            <w:noWrap w:val="0"/>
            <w:vAlign w:val="center"/>
          </w:tcPr>
          <w:p w14:paraId="3F9A7DD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jc w:val="center"/>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注册证书资格等级</w:t>
            </w:r>
          </w:p>
        </w:tc>
        <w:tc>
          <w:tcPr>
            <w:tcW w:w="1183" w:type="dxa"/>
            <w:noWrap w:val="0"/>
            <w:vAlign w:val="top"/>
          </w:tcPr>
          <w:p w14:paraId="6A56817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jc w:val="center"/>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证书编号</w:t>
            </w:r>
          </w:p>
        </w:tc>
        <w:tc>
          <w:tcPr>
            <w:tcW w:w="1292" w:type="dxa"/>
            <w:noWrap w:val="0"/>
            <w:vAlign w:val="center"/>
          </w:tcPr>
          <w:p w14:paraId="1A29345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jc w:val="center"/>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p>
        </w:tc>
      </w:tr>
      <w:tr w14:paraId="7946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14:paraId="0503840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jc w:val="center"/>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项目负责人</w:t>
            </w:r>
          </w:p>
        </w:tc>
        <w:tc>
          <w:tcPr>
            <w:tcW w:w="782" w:type="dxa"/>
            <w:noWrap w:val="0"/>
            <w:vAlign w:val="top"/>
          </w:tcPr>
          <w:p w14:paraId="1459EDB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792" w:type="dxa"/>
            <w:noWrap w:val="0"/>
            <w:vAlign w:val="top"/>
          </w:tcPr>
          <w:p w14:paraId="3E8DDCA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454" w:type="dxa"/>
            <w:noWrap w:val="0"/>
            <w:vAlign w:val="top"/>
          </w:tcPr>
          <w:p w14:paraId="177D3E8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2355" w:type="dxa"/>
            <w:noWrap w:val="0"/>
            <w:vAlign w:val="top"/>
          </w:tcPr>
          <w:p w14:paraId="3BA3F35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183" w:type="dxa"/>
            <w:noWrap w:val="0"/>
            <w:vAlign w:val="top"/>
          </w:tcPr>
          <w:p w14:paraId="76275C89">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292" w:type="dxa"/>
            <w:noWrap w:val="0"/>
            <w:vAlign w:val="top"/>
          </w:tcPr>
          <w:p w14:paraId="76C7F12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r>
      <w:tr w14:paraId="09F3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14:paraId="0A11CF5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600" w:lineRule="exact"/>
              <w:ind w:left="0" w:leftChars="0" w:right="0"/>
              <w:jc w:val="center"/>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项目组成员</w:t>
            </w:r>
            <w:r>
              <w:rPr>
                <w:rFonts w:hint="eastAsia" w:ascii="宋体" w:hAnsi="宋体" w:cs="宋体"/>
                <w:color w:val="auto"/>
                <w:sz w:val="24"/>
                <w:szCs w:val="24"/>
                <w:highlight w:val="none"/>
                <w:lang w:val="en-US" w:eastAsia="zh-CN"/>
              </w:rPr>
              <w:t>1</w:t>
            </w:r>
          </w:p>
        </w:tc>
        <w:tc>
          <w:tcPr>
            <w:tcW w:w="782" w:type="dxa"/>
            <w:noWrap w:val="0"/>
            <w:vAlign w:val="top"/>
          </w:tcPr>
          <w:p w14:paraId="07A871F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792" w:type="dxa"/>
            <w:noWrap w:val="0"/>
            <w:vAlign w:val="top"/>
          </w:tcPr>
          <w:p w14:paraId="04DE559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454" w:type="dxa"/>
            <w:noWrap w:val="0"/>
            <w:vAlign w:val="top"/>
          </w:tcPr>
          <w:p w14:paraId="40E88FA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2355" w:type="dxa"/>
            <w:noWrap w:val="0"/>
            <w:vAlign w:val="top"/>
          </w:tcPr>
          <w:p w14:paraId="677DE755">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183" w:type="dxa"/>
            <w:noWrap w:val="0"/>
            <w:vAlign w:val="top"/>
          </w:tcPr>
          <w:p w14:paraId="11E40F6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292" w:type="dxa"/>
            <w:noWrap w:val="0"/>
            <w:vAlign w:val="top"/>
          </w:tcPr>
          <w:p w14:paraId="3CE2CC0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r>
      <w:tr w14:paraId="24F5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14:paraId="6697FBB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default" w:ascii="宋体" w:hAnsi="宋体" w:eastAsia="宋体" w:cs="宋体"/>
                <w:b w:val="0"/>
                <w:bCs/>
                <w:color w:val="auto"/>
                <w:spacing w:val="-11"/>
                <w:sz w:val="32"/>
                <w:szCs w:val="32"/>
                <w:highlight w:val="none"/>
                <w:vertAlign w:val="baseline"/>
                <w:lang w:val="en-US"/>
              </w:rPr>
            </w:pPr>
            <w:r>
              <w:rPr>
                <w:rFonts w:hint="eastAsia" w:ascii="宋体" w:hAnsi="宋体" w:eastAsia="宋体" w:cs="宋体"/>
                <w:color w:val="auto"/>
                <w:sz w:val="24"/>
                <w:szCs w:val="24"/>
                <w:highlight w:val="none"/>
                <w:lang w:val="en-US" w:eastAsia="zh-CN"/>
              </w:rPr>
              <w:t>项目组成员</w:t>
            </w:r>
            <w:r>
              <w:rPr>
                <w:rFonts w:hint="eastAsia" w:ascii="宋体" w:hAnsi="宋体" w:cs="宋体"/>
                <w:color w:val="auto"/>
                <w:sz w:val="24"/>
                <w:szCs w:val="24"/>
                <w:highlight w:val="none"/>
                <w:lang w:val="en-US" w:eastAsia="zh-CN"/>
              </w:rPr>
              <w:t>2</w:t>
            </w:r>
          </w:p>
        </w:tc>
        <w:tc>
          <w:tcPr>
            <w:tcW w:w="782" w:type="dxa"/>
            <w:noWrap w:val="0"/>
            <w:vAlign w:val="top"/>
          </w:tcPr>
          <w:p w14:paraId="6376C62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792" w:type="dxa"/>
            <w:noWrap w:val="0"/>
            <w:vAlign w:val="top"/>
          </w:tcPr>
          <w:p w14:paraId="3F65E15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454" w:type="dxa"/>
            <w:noWrap w:val="0"/>
            <w:vAlign w:val="top"/>
          </w:tcPr>
          <w:p w14:paraId="65B0640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2355" w:type="dxa"/>
            <w:noWrap w:val="0"/>
            <w:vAlign w:val="top"/>
          </w:tcPr>
          <w:p w14:paraId="5623E60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183" w:type="dxa"/>
            <w:noWrap w:val="0"/>
            <w:vAlign w:val="top"/>
          </w:tcPr>
          <w:p w14:paraId="571FAD8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292" w:type="dxa"/>
            <w:noWrap w:val="0"/>
            <w:vAlign w:val="top"/>
          </w:tcPr>
          <w:p w14:paraId="41434709">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r>
      <w:tr w14:paraId="2B640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14:paraId="27816DF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782" w:type="dxa"/>
            <w:noWrap w:val="0"/>
            <w:vAlign w:val="top"/>
          </w:tcPr>
          <w:p w14:paraId="34AB639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792" w:type="dxa"/>
            <w:noWrap w:val="0"/>
            <w:vAlign w:val="top"/>
          </w:tcPr>
          <w:p w14:paraId="204B3EB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454" w:type="dxa"/>
            <w:noWrap w:val="0"/>
            <w:vAlign w:val="top"/>
          </w:tcPr>
          <w:p w14:paraId="75F508A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2355" w:type="dxa"/>
            <w:noWrap w:val="0"/>
            <w:vAlign w:val="top"/>
          </w:tcPr>
          <w:p w14:paraId="3CAAD02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183" w:type="dxa"/>
            <w:noWrap w:val="0"/>
            <w:vAlign w:val="top"/>
          </w:tcPr>
          <w:p w14:paraId="53BCAF3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292" w:type="dxa"/>
            <w:noWrap w:val="0"/>
            <w:vAlign w:val="top"/>
          </w:tcPr>
          <w:p w14:paraId="2B141D5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720" w:lineRule="exact"/>
              <w:ind w:left="0" w:right="0"/>
              <w:jc w:val="center"/>
              <w:textAlignment w:val="auto"/>
              <w:outlineLvl w:val="9"/>
              <w:rPr>
                <w:rFonts w:hint="eastAsia" w:ascii="宋体" w:hAnsi="宋体" w:eastAsia="宋体" w:cs="宋体"/>
                <w:b w:val="0"/>
                <w:bCs/>
                <w:color w:val="auto"/>
                <w:spacing w:val="-11"/>
                <w:sz w:val="32"/>
                <w:szCs w:val="32"/>
                <w:highlight w:val="none"/>
                <w:vertAlign w:val="baseline"/>
              </w:rPr>
            </w:pPr>
          </w:p>
        </w:tc>
      </w:tr>
    </w:tbl>
    <w:p w14:paraId="3C7371D4">
      <w:pPr>
        <w:shd w:val="clear"/>
        <w:jc w:val="center"/>
        <w:rPr>
          <w:rFonts w:hint="eastAsia" w:ascii="宋体" w:hAnsi="宋体" w:eastAsia="宋体" w:cs="宋体"/>
          <w:color w:val="auto"/>
          <w:sz w:val="28"/>
          <w:szCs w:val="28"/>
          <w:highlight w:val="none"/>
          <w:u w:val="single"/>
        </w:rPr>
      </w:pPr>
    </w:p>
    <w:p w14:paraId="31952B71">
      <w:pPr>
        <w:shd w:val="clear"/>
        <w:spacing w:line="480" w:lineRule="exact"/>
        <w:ind w:firstLine="480" w:firstLineChars="200"/>
        <w:jc w:val="right"/>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 xml:space="preserve"> 投标人：             （签章）</w:t>
      </w:r>
    </w:p>
    <w:p w14:paraId="4AB0D17C">
      <w:pPr>
        <w:shd w:val="clear"/>
        <w:spacing w:line="480" w:lineRule="exact"/>
        <w:ind w:firstLine="480" w:firstLineChars="200"/>
        <w:jc w:val="right"/>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法定代表人或其委托代理人：             （签章）</w:t>
      </w:r>
    </w:p>
    <w:p w14:paraId="03F5983C">
      <w:pPr>
        <w:shd w:val="clear"/>
        <w:spacing w:line="480" w:lineRule="exact"/>
        <w:ind w:firstLine="480" w:firstLineChars="200"/>
        <w:jc w:val="right"/>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 xml:space="preserve">              年    月    日</w:t>
      </w:r>
    </w:p>
    <w:p w14:paraId="21B9920D">
      <w:pPr>
        <w:shd w:val="clear"/>
        <w:jc w:val="center"/>
        <w:rPr>
          <w:rFonts w:hint="eastAsia" w:ascii="宋体" w:hAnsi="宋体" w:eastAsia="宋体" w:cs="宋体"/>
          <w:b/>
          <w:bCs/>
          <w:color w:val="auto"/>
          <w:sz w:val="28"/>
          <w:szCs w:val="28"/>
          <w:highlight w:val="none"/>
        </w:rPr>
      </w:pPr>
      <w:r>
        <w:rPr>
          <w:rFonts w:hint="eastAsia"/>
          <w:b/>
          <w:color w:val="auto"/>
          <w:sz w:val="28"/>
          <w:szCs w:val="28"/>
          <w:highlight w:val="none"/>
          <w:lang w:eastAsia="zh-CN"/>
        </w:rPr>
        <w:br w:type="page"/>
      </w:r>
      <w:r>
        <w:rPr>
          <w:rFonts w:hint="eastAsia"/>
          <w:b/>
          <w:color w:val="auto"/>
          <w:sz w:val="28"/>
          <w:szCs w:val="28"/>
          <w:highlight w:val="none"/>
          <w:lang w:eastAsia="zh-CN"/>
        </w:rPr>
        <w:t>（</w:t>
      </w:r>
      <w:r>
        <w:rPr>
          <w:rFonts w:hint="eastAsia"/>
          <w:b/>
          <w:color w:val="auto"/>
          <w:sz w:val="28"/>
          <w:szCs w:val="28"/>
          <w:highlight w:val="none"/>
          <w:lang w:val="en-US" w:eastAsia="zh-CN"/>
        </w:rPr>
        <w:t>3</w:t>
      </w:r>
      <w:r>
        <w:rPr>
          <w:rFonts w:hint="eastAsia"/>
          <w:b/>
          <w:color w:val="auto"/>
          <w:sz w:val="28"/>
          <w:szCs w:val="28"/>
          <w:highlight w:val="none"/>
          <w:lang w:eastAsia="zh-CN"/>
        </w:rPr>
        <w:t>）</w:t>
      </w:r>
      <w:bookmarkEnd w:id="39"/>
      <w:bookmarkEnd w:id="40"/>
      <w:bookmarkEnd w:id="41"/>
      <w:bookmarkEnd w:id="42"/>
      <w:bookmarkEnd w:id="43"/>
      <w:r>
        <w:rPr>
          <w:rFonts w:hint="eastAsia" w:ascii="宋体" w:hAnsi="宋体" w:eastAsia="宋体" w:cs="宋体"/>
          <w:b/>
          <w:bCs/>
          <w:color w:val="auto"/>
          <w:sz w:val="28"/>
          <w:szCs w:val="28"/>
          <w:highlight w:val="none"/>
        </w:rPr>
        <w:t>投 标 函</w:t>
      </w:r>
    </w:p>
    <w:p w14:paraId="45CB0140">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招标</w:t>
      </w:r>
      <w:r>
        <w:rPr>
          <w:rFonts w:hint="eastAsia" w:ascii="宋体" w:hAnsi="宋体" w:eastAsia="宋体" w:cs="宋体"/>
          <w:color w:val="auto"/>
          <w:szCs w:val="21"/>
          <w:highlight w:val="none"/>
          <w:u w:val="single"/>
        </w:rPr>
        <w:t xml:space="preserve">人)       </w:t>
      </w:r>
      <w:r>
        <w:rPr>
          <w:rFonts w:hint="eastAsia" w:ascii="宋体" w:hAnsi="宋体" w:eastAsia="宋体" w:cs="宋体"/>
          <w:color w:val="auto"/>
          <w:szCs w:val="21"/>
          <w:highlight w:val="none"/>
        </w:rPr>
        <w:t xml:space="preserve"> </w:t>
      </w:r>
    </w:p>
    <w:p w14:paraId="5843FA31">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1.我们决定参加贵单位组织的“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（项目名称）  </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 xml:space="preserve">。我方授权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(姓名和职务)代表我方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（投标人的名称）全权处理本项目投标的有关事宜。</w:t>
      </w:r>
    </w:p>
    <w:p w14:paraId="7F92C825">
      <w:pPr>
        <w:shd w:val="clear"/>
        <w:spacing w:line="360" w:lineRule="auto"/>
        <w:ind w:firstLine="420" w:firstLineChars="200"/>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2.我方愿意按照招标文件规定的各项要求，向</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人提供</w:t>
      </w:r>
      <w:r>
        <w:rPr>
          <w:rFonts w:hint="eastAsia" w:ascii="宋体" w:hAnsi="宋体" w:eastAsia="宋体" w:cs="宋体"/>
          <w:color w:val="auto"/>
          <w:szCs w:val="21"/>
          <w:highlight w:val="none"/>
          <w:lang w:val="en-US" w:eastAsia="zh-CN"/>
        </w:rPr>
        <w:t>本</w:t>
      </w:r>
      <w:r>
        <w:rPr>
          <w:rFonts w:hint="eastAsia" w:ascii="宋体" w:hAnsi="宋体" w:eastAsia="宋体" w:cs="宋体"/>
          <w:color w:val="auto"/>
          <w:szCs w:val="21"/>
          <w:highlight w:val="none"/>
        </w:rPr>
        <w:t>项目的服务，我方报价为</w:t>
      </w:r>
      <w:r>
        <w:rPr>
          <w:rFonts w:hint="eastAsia" w:ascii="宋体" w:hAnsi="宋体" w:eastAsia="宋体" w:cs="宋体"/>
          <w:b/>
          <w:bCs/>
          <w:color w:val="auto"/>
          <w:szCs w:val="21"/>
          <w:highlight w:val="none"/>
        </w:rPr>
        <w:t>基本费</w:t>
      </w:r>
      <w:r>
        <w:rPr>
          <w:rFonts w:hint="eastAsia" w:ascii="宋体" w:hAnsi="宋体" w:eastAsia="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33000</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lang w:val="en-US" w:eastAsia="zh-CN"/>
        </w:rPr>
        <w:t>元</w:t>
      </w:r>
      <w:r>
        <w:rPr>
          <w:rFonts w:hint="eastAsia" w:ascii="宋体" w:hAnsi="宋体" w:eastAsia="宋体" w:cs="宋体"/>
          <w:b/>
          <w:bCs/>
          <w:color w:val="auto"/>
          <w:szCs w:val="21"/>
          <w:highlight w:val="none"/>
        </w:rPr>
        <w:t>，审核成果费率</w:t>
      </w: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折扣率</w:t>
      </w:r>
      <w:r>
        <w:rPr>
          <w:rFonts w:hint="eastAsia" w:ascii="宋体" w:hAnsi="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项目负责人为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，服务期</w:t>
      </w:r>
      <w:r>
        <w:rPr>
          <w:rFonts w:hint="eastAsia" w:ascii="宋体" w:hAnsi="宋体" w:eastAsia="宋体" w:cs="宋体"/>
          <w:color w:val="auto"/>
          <w:szCs w:val="21"/>
          <w:highlight w:val="none"/>
          <w:u w:val="single"/>
        </w:rPr>
        <w:t>：</w:t>
      </w:r>
      <w:r>
        <w:rPr>
          <w:rFonts w:hint="eastAsia" w:ascii="宋体" w:hAnsi="宋体" w:cs="宋体"/>
          <w:color w:val="auto"/>
          <w:szCs w:val="21"/>
          <w:highlight w:val="none"/>
          <w:u w:val="single"/>
          <w:lang w:eastAsia="zh-CN"/>
        </w:rPr>
        <w:t>自合同签订之日起50个日历天内完成，具体执行招标人要求。</w:t>
      </w:r>
    </w:p>
    <w:p w14:paraId="3A6B5438">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3.本项目投标有效期为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60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日历天（从投标截止之日算起）。</w:t>
      </w:r>
    </w:p>
    <w:p w14:paraId="4B4B2FCB">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4.一旦我方成为合同签字人，我方将严格履行合同规定的责任和义务。</w:t>
      </w:r>
    </w:p>
    <w:p w14:paraId="45C10177">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.我方愿意为本项目提交的纸质投标文件一式</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份，其中正本一份、副本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份。</w:t>
      </w:r>
    </w:p>
    <w:p w14:paraId="3BC49A81">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.我方愿意提供可能另外要求的、与投标有关的文件资料，并保证我方已提供和将要提供的文件是真实的、准确的。</w:t>
      </w:r>
    </w:p>
    <w:p w14:paraId="227B7B40">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.我单位提供如下通讯地址：</w:t>
      </w:r>
      <w:r>
        <w:rPr>
          <w:rFonts w:hint="eastAsia" w:ascii="宋体" w:hAnsi="宋体" w:eastAsia="宋体" w:cs="宋体"/>
          <w:color w:val="auto"/>
          <w:szCs w:val="21"/>
          <w:highlight w:val="none"/>
          <w:u w:val="single"/>
        </w:rPr>
        <w:t xml:space="preserve">                电子邮箱（地址）</w:t>
      </w:r>
      <w:r>
        <w:rPr>
          <w:rFonts w:hint="eastAsia" w:ascii="宋体" w:hAnsi="宋体" w:eastAsia="宋体" w:cs="宋体"/>
          <w:color w:val="auto"/>
          <w:szCs w:val="21"/>
          <w:highlight w:val="none"/>
        </w:rPr>
        <w:t>，确认本项目相关法律文书均通过提供的以上地址送达，相关文书只要发送至以上电子邮箱（地址）即视为送达，投标人愿意承担一切法律后果。</w:t>
      </w:r>
    </w:p>
    <w:p w14:paraId="6281524A">
      <w:pPr>
        <w:pStyle w:val="2"/>
        <w:shd w:val="clear"/>
        <w:spacing w:line="360" w:lineRule="auto"/>
        <w:rPr>
          <w:rFonts w:hint="eastAsia" w:ascii="宋体" w:hAnsi="宋体" w:eastAsia="宋体" w:cs="宋体"/>
          <w:color w:val="auto"/>
          <w:szCs w:val="21"/>
          <w:highlight w:val="none"/>
        </w:rPr>
      </w:pPr>
    </w:p>
    <w:p w14:paraId="72330587">
      <w:pPr>
        <w:keepNext w:val="0"/>
        <w:keepLines w:val="0"/>
        <w:pageBreakBefore w:val="0"/>
        <w:widowControl w:val="0"/>
        <w:shd w:val="clear"/>
        <w:kinsoku/>
        <w:wordWrap/>
        <w:overflowPunct/>
        <w:topLinePunct w:val="0"/>
        <w:autoSpaceDE/>
        <w:autoSpaceDN/>
        <w:bidi w:val="0"/>
        <w:adjustRightInd/>
        <w:snapToGrid/>
        <w:spacing w:line="360" w:lineRule="auto"/>
        <w:ind w:firstLine="1995" w:firstLineChars="950"/>
        <w:textAlignment w:val="auto"/>
        <w:rPr>
          <w:rFonts w:hint="eastAsia" w:ascii="宋体" w:hAnsi="宋体" w:eastAsia="宋体" w:cs="宋体"/>
          <w:color w:val="auto"/>
          <w:szCs w:val="21"/>
          <w:highlight w:val="none"/>
        </w:rPr>
      </w:pPr>
    </w:p>
    <w:p w14:paraId="72D73B5F">
      <w:pPr>
        <w:keepNext w:val="0"/>
        <w:keepLines w:val="0"/>
        <w:pageBreakBefore w:val="0"/>
        <w:widowControl w:val="0"/>
        <w:shd w:val="clear"/>
        <w:kinsoku/>
        <w:wordWrap/>
        <w:overflowPunct/>
        <w:topLinePunct w:val="0"/>
        <w:autoSpaceDE/>
        <w:autoSpaceDN/>
        <w:bidi w:val="0"/>
        <w:adjustRightInd/>
        <w:snapToGrid/>
        <w:spacing w:line="360" w:lineRule="auto"/>
        <w:ind w:firstLine="1995" w:firstLineChars="95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rPr>
        <w:t xml:space="preserve">                   （签章） </w:t>
      </w:r>
    </w:p>
    <w:p w14:paraId="33569C5D">
      <w:pPr>
        <w:keepNext w:val="0"/>
        <w:keepLines w:val="0"/>
        <w:pageBreakBefore w:val="0"/>
        <w:widowControl w:val="0"/>
        <w:shd w:val="clear"/>
        <w:kinsoku/>
        <w:wordWrap/>
        <w:overflowPunct/>
        <w:topLinePunct w:val="0"/>
        <w:autoSpaceDE/>
        <w:autoSpaceDN/>
        <w:bidi w:val="0"/>
        <w:adjustRightInd/>
        <w:snapToGrid/>
        <w:spacing w:line="360" w:lineRule="auto"/>
        <w:ind w:left="1995" w:leftChars="9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法定代表人或其委托代理人：</w:t>
      </w:r>
      <w:r>
        <w:rPr>
          <w:rFonts w:hint="eastAsia" w:ascii="宋体" w:hAnsi="宋体" w:eastAsia="宋体" w:cs="宋体"/>
          <w:color w:val="auto"/>
          <w:szCs w:val="21"/>
          <w:highlight w:val="none"/>
          <w:u w:val="single"/>
        </w:rPr>
        <w:t xml:space="preserve">        （签章）</w:t>
      </w:r>
      <w:r>
        <w:rPr>
          <w:rFonts w:hint="eastAsia" w:ascii="宋体" w:hAnsi="宋体" w:eastAsia="宋体" w:cs="宋体"/>
          <w:color w:val="auto"/>
          <w:szCs w:val="21"/>
          <w:highlight w:val="none"/>
        </w:rPr>
        <w:t xml:space="preserve">         </w:t>
      </w:r>
    </w:p>
    <w:p w14:paraId="256B6EFE">
      <w:pPr>
        <w:keepNext w:val="0"/>
        <w:keepLines w:val="0"/>
        <w:pageBreakBefore w:val="0"/>
        <w:widowControl w:val="0"/>
        <w:shd w:val="clear"/>
        <w:kinsoku/>
        <w:wordWrap/>
        <w:overflowPunct/>
        <w:topLinePunct w:val="0"/>
        <w:autoSpaceDE/>
        <w:autoSpaceDN/>
        <w:bidi w:val="0"/>
        <w:adjustRightInd/>
        <w:snapToGrid/>
        <w:spacing w:line="360" w:lineRule="auto"/>
        <w:ind w:left="1995" w:leftChars="95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单位地址：</w:t>
      </w:r>
      <w:r>
        <w:rPr>
          <w:rFonts w:hint="eastAsia" w:ascii="宋体" w:hAnsi="宋体" w:eastAsia="宋体" w:cs="宋体"/>
          <w:color w:val="auto"/>
          <w:szCs w:val="21"/>
          <w:highlight w:val="none"/>
          <w:u w:val="single"/>
        </w:rPr>
        <w:t xml:space="preserve">                   </w:t>
      </w:r>
    </w:p>
    <w:p w14:paraId="6F923F1C">
      <w:pPr>
        <w:keepNext w:val="0"/>
        <w:keepLines w:val="0"/>
        <w:pageBreakBefore w:val="0"/>
        <w:widowControl w:val="0"/>
        <w:shd w:val="clear"/>
        <w:kinsoku/>
        <w:wordWrap/>
        <w:overflowPunct/>
        <w:topLinePunct w:val="0"/>
        <w:autoSpaceDE/>
        <w:autoSpaceDN/>
        <w:bidi w:val="0"/>
        <w:adjustRightInd/>
        <w:snapToGrid/>
        <w:spacing w:line="360" w:lineRule="auto"/>
        <w:ind w:left="1995" w:leftChars="95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none"/>
          <w:lang w:val="en-US" w:eastAsia="zh-CN"/>
        </w:rPr>
        <w:t>联系电话：</w:t>
      </w:r>
      <w:r>
        <w:rPr>
          <w:rFonts w:hint="eastAsia" w:ascii="宋体" w:hAnsi="宋体" w:eastAsia="宋体" w:cs="宋体"/>
          <w:color w:val="auto"/>
          <w:szCs w:val="21"/>
          <w:highlight w:val="none"/>
          <w:u w:val="none"/>
        </w:rPr>
        <w:t xml:space="preserve">   </w:t>
      </w:r>
      <w:r>
        <w:rPr>
          <w:rFonts w:hint="eastAsia" w:ascii="宋体" w:hAnsi="宋体" w:eastAsia="宋体" w:cs="宋体"/>
          <w:color w:val="auto"/>
          <w:szCs w:val="21"/>
          <w:highlight w:val="none"/>
          <w:u w:val="single"/>
        </w:rPr>
        <w:t xml:space="preserve">                </w:t>
      </w:r>
    </w:p>
    <w:p w14:paraId="4BE88A2B">
      <w:pPr>
        <w:keepNext w:val="0"/>
        <w:keepLines w:val="0"/>
        <w:pageBreakBefore w:val="0"/>
        <w:widowControl w:val="0"/>
        <w:shd w:val="clear"/>
        <w:kinsoku/>
        <w:wordWrap/>
        <w:overflowPunct/>
        <w:topLinePunct w:val="0"/>
        <w:autoSpaceDE/>
        <w:autoSpaceDN/>
        <w:bidi w:val="0"/>
        <w:adjustRightInd/>
        <w:snapToGrid/>
        <w:spacing w:line="360" w:lineRule="auto"/>
        <w:ind w:left="1995" w:leftChars="95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年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月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5C3CD04E">
      <w:pPr>
        <w:shd w:val="clear"/>
        <w:rPr>
          <w:rFonts w:hint="eastAsia"/>
          <w:color w:val="auto"/>
          <w:highlight w:val="none"/>
        </w:rPr>
      </w:pPr>
    </w:p>
    <w:p w14:paraId="6082846C">
      <w:pPr>
        <w:shd w:val="clear"/>
        <w:rPr>
          <w:rFonts w:hint="eastAsia"/>
          <w:color w:val="auto"/>
          <w:highlight w:val="none"/>
          <w:lang w:val="en-US" w:eastAsia="zh-CN"/>
        </w:rPr>
      </w:pPr>
    </w:p>
    <w:p w14:paraId="1F8477E8">
      <w:pPr>
        <w:shd w:val="clear"/>
        <w:rPr>
          <w:rFonts w:hint="default"/>
          <w:color w:val="auto"/>
          <w:highlight w:val="none"/>
          <w:lang w:val="en-US" w:eastAsia="zh-CN"/>
        </w:rPr>
      </w:pPr>
    </w:p>
    <w:p w14:paraId="7F4AD5BE">
      <w:pPr>
        <w:shd w:val="clear"/>
        <w:rPr>
          <w:rFonts w:hint="eastAsia"/>
          <w:color w:val="auto"/>
          <w:highlight w:val="none"/>
        </w:rPr>
      </w:pPr>
    </w:p>
    <w:p w14:paraId="3DE4BFA5">
      <w:pPr>
        <w:pStyle w:val="6"/>
        <w:shd w:val="clear"/>
        <w:spacing w:before="0" w:after="0"/>
        <w:rPr>
          <w:rFonts w:hint="eastAsia" w:ascii="宋体" w:hAnsi="宋体" w:eastAsia="宋体" w:cs="宋体"/>
          <w:color w:val="auto"/>
          <w:highlight w:val="none"/>
          <w:lang w:val="en-US" w:eastAsia="zh-CN"/>
        </w:rPr>
      </w:pPr>
      <w:bookmarkStart w:id="44" w:name="_Toc13587"/>
      <w:r>
        <w:rPr>
          <w:rFonts w:hint="eastAsia" w:ascii="宋体" w:hAnsi="宋体" w:eastAsia="宋体" w:cs="宋体"/>
          <w:color w:val="auto"/>
          <w:highlight w:val="none"/>
          <w:lang w:val="en-US" w:eastAsia="zh-CN"/>
        </w:rPr>
        <w:t>第七章招标单位、招标代理机构对本招标文件的确认</w:t>
      </w:r>
      <w:bookmarkEnd w:id="38"/>
      <w:bookmarkEnd w:id="44"/>
    </w:p>
    <w:tbl>
      <w:tblPr>
        <w:tblStyle w:val="45"/>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5"/>
      </w:tblGrid>
      <w:tr w14:paraId="01C41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41" w:hRule="atLeast"/>
          <w:jc w:val="center"/>
        </w:trPr>
        <w:tc>
          <w:tcPr>
            <w:tcW w:w="9085" w:type="dxa"/>
          </w:tcPr>
          <w:p w14:paraId="7F2423D8">
            <w:pPr>
              <w:keepNext w:val="0"/>
              <w:keepLines w:val="0"/>
              <w:suppressLineNumbers w:val="0"/>
              <w:shd w:val="clear"/>
              <w:spacing w:before="0" w:beforeAutospacing="0" w:after="0" w:afterAutospacing="0" w:line="320" w:lineRule="atLeast"/>
              <w:ind w:left="0" w:right="0" w:firstLine="560" w:firstLineChars="200"/>
              <w:rPr>
                <w:rFonts w:hint="default" w:ascii="仿宋" w:hAnsi="仿宋" w:eastAsia="仿宋" w:cs="仿宋"/>
                <w:color w:val="auto"/>
                <w:sz w:val="28"/>
                <w:szCs w:val="28"/>
                <w:highlight w:val="none"/>
              </w:rPr>
            </w:pPr>
          </w:p>
          <w:p w14:paraId="0591296F">
            <w:pPr>
              <w:keepNext w:val="0"/>
              <w:keepLines w:val="0"/>
              <w:suppressLineNumbers w:val="0"/>
              <w:shd w:val="clear"/>
              <w:spacing w:before="0" w:beforeAutospacing="0" w:after="0" w:afterAutospacing="0" w:line="320" w:lineRule="atLeast"/>
              <w:ind w:left="0" w:right="0" w:firstLine="560" w:firstLineChars="200"/>
              <w:rPr>
                <w:rFonts w:hint="default" w:ascii="仿宋" w:hAnsi="仿宋" w:eastAsia="仿宋" w:cs="仿宋"/>
                <w:color w:val="auto"/>
                <w:sz w:val="28"/>
                <w:szCs w:val="28"/>
                <w:highlight w:val="none"/>
              </w:rPr>
            </w:pPr>
            <w:r>
              <w:rPr>
                <w:rFonts w:hint="eastAsia" w:ascii="仿宋" w:hAnsi="仿宋" w:eastAsia="仿宋" w:cs="仿宋"/>
                <w:color w:val="auto"/>
                <w:sz w:val="28"/>
                <w:szCs w:val="28"/>
                <w:highlight w:val="none"/>
              </w:rPr>
              <w:t>我单位对</w:t>
            </w:r>
            <w:r>
              <w:rPr>
                <w:rFonts w:hint="eastAsia" w:ascii="仿宋" w:hAnsi="仿宋" w:eastAsia="仿宋" w:cs="仿宋"/>
                <w:color w:val="auto"/>
                <w:sz w:val="28"/>
                <w:szCs w:val="28"/>
                <w:highlight w:val="none"/>
                <w:u w:val="single"/>
                <w:lang w:eastAsia="zh-CN"/>
              </w:rPr>
              <w:t>琅琊山南门民宿等四个项目结算复核服务项目</w:t>
            </w:r>
            <w:r>
              <w:rPr>
                <w:rFonts w:hint="default"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的招标文件进行确认。</w:t>
            </w:r>
          </w:p>
          <w:p w14:paraId="3805B18A">
            <w:pPr>
              <w:keepNext w:val="0"/>
              <w:keepLines w:val="0"/>
              <w:suppressLineNumbers w:val="0"/>
              <w:shd w:val="clear"/>
              <w:spacing w:before="0" w:beforeAutospacing="0" w:after="0" w:afterAutospacing="0" w:line="320" w:lineRule="atLeast"/>
              <w:ind w:left="0" w:right="0" w:firstLine="560" w:firstLineChars="200"/>
              <w:rPr>
                <w:rFonts w:hint="default" w:ascii="仿宋" w:hAnsi="仿宋" w:eastAsia="仿宋" w:cs="仿宋"/>
                <w:color w:val="auto"/>
                <w:sz w:val="28"/>
                <w:szCs w:val="28"/>
                <w:highlight w:val="none"/>
              </w:rPr>
            </w:pPr>
          </w:p>
          <w:p w14:paraId="67CE0C23">
            <w:pPr>
              <w:keepNext w:val="0"/>
              <w:keepLines w:val="0"/>
              <w:suppressLineNumbers w:val="0"/>
              <w:shd w:val="clear"/>
              <w:spacing w:before="0" w:beforeAutospacing="0" w:after="0" w:afterAutospacing="0" w:line="320" w:lineRule="atLeast"/>
              <w:ind w:left="0" w:right="0"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招标人：</w:t>
            </w:r>
            <w:r>
              <w:rPr>
                <w:rFonts w:hint="eastAsia" w:ascii="仿宋" w:hAnsi="仿宋" w:eastAsia="仿宋" w:cs="仿宋"/>
                <w:color w:val="auto"/>
                <w:sz w:val="28"/>
                <w:szCs w:val="28"/>
                <w:highlight w:val="none"/>
                <w:lang w:eastAsia="zh-CN"/>
              </w:rPr>
              <w:t>安徽省琅琊山旅游发展有限公司</w:t>
            </w:r>
          </w:p>
          <w:p w14:paraId="61DBD140">
            <w:pPr>
              <w:keepNext w:val="0"/>
              <w:keepLines w:val="0"/>
              <w:suppressLineNumbers w:val="0"/>
              <w:shd w:val="clear"/>
              <w:spacing w:before="0" w:beforeAutospacing="0" w:after="0" w:afterAutospacing="0" w:line="320" w:lineRule="atLeast"/>
              <w:ind w:left="0" w:right="0"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xml:space="preserve">联系人：张玥     </w:t>
            </w:r>
          </w:p>
          <w:p w14:paraId="34305D48">
            <w:pPr>
              <w:keepNext w:val="0"/>
              <w:keepLines w:val="0"/>
              <w:suppressLineNumbers w:val="0"/>
              <w:shd w:val="clear"/>
              <w:spacing w:before="0" w:beforeAutospacing="0" w:after="0" w:afterAutospacing="0" w:line="320" w:lineRule="atLeast"/>
              <w:ind w:left="0" w:right="0"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联系方式：15605500128</w:t>
            </w:r>
          </w:p>
          <w:p w14:paraId="37D1CE72">
            <w:pPr>
              <w:keepNext w:val="0"/>
              <w:keepLines w:val="0"/>
              <w:suppressLineNumbers w:val="0"/>
              <w:shd w:val="clear"/>
              <w:spacing w:before="0" w:beforeAutospacing="0" w:after="0" w:afterAutospacing="0" w:line="500" w:lineRule="exact"/>
              <w:ind w:left="0" w:right="0" w:firstLine="281" w:firstLineChars="100"/>
              <w:rPr>
                <w:rFonts w:hint="default" w:ascii="仿宋" w:hAnsi="仿宋" w:eastAsia="仿宋" w:cs="仿宋"/>
                <w:b/>
                <w:bCs/>
                <w:color w:val="auto"/>
                <w:sz w:val="28"/>
                <w:szCs w:val="28"/>
                <w:highlight w:val="none"/>
              </w:rPr>
            </w:pPr>
          </w:p>
          <w:p w14:paraId="00F242A4">
            <w:pPr>
              <w:keepNext w:val="0"/>
              <w:keepLines w:val="0"/>
              <w:suppressLineNumbers w:val="0"/>
              <w:shd w:val="clear"/>
              <w:spacing w:before="0" w:beforeAutospacing="0" w:after="0" w:afterAutospacing="0" w:line="500" w:lineRule="exact"/>
              <w:ind w:left="0" w:right="0" w:firstLine="280" w:firstLineChars="100"/>
              <w:rPr>
                <w:rFonts w:hint="default" w:ascii="仿宋" w:hAnsi="仿宋" w:eastAsia="仿宋" w:cs="仿宋"/>
                <w:color w:val="auto"/>
                <w:sz w:val="28"/>
                <w:szCs w:val="28"/>
                <w:highlight w:val="none"/>
              </w:rPr>
            </w:pPr>
            <w:r>
              <w:rPr>
                <w:rFonts w:hint="default"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rPr>
              <w:t>（单位盖章）</w:t>
            </w:r>
          </w:p>
          <w:p w14:paraId="5D8C45AC">
            <w:pPr>
              <w:keepNext w:val="0"/>
              <w:keepLines w:val="0"/>
              <w:suppressLineNumbers w:val="0"/>
              <w:shd w:val="clear"/>
              <w:spacing w:before="0" w:beforeAutospacing="0" w:after="0" w:afterAutospacing="0"/>
              <w:ind w:left="0" w:right="0" w:firstLine="5320" w:firstLineChars="1900"/>
              <w:rPr>
                <w:rFonts w:hint="default" w:ascii="仿宋" w:hAnsi="仿宋" w:eastAsia="仿宋" w:cs="仿宋"/>
                <w:color w:val="auto"/>
                <w:sz w:val="28"/>
                <w:szCs w:val="28"/>
                <w:highlight w:val="none"/>
                <w:lang w:val="en-US" w:eastAsia="zh-CN"/>
              </w:rPr>
            </w:pPr>
            <w:r>
              <w:rPr>
                <w:rFonts w:hint="default" w:ascii="仿宋" w:hAnsi="仿宋" w:eastAsia="仿宋" w:cs="仿宋"/>
                <w:color w:val="auto"/>
                <w:sz w:val="28"/>
                <w:szCs w:val="28"/>
                <w:highlight w:val="none"/>
              </w:rPr>
              <w:t xml:space="preserve"> 202</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月</w:t>
            </w:r>
          </w:p>
        </w:tc>
      </w:tr>
      <w:tr w14:paraId="61F56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1" w:hRule="atLeast"/>
          <w:jc w:val="center"/>
        </w:trPr>
        <w:tc>
          <w:tcPr>
            <w:tcW w:w="9085" w:type="dxa"/>
          </w:tcPr>
          <w:p w14:paraId="60C4AEB8">
            <w:pPr>
              <w:keepNext w:val="0"/>
              <w:keepLines w:val="0"/>
              <w:suppressLineNumbers w:val="0"/>
              <w:shd w:val="clear"/>
              <w:spacing w:before="0" w:beforeAutospacing="0" w:after="0" w:afterAutospacing="0" w:line="320" w:lineRule="atLeast"/>
              <w:ind w:left="0" w:right="0" w:firstLine="560" w:firstLineChars="200"/>
              <w:rPr>
                <w:rFonts w:hint="default" w:ascii="仿宋" w:hAnsi="仿宋" w:eastAsia="仿宋" w:cs="仿宋"/>
                <w:color w:val="auto"/>
                <w:sz w:val="28"/>
                <w:szCs w:val="28"/>
                <w:highlight w:val="none"/>
              </w:rPr>
            </w:pPr>
          </w:p>
          <w:p w14:paraId="74BA9AB9">
            <w:pPr>
              <w:keepNext w:val="0"/>
              <w:keepLines w:val="0"/>
              <w:suppressLineNumbers w:val="0"/>
              <w:shd w:val="clear"/>
              <w:spacing w:before="0" w:beforeAutospacing="0" w:after="0" w:afterAutospacing="0" w:line="320" w:lineRule="atLeast"/>
              <w:ind w:left="0" w:right="0" w:firstLine="560" w:firstLineChars="200"/>
              <w:rPr>
                <w:rFonts w:hint="default" w:ascii="仿宋" w:hAnsi="仿宋" w:eastAsia="仿宋" w:cs="仿宋"/>
                <w:color w:val="auto"/>
                <w:sz w:val="28"/>
                <w:szCs w:val="28"/>
                <w:highlight w:val="none"/>
              </w:rPr>
            </w:pPr>
            <w:r>
              <w:rPr>
                <w:rFonts w:hint="eastAsia" w:ascii="仿宋" w:hAnsi="仿宋" w:eastAsia="仿宋" w:cs="仿宋"/>
                <w:color w:val="auto"/>
                <w:sz w:val="28"/>
                <w:szCs w:val="28"/>
                <w:highlight w:val="none"/>
              </w:rPr>
              <w:t>招标代理机构：滁州市城投工程咨询管理有限公司</w:t>
            </w:r>
          </w:p>
          <w:p w14:paraId="0E80F928">
            <w:pPr>
              <w:keepNext w:val="0"/>
              <w:keepLines w:val="0"/>
              <w:suppressLineNumbers w:val="0"/>
              <w:shd w:val="clear"/>
              <w:spacing w:before="0" w:beforeAutospacing="0" w:after="0" w:afterAutospacing="0" w:line="320" w:lineRule="atLeast"/>
              <w:ind w:left="0" w:right="0" w:firstLine="560" w:firstLineChars="200"/>
              <w:rPr>
                <w:rFonts w:hint="default" w:ascii="仿宋" w:hAnsi="仿宋" w:eastAsia="仿宋" w:cs="仿宋"/>
                <w:color w:val="auto"/>
                <w:sz w:val="28"/>
                <w:szCs w:val="28"/>
                <w:highlight w:val="none"/>
              </w:rPr>
            </w:pPr>
            <w:r>
              <w:rPr>
                <w:rFonts w:hint="eastAsia" w:ascii="仿宋" w:hAnsi="仿宋" w:eastAsia="仿宋" w:cs="仿宋"/>
                <w:color w:val="auto"/>
                <w:sz w:val="28"/>
                <w:szCs w:val="28"/>
                <w:highlight w:val="none"/>
              </w:rPr>
              <w:t>联系人：</w:t>
            </w:r>
            <w:r>
              <w:rPr>
                <w:rFonts w:hint="eastAsia" w:ascii="仿宋" w:hAnsi="仿宋" w:eastAsia="仿宋" w:cs="仿宋"/>
                <w:color w:val="auto"/>
                <w:sz w:val="28"/>
                <w:szCs w:val="28"/>
                <w:highlight w:val="none"/>
                <w:lang w:val="en-US" w:eastAsia="zh-CN"/>
              </w:rPr>
              <w:t>周晓培</w:t>
            </w:r>
            <w:r>
              <w:rPr>
                <w:rFonts w:hint="default" w:ascii="仿宋" w:hAnsi="仿宋" w:eastAsia="仿宋" w:cs="仿宋"/>
                <w:color w:val="auto"/>
                <w:sz w:val="28"/>
                <w:szCs w:val="28"/>
                <w:highlight w:val="none"/>
              </w:rPr>
              <w:t xml:space="preserve"> </w:t>
            </w:r>
          </w:p>
          <w:p w14:paraId="79DDFD13">
            <w:pPr>
              <w:keepNext w:val="0"/>
              <w:keepLines w:val="0"/>
              <w:suppressLineNumbers w:val="0"/>
              <w:shd w:val="clear"/>
              <w:spacing w:before="0" w:beforeAutospacing="0" w:after="0" w:afterAutospacing="0" w:line="320" w:lineRule="atLeast"/>
              <w:ind w:left="0" w:right="0"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联系电话：</w:t>
            </w:r>
            <w:r>
              <w:rPr>
                <w:rFonts w:hint="eastAsia" w:ascii="仿宋" w:hAnsi="仿宋" w:eastAsia="仿宋" w:cs="仿宋"/>
                <w:color w:val="auto"/>
                <w:sz w:val="28"/>
                <w:szCs w:val="28"/>
                <w:highlight w:val="none"/>
                <w:lang w:eastAsia="zh-CN"/>
              </w:rPr>
              <w:t>0550-351951</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、1</w:t>
            </w:r>
            <w:r>
              <w:rPr>
                <w:rFonts w:hint="eastAsia" w:ascii="仿宋" w:hAnsi="仿宋" w:eastAsia="仿宋" w:cs="仿宋"/>
                <w:color w:val="auto"/>
                <w:sz w:val="28"/>
                <w:szCs w:val="28"/>
                <w:highlight w:val="none"/>
                <w:lang w:val="en-US" w:eastAsia="zh-CN"/>
              </w:rPr>
              <w:t>8255055896</w:t>
            </w:r>
          </w:p>
          <w:p w14:paraId="1467F2BD">
            <w:pPr>
              <w:keepNext w:val="0"/>
              <w:keepLines w:val="0"/>
              <w:suppressLineNumbers w:val="0"/>
              <w:shd w:val="clear"/>
              <w:spacing w:before="0" w:beforeAutospacing="0" w:after="0" w:afterAutospacing="0"/>
              <w:ind w:left="0" w:right="0"/>
              <w:rPr>
                <w:rFonts w:hint="default" w:ascii="仿宋" w:hAnsi="仿宋" w:eastAsia="仿宋" w:cs="仿宋"/>
                <w:color w:val="auto"/>
                <w:sz w:val="28"/>
                <w:szCs w:val="28"/>
                <w:highlight w:val="none"/>
              </w:rPr>
            </w:pPr>
          </w:p>
          <w:p w14:paraId="619A9A7B">
            <w:pPr>
              <w:keepNext w:val="0"/>
              <w:keepLines w:val="0"/>
              <w:suppressLineNumbers w:val="0"/>
              <w:shd w:val="clear"/>
              <w:spacing w:before="0" w:beforeAutospacing="0" w:after="0" w:afterAutospacing="0"/>
              <w:ind w:left="0" w:right="0" w:firstLine="5040" w:firstLineChars="1800"/>
              <w:rPr>
                <w:rFonts w:hint="default" w:ascii="仿宋" w:hAnsi="仿宋" w:eastAsia="仿宋" w:cs="仿宋"/>
                <w:color w:val="auto"/>
                <w:sz w:val="28"/>
                <w:szCs w:val="28"/>
                <w:highlight w:val="none"/>
              </w:rPr>
            </w:pPr>
            <w:r>
              <w:rPr>
                <w:rFonts w:hint="default"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rPr>
              <w:t>（单位盖章）</w:t>
            </w:r>
          </w:p>
          <w:p w14:paraId="194E75DF">
            <w:pPr>
              <w:keepNext w:val="0"/>
              <w:keepLines w:val="0"/>
              <w:suppressLineNumbers w:val="0"/>
              <w:shd w:val="clear"/>
              <w:spacing w:before="0" w:beforeAutospacing="0" w:after="0" w:afterAutospacing="0"/>
              <w:ind w:left="0" w:right="0" w:firstLine="4900" w:firstLineChars="1750"/>
              <w:rPr>
                <w:rFonts w:hint="default" w:ascii="仿宋" w:hAnsi="仿宋" w:eastAsia="仿宋" w:cs="仿宋"/>
                <w:color w:val="auto"/>
                <w:sz w:val="28"/>
                <w:szCs w:val="28"/>
                <w:highlight w:val="none"/>
                <w:lang w:val="en-US" w:eastAsia="zh-CN"/>
              </w:rPr>
            </w:pPr>
            <w:r>
              <w:rPr>
                <w:rFonts w:hint="default" w:ascii="仿宋" w:hAnsi="仿宋" w:eastAsia="仿宋" w:cs="仿宋"/>
                <w:color w:val="auto"/>
                <w:sz w:val="28"/>
                <w:szCs w:val="28"/>
                <w:highlight w:val="none"/>
              </w:rPr>
              <w:t xml:space="preserve">   202</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月</w:t>
            </w:r>
          </w:p>
        </w:tc>
      </w:tr>
    </w:tbl>
    <w:p w14:paraId="6D9050A0">
      <w:pPr>
        <w:pStyle w:val="20"/>
        <w:shd w:val="clear"/>
        <w:jc w:val="left"/>
        <w:rPr>
          <w:rFonts w:ascii="仿宋" w:hAnsi="仿宋" w:eastAsia="仿宋" w:cs="仿宋"/>
          <w:color w:val="auto"/>
          <w:kern w:val="0"/>
          <w:sz w:val="24"/>
          <w:szCs w:val="24"/>
          <w:highlight w:val="none"/>
        </w:rPr>
      </w:pPr>
    </w:p>
    <w:p w14:paraId="25FD2A5E">
      <w:pPr>
        <w:pStyle w:val="20"/>
        <w:shd w:val="clear"/>
        <w:jc w:val="left"/>
        <w:rPr>
          <w:rFonts w:ascii="仿宋" w:hAnsi="仿宋" w:eastAsia="仿宋" w:cs="仿宋"/>
          <w:color w:val="auto"/>
          <w:kern w:val="0"/>
          <w:sz w:val="24"/>
          <w:szCs w:val="24"/>
          <w:highlight w:val="none"/>
        </w:rPr>
      </w:pPr>
    </w:p>
    <w:p w14:paraId="793B7A05">
      <w:pPr>
        <w:pStyle w:val="20"/>
        <w:shd w:val="clear"/>
        <w:jc w:val="left"/>
        <w:rPr>
          <w:rFonts w:ascii="仿宋" w:hAnsi="仿宋" w:eastAsia="仿宋" w:cs="仿宋"/>
          <w:color w:val="auto"/>
          <w:kern w:val="0"/>
          <w:sz w:val="24"/>
          <w:szCs w:val="24"/>
          <w:highlight w:val="none"/>
        </w:rPr>
      </w:pPr>
    </w:p>
    <w:p w14:paraId="6A40BE24">
      <w:pPr>
        <w:pStyle w:val="20"/>
        <w:shd w:val="clear"/>
        <w:jc w:val="left"/>
        <w:rPr>
          <w:rFonts w:ascii="仿宋" w:hAnsi="仿宋" w:eastAsia="仿宋" w:cs="仿宋"/>
          <w:color w:val="auto"/>
          <w:kern w:val="0"/>
          <w:sz w:val="24"/>
          <w:szCs w:val="24"/>
          <w:highlight w:val="none"/>
        </w:rPr>
      </w:pPr>
    </w:p>
    <w:p w14:paraId="0DDF0DFA">
      <w:pPr>
        <w:pStyle w:val="20"/>
        <w:shd w:val="clear"/>
        <w:jc w:val="left"/>
        <w:rPr>
          <w:rFonts w:ascii="仿宋" w:hAnsi="仿宋" w:eastAsia="仿宋" w:cs="仿宋"/>
          <w:color w:val="auto"/>
          <w:kern w:val="0"/>
          <w:sz w:val="24"/>
          <w:szCs w:val="24"/>
          <w:highlight w:val="none"/>
        </w:rPr>
      </w:pPr>
    </w:p>
    <w:sectPr>
      <w:headerReference r:id="rId9" w:type="default"/>
      <w:footerReference r:id="rId10" w:type="default"/>
      <w:pgSz w:w="12240" w:h="15840"/>
      <w:pgMar w:top="935" w:right="1106" w:bottom="935" w:left="1259" w:header="680" w:footer="680" w:gutter="0"/>
      <w:pgNumType w:fmt="decimal" w:start="1"/>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5EFE9">
    <w:pPr>
      <w:pStyle w:val="30"/>
      <w:rPr>
        <w:rStyle w:val="49"/>
      </w:rPr>
    </w:pPr>
  </w:p>
  <w:p w14:paraId="5030C173">
    <w:pPr>
      <w:pStyle w:val="30"/>
      <w:ind w:right="360"/>
      <w:rPr>
        <w:kern w:val="0"/>
      </w:rPr>
    </w:pPr>
    <w:r>
      <mc:AlternateContent>
        <mc:Choice Requires="wps">
          <w:drawing>
            <wp:anchor distT="0" distB="0" distL="114300" distR="114300" simplePos="0" relativeHeight="251659264"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2"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29E625BB"/>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59264;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Bcxk6a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WlDhuceDn&#10;79/OP36df36tsztDiA0mPYR7mHcRYZY6KrD5iyLIWBw9XR2VYyICg1W9ulm9uaFE4Fn1dlXVxXL2&#10;eDtATO+ktySDlgJOrBjJjx9iwoqYeknJxZy/08aUqRn3VwATp4gsY59v5/anhjNK426cVex8d0Ll&#10;5r1DN/PLuAC4gN0FHALofY/NVdkQlolwGqW1+eXkcf+5L1mPf8vm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Bcxk6auAEAAHUDAAAOAAAAAAAAAAEAIAAAACkBAABkcnMvZTJvRG9jLnhtbFBL&#10;BQYAAAAABgAGAFkBAABTBQAAAAA=&#10;">
              <v:fill on="f" focussize="0,0"/>
              <v:stroke on="f"/>
              <v:imagedata o:title=""/>
              <o:lock v:ext="edit" aspectratio="f"/>
              <v:textbox inset="0mm,0mm,0mm,0mm">
                <w:txbxContent>
                  <w:p w14:paraId="29E625BB"/>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FF785">
    <w:pPr>
      <w:pStyle w:val="30"/>
      <w:tabs>
        <w:tab w:val="center" w:pos="7483"/>
        <w:tab w:val="clear" w:pos="4153"/>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F540A">
    <w:pPr>
      <w:pStyle w:val="30"/>
      <w:rPr>
        <w:rStyle w:val="49"/>
      </w:rPr>
    </w:pPr>
  </w:p>
  <w:p w14:paraId="611BE6AA">
    <w:pPr>
      <w:pStyle w:val="30"/>
      <w:ind w:right="360"/>
      <w:rPr>
        <w:kern w:val="0"/>
      </w:rPr>
    </w:pPr>
    <w:r>
      <mc:AlternateContent>
        <mc:Choice Requires="wps">
          <w:drawing>
            <wp:anchor distT="0" distB="0" distL="114300" distR="114300" simplePos="0" relativeHeight="251660288"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5"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21407925"/>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60288;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AQQliK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eUOK4xYGf&#10;v387//h1/vm1zu4MITaY9BDuYd5FhFnqqMDmL4ogY3H0dHVUjokIDFb16mb1BqkFnlVvV1VdLGeP&#10;twPE9E56SzJoKeDEipH8+CEmrIipl5RczPk7bUyZmnF/BTBxisgy9vl2bn9qOKM07sZZxc53J1Ru&#10;3jt0M7+MC4AL2F3AIYDe99hclQ1hmQinUVqbX04e95/7kvX4t2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AQQliKuAEAAHUDAAAOAAAAAAAAAAEAIAAAACkBAABkcnMvZTJvRG9jLnhtbFBL&#10;BQYAAAAABgAGAFkBAABTBQAAAAA=&#10;">
              <v:fill on="f" focussize="0,0"/>
              <v:stroke on="f"/>
              <v:imagedata o:title=""/>
              <o:lock v:ext="edit" aspectratio="f"/>
              <v:textbox inset="0mm,0mm,0mm,0mm">
                <w:txbxContent>
                  <w:p w14:paraId="21407925"/>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0A618">
    <w:pPr>
      <w:pStyle w:val="30"/>
      <w:tabs>
        <w:tab w:val="center" w:pos="7483"/>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79FF7D3">
                          <w:pPr>
                            <w:pStyle w:val="30"/>
                          </w:pPr>
                          <w:r>
                            <w:fldChar w:fldCharType="begin"/>
                          </w:r>
                          <w:r>
                            <w:instrText xml:space="preserve"> PAGE  \* MERGEFORMAT </w:instrText>
                          </w:r>
                          <w:r>
                            <w:fldChar w:fldCharType="separate"/>
                          </w:r>
                          <w:r>
                            <w:t></w:t>
                          </w:r>
                          <w:r>
                            <w:fldChar w:fldCharType="end"/>
                          </w:r>
                        </w:p>
                      </w:txbxContent>
                    </wps:txbx>
                    <wps:bodyPr wrap="none" lIns="0" tIns="0" rIns="0" bIns="0" upright="1">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YmK+1NABAACqAwAADgAAAAAAAAABACAAAAAeAQAAZHJz&#10;L2Uyb0RvYy54bWxQSwUGAAAAAAYABgBZAQAAYAUAAAAA&#10;">
              <v:fill on="f" focussize="0,0"/>
              <v:stroke on="f"/>
              <v:imagedata o:title=""/>
              <o:lock v:ext="edit" aspectratio="f"/>
              <v:textbox inset="0mm,0mm,0mm,0mm" style="mso-fit-shape-to-text:t;">
                <w:txbxContent>
                  <w:p w14:paraId="679FF7D3">
                    <w:pPr>
                      <w:pStyle w:val="30"/>
                    </w:pPr>
                    <w:r>
                      <w:fldChar w:fldCharType="begin"/>
                    </w:r>
                    <w:r>
                      <w:instrText xml:space="preserve"> PAGE  \* MERGEFORMAT </w:instrText>
                    </w:r>
                    <w:r>
                      <w:fldChar w:fldCharType="separate"/>
                    </w:r>
                    <w:r>
                      <w:t></w:t>
                    </w:r>
                    <w:r>
                      <w:fldChar w:fldCharType="end"/>
                    </w:r>
                  </w:p>
                </w:txbxContent>
              </v:textbox>
            </v:shape>
          </w:pict>
        </mc:Fallback>
      </mc:AlternateContent>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34885">
    <w:pPr>
      <w:pStyle w:val="30"/>
      <w:rPr>
        <w:rStyle w:val="49"/>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027E077">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3027E077">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77C6AFA8">
    <w:pPr>
      <w:pStyle w:val="30"/>
      <w:ind w:right="360"/>
      <w:rPr>
        <w:kern w:val="0"/>
      </w:rPr>
    </w:pPr>
    <w:r>
      <mc:AlternateContent>
        <mc:Choice Requires="wps">
          <w:drawing>
            <wp:anchor distT="0" distB="0" distL="114300" distR="114300" simplePos="0" relativeHeight="251661312"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8"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42B2323A"/>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61312;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AipzAr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i2B23OPDz&#10;92/nH7/OP7/W2Z0hxAaTHsI9zLuIMEsdFdj8RRFkLI6ero7KMRGBwape3aze3FAi8Kx6u6rqYjl7&#10;vB0gpnfSW5JBSwEnVozkxw8xYUVMvaTkYs7faWPK1Iz7K4CJU0SWsc+3c/tTwxmlcTfOKna+O6Fy&#10;896hm/llXABcwO4CDgH0vsfmqmwIy0Q4jdLa/HLyuP/cl6zHv2Xz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AipzAruAEAAHUDAAAOAAAAAAAAAAEAIAAAACkBAABkcnMvZTJvRG9jLnhtbFBL&#10;BQYAAAAABgAGAFkBAABTBQAAAAA=&#10;">
              <v:fill on="f" focussize="0,0"/>
              <v:stroke on="f"/>
              <v:imagedata o:title=""/>
              <o:lock v:ext="edit" aspectratio="f"/>
              <v:textbox inset="0mm,0mm,0mm,0mm">
                <w:txbxContent>
                  <w:p w14:paraId="42B2323A"/>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8863B">
    <w:pPr>
      <w:pStyle w:val="31"/>
      <w:pBdr>
        <w:bottom w:val="none" w:color="auto" w:sz="0" w:space="0"/>
      </w:pBdr>
    </w:pP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D0600">
    <w:pPr>
      <w:pStyle w:val="3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DF310">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C6740A"/>
    <w:multiLevelType w:val="singleLevel"/>
    <w:tmpl w:val="B7C6740A"/>
    <w:lvl w:ilvl="0" w:tentative="0">
      <w:start w:val="4"/>
      <w:numFmt w:val="chineseCounting"/>
      <w:suff w:val="space"/>
      <w:lvlText w:val="第%1章"/>
      <w:lvlJc w:val="left"/>
      <w:rPr>
        <w:rFonts w:hint="eastAsia"/>
      </w:rPr>
    </w:lvl>
  </w:abstractNum>
  <w:abstractNum w:abstractNumId="1">
    <w:nsid w:val="CDCDC533"/>
    <w:multiLevelType w:val="singleLevel"/>
    <w:tmpl w:val="CDCDC533"/>
    <w:lvl w:ilvl="0" w:tentative="0">
      <w:start w:val="2"/>
      <w:numFmt w:val="chineseCounting"/>
      <w:suff w:val="nothing"/>
      <w:lvlText w:val="%1、"/>
      <w:lvlJc w:val="left"/>
      <w:rPr>
        <w:rFonts w:hint="eastAsia"/>
      </w:rPr>
    </w:lvl>
  </w:abstractNum>
  <w:abstractNum w:abstractNumId="2">
    <w:nsid w:val="CEAC3E49"/>
    <w:multiLevelType w:val="singleLevel"/>
    <w:tmpl w:val="CEAC3E49"/>
    <w:lvl w:ilvl="0" w:tentative="0">
      <w:start w:val="2"/>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oNotHyphenateCaps/>
  <w:drawingGridVerticalSpacing w:val="159"/>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5ZDY5ZDNjMmE2ZDcxYTFkMDY0Zjg5Mjg3YTE0YTgifQ=="/>
  </w:docVars>
  <w:rsids>
    <w:rsidRoot w:val="00277DEA"/>
    <w:rsid w:val="000407AC"/>
    <w:rsid w:val="00040A78"/>
    <w:rsid w:val="00057816"/>
    <w:rsid w:val="000E13AD"/>
    <w:rsid w:val="00131FFF"/>
    <w:rsid w:val="00135312"/>
    <w:rsid w:val="00144E2C"/>
    <w:rsid w:val="001643AB"/>
    <w:rsid w:val="0016450D"/>
    <w:rsid w:val="001A591F"/>
    <w:rsid w:val="001C6848"/>
    <w:rsid w:val="001D4B0B"/>
    <w:rsid w:val="001F10F0"/>
    <w:rsid w:val="00217AF2"/>
    <w:rsid w:val="00217EB9"/>
    <w:rsid w:val="00217FF1"/>
    <w:rsid w:val="0023383D"/>
    <w:rsid w:val="00252D6D"/>
    <w:rsid w:val="00253B24"/>
    <w:rsid w:val="00270071"/>
    <w:rsid w:val="002740D6"/>
    <w:rsid w:val="00274549"/>
    <w:rsid w:val="00277DEA"/>
    <w:rsid w:val="002A2969"/>
    <w:rsid w:val="002C40D1"/>
    <w:rsid w:val="002E76AA"/>
    <w:rsid w:val="002F38FE"/>
    <w:rsid w:val="00313EF1"/>
    <w:rsid w:val="00332C02"/>
    <w:rsid w:val="00336837"/>
    <w:rsid w:val="00370095"/>
    <w:rsid w:val="0037519A"/>
    <w:rsid w:val="003776B6"/>
    <w:rsid w:val="003A3D22"/>
    <w:rsid w:val="003C11CB"/>
    <w:rsid w:val="003D00F9"/>
    <w:rsid w:val="003E18D3"/>
    <w:rsid w:val="003E616C"/>
    <w:rsid w:val="004108BC"/>
    <w:rsid w:val="00410ABB"/>
    <w:rsid w:val="00411EFB"/>
    <w:rsid w:val="00430081"/>
    <w:rsid w:val="0045352B"/>
    <w:rsid w:val="004806E1"/>
    <w:rsid w:val="004943F2"/>
    <w:rsid w:val="004D7A32"/>
    <w:rsid w:val="004F10A4"/>
    <w:rsid w:val="004F5FF3"/>
    <w:rsid w:val="00523372"/>
    <w:rsid w:val="00544FBB"/>
    <w:rsid w:val="00555AF7"/>
    <w:rsid w:val="00587AEB"/>
    <w:rsid w:val="005D26BD"/>
    <w:rsid w:val="005F02AC"/>
    <w:rsid w:val="005F4D1F"/>
    <w:rsid w:val="006008C2"/>
    <w:rsid w:val="00600A1A"/>
    <w:rsid w:val="00613B3B"/>
    <w:rsid w:val="00635236"/>
    <w:rsid w:val="00640C59"/>
    <w:rsid w:val="006412B4"/>
    <w:rsid w:val="00643128"/>
    <w:rsid w:val="006B2CC6"/>
    <w:rsid w:val="006E2124"/>
    <w:rsid w:val="006E24A2"/>
    <w:rsid w:val="006F1EB8"/>
    <w:rsid w:val="00762DC1"/>
    <w:rsid w:val="007701C5"/>
    <w:rsid w:val="0077045D"/>
    <w:rsid w:val="007E581B"/>
    <w:rsid w:val="008052CD"/>
    <w:rsid w:val="008057AF"/>
    <w:rsid w:val="00806B50"/>
    <w:rsid w:val="00806DEB"/>
    <w:rsid w:val="008706BB"/>
    <w:rsid w:val="008801B2"/>
    <w:rsid w:val="008B45BE"/>
    <w:rsid w:val="008B6AF2"/>
    <w:rsid w:val="008C044F"/>
    <w:rsid w:val="008C7B90"/>
    <w:rsid w:val="008D4EE8"/>
    <w:rsid w:val="008E0BFB"/>
    <w:rsid w:val="008F24D9"/>
    <w:rsid w:val="009148C9"/>
    <w:rsid w:val="00916805"/>
    <w:rsid w:val="0093540E"/>
    <w:rsid w:val="009430F7"/>
    <w:rsid w:val="009548E3"/>
    <w:rsid w:val="009D69A7"/>
    <w:rsid w:val="009E2CB7"/>
    <w:rsid w:val="009F052A"/>
    <w:rsid w:val="009F2331"/>
    <w:rsid w:val="00A109CD"/>
    <w:rsid w:val="00A364A9"/>
    <w:rsid w:val="00A74A67"/>
    <w:rsid w:val="00A92252"/>
    <w:rsid w:val="00A95FC8"/>
    <w:rsid w:val="00AA6310"/>
    <w:rsid w:val="00B21B8E"/>
    <w:rsid w:val="00B3371B"/>
    <w:rsid w:val="00B5033A"/>
    <w:rsid w:val="00B86725"/>
    <w:rsid w:val="00BB5EA4"/>
    <w:rsid w:val="00BC093E"/>
    <w:rsid w:val="00C04D5A"/>
    <w:rsid w:val="00C522F7"/>
    <w:rsid w:val="00C56491"/>
    <w:rsid w:val="00C77D9B"/>
    <w:rsid w:val="00C959B4"/>
    <w:rsid w:val="00CA283F"/>
    <w:rsid w:val="00CB14DC"/>
    <w:rsid w:val="00CC06A5"/>
    <w:rsid w:val="00CD2E86"/>
    <w:rsid w:val="00CD6B6D"/>
    <w:rsid w:val="00CF2E1F"/>
    <w:rsid w:val="00CF524A"/>
    <w:rsid w:val="00CF5B3F"/>
    <w:rsid w:val="00D05A15"/>
    <w:rsid w:val="00D07052"/>
    <w:rsid w:val="00D2599B"/>
    <w:rsid w:val="00D27C1C"/>
    <w:rsid w:val="00D32138"/>
    <w:rsid w:val="00D50ADE"/>
    <w:rsid w:val="00D50E64"/>
    <w:rsid w:val="00D67520"/>
    <w:rsid w:val="00D74DB0"/>
    <w:rsid w:val="00D75D04"/>
    <w:rsid w:val="00D862EF"/>
    <w:rsid w:val="00DD408F"/>
    <w:rsid w:val="00DE23F0"/>
    <w:rsid w:val="00DF3300"/>
    <w:rsid w:val="00E13C49"/>
    <w:rsid w:val="00E3458D"/>
    <w:rsid w:val="00EB6A15"/>
    <w:rsid w:val="00EC6F26"/>
    <w:rsid w:val="00EC6F84"/>
    <w:rsid w:val="00EC7414"/>
    <w:rsid w:val="00EE5A0A"/>
    <w:rsid w:val="00EE7AEC"/>
    <w:rsid w:val="00F10FD4"/>
    <w:rsid w:val="00F12999"/>
    <w:rsid w:val="00F16AA1"/>
    <w:rsid w:val="00F407A6"/>
    <w:rsid w:val="00F738CB"/>
    <w:rsid w:val="00F82A9A"/>
    <w:rsid w:val="00F83340"/>
    <w:rsid w:val="00FB2776"/>
    <w:rsid w:val="00FD0DE5"/>
    <w:rsid w:val="00FE4E55"/>
    <w:rsid w:val="00FF64C5"/>
    <w:rsid w:val="010C450B"/>
    <w:rsid w:val="01DA23AF"/>
    <w:rsid w:val="02860CE1"/>
    <w:rsid w:val="028D0613"/>
    <w:rsid w:val="029D45D5"/>
    <w:rsid w:val="02A06DF6"/>
    <w:rsid w:val="02AD40CA"/>
    <w:rsid w:val="02CB1CF7"/>
    <w:rsid w:val="02F94AB6"/>
    <w:rsid w:val="03311B51"/>
    <w:rsid w:val="035607B0"/>
    <w:rsid w:val="035A0B08"/>
    <w:rsid w:val="03756525"/>
    <w:rsid w:val="037F7265"/>
    <w:rsid w:val="03BC750B"/>
    <w:rsid w:val="03BE185C"/>
    <w:rsid w:val="03DD3435"/>
    <w:rsid w:val="04133956"/>
    <w:rsid w:val="04880F3B"/>
    <w:rsid w:val="04B70785"/>
    <w:rsid w:val="04BB1052"/>
    <w:rsid w:val="04D70E27"/>
    <w:rsid w:val="04F257FF"/>
    <w:rsid w:val="058F191A"/>
    <w:rsid w:val="05BB6053"/>
    <w:rsid w:val="064047AA"/>
    <w:rsid w:val="07023E8A"/>
    <w:rsid w:val="073060B3"/>
    <w:rsid w:val="073F34F8"/>
    <w:rsid w:val="08050D39"/>
    <w:rsid w:val="08805332"/>
    <w:rsid w:val="08891FDF"/>
    <w:rsid w:val="08EE1782"/>
    <w:rsid w:val="092A1905"/>
    <w:rsid w:val="094625ED"/>
    <w:rsid w:val="098C0FAE"/>
    <w:rsid w:val="09EB65D2"/>
    <w:rsid w:val="09F50871"/>
    <w:rsid w:val="0A1370D9"/>
    <w:rsid w:val="0A426CE3"/>
    <w:rsid w:val="0A783487"/>
    <w:rsid w:val="0A920A74"/>
    <w:rsid w:val="0AAE6186"/>
    <w:rsid w:val="0B3B4932"/>
    <w:rsid w:val="0B8A5AE2"/>
    <w:rsid w:val="0BBF2615"/>
    <w:rsid w:val="0C2A3F33"/>
    <w:rsid w:val="0C427E66"/>
    <w:rsid w:val="0CDE4AF1"/>
    <w:rsid w:val="0CFF0F1B"/>
    <w:rsid w:val="0D2F7233"/>
    <w:rsid w:val="0D3F2E3B"/>
    <w:rsid w:val="0D4E59FF"/>
    <w:rsid w:val="0D970709"/>
    <w:rsid w:val="0DB0649C"/>
    <w:rsid w:val="0DB15F43"/>
    <w:rsid w:val="0E2234E7"/>
    <w:rsid w:val="0E832759"/>
    <w:rsid w:val="0E833DCE"/>
    <w:rsid w:val="0ECF7747"/>
    <w:rsid w:val="0F9C5C35"/>
    <w:rsid w:val="0F9D46EF"/>
    <w:rsid w:val="10317457"/>
    <w:rsid w:val="10DB0D34"/>
    <w:rsid w:val="117D6A95"/>
    <w:rsid w:val="125C296C"/>
    <w:rsid w:val="12C329EB"/>
    <w:rsid w:val="137A735A"/>
    <w:rsid w:val="1399374C"/>
    <w:rsid w:val="13B24508"/>
    <w:rsid w:val="13E54BBD"/>
    <w:rsid w:val="14A8633C"/>
    <w:rsid w:val="15063063"/>
    <w:rsid w:val="152F63E2"/>
    <w:rsid w:val="158272E5"/>
    <w:rsid w:val="15836462"/>
    <w:rsid w:val="15D60886"/>
    <w:rsid w:val="15D96645"/>
    <w:rsid w:val="16A220B2"/>
    <w:rsid w:val="16AB249D"/>
    <w:rsid w:val="16E538DC"/>
    <w:rsid w:val="170D1DC0"/>
    <w:rsid w:val="17562080"/>
    <w:rsid w:val="18272C80"/>
    <w:rsid w:val="185A5BA0"/>
    <w:rsid w:val="18B51028"/>
    <w:rsid w:val="18B73C7B"/>
    <w:rsid w:val="19B412DF"/>
    <w:rsid w:val="1A1E40F3"/>
    <w:rsid w:val="1A344F4B"/>
    <w:rsid w:val="1A7647E7"/>
    <w:rsid w:val="1A9C1E3E"/>
    <w:rsid w:val="1AF847D0"/>
    <w:rsid w:val="1B391A9C"/>
    <w:rsid w:val="1B71457B"/>
    <w:rsid w:val="1C136BB6"/>
    <w:rsid w:val="1C275D99"/>
    <w:rsid w:val="1C4B5EA8"/>
    <w:rsid w:val="1D4330A6"/>
    <w:rsid w:val="1E1554ED"/>
    <w:rsid w:val="1E4E34DB"/>
    <w:rsid w:val="1E66223E"/>
    <w:rsid w:val="1EDD6BE3"/>
    <w:rsid w:val="20344F28"/>
    <w:rsid w:val="204213F3"/>
    <w:rsid w:val="207B6E01"/>
    <w:rsid w:val="211B1C44"/>
    <w:rsid w:val="21725D08"/>
    <w:rsid w:val="21F506E7"/>
    <w:rsid w:val="224A075F"/>
    <w:rsid w:val="228C4BA7"/>
    <w:rsid w:val="22A76D56"/>
    <w:rsid w:val="22E66E8E"/>
    <w:rsid w:val="22F4274D"/>
    <w:rsid w:val="23531B69"/>
    <w:rsid w:val="23B802A0"/>
    <w:rsid w:val="24A00DDE"/>
    <w:rsid w:val="25FC73AB"/>
    <w:rsid w:val="260D5FFF"/>
    <w:rsid w:val="26235823"/>
    <w:rsid w:val="26252182"/>
    <w:rsid w:val="264834DB"/>
    <w:rsid w:val="265122FF"/>
    <w:rsid w:val="265E174C"/>
    <w:rsid w:val="266F6CBA"/>
    <w:rsid w:val="2686038F"/>
    <w:rsid w:val="26D6744F"/>
    <w:rsid w:val="26D86659"/>
    <w:rsid w:val="26DF6AD5"/>
    <w:rsid w:val="26EF5515"/>
    <w:rsid w:val="276332FD"/>
    <w:rsid w:val="28773C04"/>
    <w:rsid w:val="28C72B2B"/>
    <w:rsid w:val="290D27BA"/>
    <w:rsid w:val="293164A9"/>
    <w:rsid w:val="297139CB"/>
    <w:rsid w:val="29F23E8A"/>
    <w:rsid w:val="2A241E9E"/>
    <w:rsid w:val="2A92309B"/>
    <w:rsid w:val="2AC17D95"/>
    <w:rsid w:val="2ACC1D0C"/>
    <w:rsid w:val="2B367DA6"/>
    <w:rsid w:val="2B481AA5"/>
    <w:rsid w:val="2BEB23A5"/>
    <w:rsid w:val="2C7D3C0D"/>
    <w:rsid w:val="2C874AAF"/>
    <w:rsid w:val="2C8E66A6"/>
    <w:rsid w:val="2CAF5168"/>
    <w:rsid w:val="2CBB47F9"/>
    <w:rsid w:val="2D2B1856"/>
    <w:rsid w:val="2D4A1910"/>
    <w:rsid w:val="2D5A0F59"/>
    <w:rsid w:val="2E24038A"/>
    <w:rsid w:val="2E6E7857"/>
    <w:rsid w:val="2E8F1215"/>
    <w:rsid w:val="2EFD1D1D"/>
    <w:rsid w:val="2F3A186E"/>
    <w:rsid w:val="2F5D0D8E"/>
    <w:rsid w:val="2FE563D7"/>
    <w:rsid w:val="31FB42D0"/>
    <w:rsid w:val="321D4E26"/>
    <w:rsid w:val="32827D75"/>
    <w:rsid w:val="32852601"/>
    <w:rsid w:val="32E12CEE"/>
    <w:rsid w:val="32F07192"/>
    <w:rsid w:val="332433C5"/>
    <w:rsid w:val="3376156C"/>
    <w:rsid w:val="33A53035"/>
    <w:rsid w:val="33DB598F"/>
    <w:rsid w:val="344F5000"/>
    <w:rsid w:val="348E387D"/>
    <w:rsid w:val="34D04DC8"/>
    <w:rsid w:val="35154ED0"/>
    <w:rsid w:val="355F439E"/>
    <w:rsid w:val="35A46FAE"/>
    <w:rsid w:val="36576352"/>
    <w:rsid w:val="3665665E"/>
    <w:rsid w:val="37026723"/>
    <w:rsid w:val="37526B7E"/>
    <w:rsid w:val="379725E6"/>
    <w:rsid w:val="379A16BD"/>
    <w:rsid w:val="37B06978"/>
    <w:rsid w:val="385F78F9"/>
    <w:rsid w:val="395D2841"/>
    <w:rsid w:val="398960D8"/>
    <w:rsid w:val="39C24EFB"/>
    <w:rsid w:val="39E8421F"/>
    <w:rsid w:val="3A066436"/>
    <w:rsid w:val="3A1342B9"/>
    <w:rsid w:val="3A2516BB"/>
    <w:rsid w:val="3B312338"/>
    <w:rsid w:val="3B3C635C"/>
    <w:rsid w:val="3CCB04A6"/>
    <w:rsid w:val="3CD37326"/>
    <w:rsid w:val="3D192B38"/>
    <w:rsid w:val="3D504CB9"/>
    <w:rsid w:val="3DB101BF"/>
    <w:rsid w:val="3E7850FA"/>
    <w:rsid w:val="3EC17E30"/>
    <w:rsid w:val="3EED354E"/>
    <w:rsid w:val="3F0D6C18"/>
    <w:rsid w:val="3F1410DB"/>
    <w:rsid w:val="3F141D55"/>
    <w:rsid w:val="3F173AB4"/>
    <w:rsid w:val="3F2521B4"/>
    <w:rsid w:val="3F6E1247"/>
    <w:rsid w:val="3F7A539C"/>
    <w:rsid w:val="3FB5783A"/>
    <w:rsid w:val="403326AF"/>
    <w:rsid w:val="408338D7"/>
    <w:rsid w:val="41510996"/>
    <w:rsid w:val="42147451"/>
    <w:rsid w:val="42721EA8"/>
    <w:rsid w:val="43727992"/>
    <w:rsid w:val="43881670"/>
    <w:rsid w:val="43E82525"/>
    <w:rsid w:val="44312634"/>
    <w:rsid w:val="44A8055A"/>
    <w:rsid w:val="44C9538F"/>
    <w:rsid w:val="44F7334E"/>
    <w:rsid w:val="45AF30FD"/>
    <w:rsid w:val="46420BB9"/>
    <w:rsid w:val="46476EB4"/>
    <w:rsid w:val="465B3014"/>
    <w:rsid w:val="46E810DA"/>
    <w:rsid w:val="472F5293"/>
    <w:rsid w:val="473A07C7"/>
    <w:rsid w:val="474E6020"/>
    <w:rsid w:val="47DB0FE0"/>
    <w:rsid w:val="47EB386F"/>
    <w:rsid w:val="485A4022"/>
    <w:rsid w:val="486A766C"/>
    <w:rsid w:val="48873598"/>
    <w:rsid w:val="48986B3F"/>
    <w:rsid w:val="49262DB0"/>
    <w:rsid w:val="494476DB"/>
    <w:rsid w:val="49B66251"/>
    <w:rsid w:val="4A105823"/>
    <w:rsid w:val="4A125037"/>
    <w:rsid w:val="4ACF7478"/>
    <w:rsid w:val="4B836687"/>
    <w:rsid w:val="4BB93099"/>
    <w:rsid w:val="4CA21C4A"/>
    <w:rsid w:val="4CB80AD8"/>
    <w:rsid w:val="4CCB6F4E"/>
    <w:rsid w:val="4D9B78E0"/>
    <w:rsid w:val="4E04568A"/>
    <w:rsid w:val="4E87606B"/>
    <w:rsid w:val="4EF61477"/>
    <w:rsid w:val="4F4B6CCA"/>
    <w:rsid w:val="4F627A2B"/>
    <w:rsid w:val="4F8A1859"/>
    <w:rsid w:val="500173EB"/>
    <w:rsid w:val="502D24E4"/>
    <w:rsid w:val="504773D5"/>
    <w:rsid w:val="50574197"/>
    <w:rsid w:val="50EC70D4"/>
    <w:rsid w:val="511E5BAD"/>
    <w:rsid w:val="513918A9"/>
    <w:rsid w:val="51513355"/>
    <w:rsid w:val="51BC2AE8"/>
    <w:rsid w:val="52244348"/>
    <w:rsid w:val="52976ACD"/>
    <w:rsid w:val="529B781D"/>
    <w:rsid w:val="52CE5689"/>
    <w:rsid w:val="52E54539"/>
    <w:rsid w:val="54813591"/>
    <w:rsid w:val="54F226E1"/>
    <w:rsid w:val="558A3D0F"/>
    <w:rsid w:val="559A68B9"/>
    <w:rsid w:val="569E5C28"/>
    <w:rsid w:val="56ED13B1"/>
    <w:rsid w:val="57313D11"/>
    <w:rsid w:val="578D69F6"/>
    <w:rsid w:val="57DA7B88"/>
    <w:rsid w:val="57F56770"/>
    <w:rsid w:val="58311B26"/>
    <w:rsid w:val="59254E33"/>
    <w:rsid w:val="59505C28"/>
    <w:rsid w:val="597E4543"/>
    <w:rsid w:val="599A4762"/>
    <w:rsid w:val="59A36E08"/>
    <w:rsid w:val="59A41512"/>
    <w:rsid w:val="59B94A33"/>
    <w:rsid w:val="59BB5797"/>
    <w:rsid w:val="59BB5D6C"/>
    <w:rsid w:val="59F6727B"/>
    <w:rsid w:val="5A2D2EB0"/>
    <w:rsid w:val="5A415C81"/>
    <w:rsid w:val="5AB0033C"/>
    <w:rsid w:val="5AFB2C32"/>
    <w:rsid w:val="5B5877E2"/>
    <w:rsid w:val="5BAF1C8F"/>
    <w:rsid w:val="5BE3458F"/>
    <w:rsid w:val="5C0F5926"/>
    <w:rsid w:val="5D2D075A"/>
    <w:rsid w:val="5D4635C9"/>
    <w:rsid w:val="5DD0286D"/>
    <w:rsid w:val="5EBD3D5F"/>
    <w:rsid w:val="5EEA0F2A"/>
    <w:rsid w:val="5F7767E8"/>
    <w:rsid w:val="5F905F57"/>
    <w:rsid w:val="5F9D1CA2"/>
    <w:rsid w:val="5FD300DB"/>
    <w:rsid w:val="5FE25B93"/>
    <w:rsid w:val="60602BF4"/>
    <w:rsid w:val="60745FCF"/>
    <w:rsid w:val="608C59E7"/>
    <w:rsid w:val="61095D5D"/>
    <w:rsid w:val="61284751"/>
    <w:rsid w:val="61A66D2D"/>
    <w:rsid w:val="61BA6334"/>
    <w:rsid w:val="61D91D48"/>
    <w:rsid w:val="62214E92"/>
    <w:rsid w:val="629F458E"/>
    <w:rsid w:val="64526B40"/>
    <w:rsid w:val="64A96E72"/>
    <w:rsid w:val="64F222D0"/>
    <w:rsid w:val="655541D3"/>
    <w:rsid w:val="65594766"/>
    <w:rsid w:val="65AC2FF2"/>
    <w:rsid w:val="65AE22F3"/>
    <w:rsid w:val="65C12033"/>
    <w:rsid w:val="65FF6A0B"/>
    <w:rsid w:val="66465782"/>
    <w:rsid w:val="669C3B6D"/>
    <w:rsid w:val="66AF6E4C"/>
    <w:rsid w:val="670A4733"/>
    <w:rsid w:val="67A55102"/>
    <w:rsid w:val="67DE5EA5"/>
    <w:rsid w:val="67E2390F"/>
    <w:rsid w:val="67FD6F7B"/>
    <w:rsid w:val="682D4F2F"/>
    <w:rsid w:val="688012D7"/>
    <w:rsid w:val="68C36416"/>
    <w:rsid w:val="68E615DD"/>
    <w:rsid w:val="6908397B"/>
    <w:rsid w:val="695F6A02"/>
    <w:rsid w:val="6981433F"/>
    <w:rsid w:val="69B1626F"/>
    <w:rsid w:val="69E04436"/>
    <w:rsid w:val="69FC6C9D"/>
    <w:rsid w:val="69FD5E2E"/>
    <w:rsid w:val="6A16299D"/>
    <w:rsid w:val="6ABF209E"/>
    <w:rsid w:val="6B574BF4"/>
    <w:rsid w:val="6C37035C"/>
    <w:rsid w:val="6C631B47"/>
    <w:rsid w:val="6C6C46CF"/>
    <w:rsid w:val="6CC00CAD"/>
    <w:rsid w:val="6D0B604A"/>
    <w:rsid w:val="6D535A6B"/>
    <w:rsid w:val="6DAC05BE"/>
    <w:rsid w:val="6DEF55B7"/>
    <w:rsid w:val="6E2337BB"/>
    <w:rsid w:val="6E6C4E5A"/>
    <w:rsid w:val="6E802F39"/>
    <w:rsid w:val="6EA6211A"/>
    <w:rsid w:val="6F06705D"/>
    <w:rsid w:val="6F3911E0"/>
    <w:rsid w:val="6F467459"/>
    <w:rsid w:val="6F8373FF"/>
    <w:rsid w:val="6FDE7145"/>
    <w:rsid w:val="701268B7"/>
    <w:rsid w:val="7025059A"/>
    <w:rsid w:val="708446DD"/>
    <w:rsid w:val="71DE0417"/>
    <w:rsid w:val="725809D6"/>
    <w:rsid w:val="7315786E"/>
    <w:rsid w:val="73840989"/>
    <w:rsid w:val="73875405"/>
    <w:rsid w:val="73B74532"/>
    <w:rsid w:val="74425F26"/>
    <w:rsid w:val="74CC7CBB"/>
    <w:rsid w:val="74FE0196"/>
    <w:rsid w:val="754B3A1B"/>
    <w:rsid w:val="75847F67"/>
    <w:rsid w:val="76B803DA"/>
    <w:rsid w:val="773504DF"/>
    <w:rsid w:val="774E2667"/>
    <w:rsid w:val="77565977"/>
    <w:rsid w:val="77910BE3"/>
    <w:rsid w:val="77B8776B"/>
    <w:rsid w:val="77F953AA"/>
    <w:rsid w:val="780F0D30"/>
    <w:rsid w:val="78232A2D"/>
    <w:rsid w:val="78270463"/>
    <w:rsid w:val="789045CC"/>
    <w:rsid w:val="78C53AE4"/>
    <w:rsid w:val="78EA3B59"/>
    <w:rsid w:val="79695006"/>
    <w:rsid w:val="79787359"/>
    <w:rsid w:val="79C258B9"/>
    <w:rsid w:val="7A2B3F6A"/>
    <w:rsid w:val="7A9D6AC7"/>
    <w:rsid w:val="7AF73293"/>
    <w:rsid w:val="7B230961"/>
    <w:rsid w:val="7B2726C7"/>
    <w:rsid w:val="7B360113"/>
    <w:rsid w:val="7B821819"/>
    <w:rsid w:val="7BBB4C21"/>
    <w:rsid w:val="7C016BE2"/>
    <w:rsid w:val="7C0A454A"/>
    <w:rsid w:val="7C110C5B"/>
    <w:rsid w:val="7C8660BD"/>
    <w:rsid w:val="7CA05978"/>
    <w:rsid w:val="7CB41EA6"/>
    <w:rsid w:val="7CF706D0"/>
    <w:rsid w:val="7DC26844"/>
    <w:rsid w:val="7F09259F"/>
    <w:rsid w:val="7F2050E8"/>
    <w:rsid w:val="7F894C06"/>
    <w:rsid w:val="7FBC5227"/>
    <w:rsid w:val="7FD16CFA"/>
    <w:rsid w:val="7FEE047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qFormat="1" w:unhideWhenUsed="0" w:uiPriority="99" w:name="index 4"/>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qFormat="1" w:unhideWhenUsed="0" w:uiPriority="99" w:name="table of figures"/>
    <w:lsdException w:uiPriority="99" w:name="envelope address" w:locked="1"/>
    <w:lsdException w:qFormat="1" w:unhideWhenUsed="0" w:uiPriority="99" w:semiHidden="0" w:name="envelope return"/>
    <w:lsdException w:qFormat="1" w:unhideWhenUsed="0" w:uiPriority="99" w:name="footnote reference"/>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uiPriority="99" w:name="Body Text First Indent" w:locked="1"/>
    <w:lsdException w:qFormat="1" w:unhideWhenUsed="0" w:uiPriority="99" w:semiHidden="0" w:name="Body Text First Indent 2"/>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6">
    <w:name w:val="heading 1"/>
    <w:basedOn w:val="1"/>
    <w:next w:val="1"/>
    <w:link w:val="63"/>
    <w:qFormat/>
    <w:uiPriority w:val="99"/>
    <w:pPr>
      <w:keepNext/>
      <w:keepLines/>
      <w:spacing w:before="340" w:after="330" w:line="360" w:lineRule="auto"/>
      <w:jc w:val="center"/>
      <w:outlineLvl w:val="0"/>
    </w:pPr>
    <w:rPr>
      <w:rFonts w:eastAsia="仿宋"/>
      <w:b/>
      <w:bCs/>
      <w:kern w:val="44"/>
      <w:sz w:val="30"/>
      <w:szCs w:val="44"/>
    </w:rPr>
  </w:style>
  <w:style w:type="paragraph" w:styleId="7">
    <w:name w:val="heading 2"/>
    <w:basedOn w:val="1"/>
    <w:next w:val="1"/>
    <w:link w:val="64"/>
    <w:qFormat/>
    <w:uiPriority w:val="99"/>
    <w:pPr>
      <w:keepNext/>
      <w:keepLines/>
      <w:spacing w:before="260" w:after="260" w:line="416" w:lineRule="auto"/>
      <w:outlineLvl w:val="1"/>
    </w:pPr>
    <w:rPr>
      <w:rFonts w:ascii="Arial" w:hAnsi="Arial" w:eastAsia="黑体" w:cs="Arial"/>
      <w:b/>
      <w:bCs/>
      <w:sz w:val="32"/>
      <w:szCs w:val="32"/>
    </w:rPr>
  </w:style>
  <w:style w:type="paragraph" w:styleId="8">
    <w:name w:val="heading 3"/>
    <w:basedOn w:val="1"/>
    <w:next w:val="1"/>
    <w:link w:val="65"/>
    <w:qFormat/>
    <w:uiPriority w:val="99"/>
    <w:pPr>
      <w:keepNext/>
      <w:keepLines/>
      <w:spacing w:before="260" w:after="260" w:line="416" w:lineRule="auto"/>
      <w:outlineLvl w:val="2"/>
    </w:pPr>
    <w:rPr>
      <w:b/>
      <w:bCs/>
      <w:sz w:val="32"/>
      <w:szCs w:val="32"/>
    </w:rPr>
  </w:style>
  <w:style w:type="paragraph" w:styleId="9">
    <w:name w:val="heading 4"/>
    <w:basedOn w:val="1"/>
    <w:next w:val="1"/>
    <w:link w:val="66"/>
    <w:qFormat/>
    <w:uiPriority w:val="99"/>
    <w:pPr>
      <w:keepNext/>
      <w:keepLines/>
      <w:spacing w:before="280" w:after="290" w:line="372" w:lineRule="auto"/>
      <w:outlineLvl w:val="3"/>
    </w:pPr>
    <w:rPr>
      <w:rFonts w:ascii="Cambria" w:hAnsi="Cambria" w:cs="Cambria"/>
      <w:b/>
      <w:bCs/>
      <w:sz w:val="28"/>
      <w:szCs w:val="28"/>
    </w:rPr>
  </w:style>
  <w:style w:type="paragraph" w:styleId="10">
    <w:name w:val="heading 5"/>
    <w:basedOn w:val="1"/>
    <w:next w:val="1"/>
    <w:link w:val="67"/>
    <w:qFormat/>
    <w:uiPriority w:val="99"/>
    <w:pPr>
      <w:keepNext/>
      <w:keepLines/>
      <w:spacing w:before="280" w:after="290" w:line="372" w:lineRule="auto"/>
      <w:outlineLvl w:val="4"/>
    </w:pPr>
    <w:rPr>
      <w:rFonts w:ascii="Calibri" w:hAnsi="Calibri" w:cs="Calibri"/>
      <w:b/>
      <w:bCs/>
      <w:sz w:val="28"/>
      <w:szCs w:val="28"/>
    </w:rPr>
  </w:style>
  <w:style w:type="paragraph" w:styleId="11">
    <w:name w:val="heading 6"/>
    <w:basedOn w:val="1"/>
    <w:next w:val="1"/>
    <w:link w:val="68"/>
    <w:qFormat/>
    <w:uiPriority w:val="99"/>
    <w:pPr>
      <w:keepNext/>
      <w:keepLines/>
      <w:spacing w:before="240" w:after="64" w:line="317" w:lineRule="auto"/>
      <w:outlineLvl w:val="5"/>
    </w:pPr>
    <w:rPr>
      <w:rFonts w:ascii="Cambria" w:hAnsi="Cambria" w:cs="Cambria"/>
      <w:b/>
      <w:bCs/>
      <w:sz w:val="24"/>
      <w:szCs w:val="24"/>
    </w:rPr>
  </w:style>
  <w:style w:type="paragraph" w:styleId="12">
    <w:name w:val="heading 7"/>
    <w:basedOn w:val="1"/>
    <w:next w:val="1"/>
    <w:link w:val="69"/>
    <w:qFormat/>
    <w:uiPriority w:val="99"/>
    <w:pPr>
      <w:keepNext/>
      <w:keepLines/>
      <w:spacing w:before="240" w:after="64" w:line="317" w:lineRule="auto"/>
      <w:outlineLvl w:val="6"/>
    </w:pPr>
    <w:rPr>
      <w:rFonts w:ascii="Calibri" w:hAnsi="Calibri" w:cs="Calibri"/>
      <w:b/>
      <w:bCs/>
      <w:sz w:val="24"/>
      <w:szCs w:val="24"/>
    </w:rPr>
  </w:style>
  <w:style w:type="paragraph" w:styleId="13">
    <w:name w:val="heading 8"/>
    <w:basedOn w:val="1"/>
    <w:next w:val="1"/>
    <w:link w:val="70"/>
    <w:qFormat/>
    <w:uiPriority w:val="99"/>
    <w:pPr>
      <w:keepNext/>
      <w:keepLines/>
      <w:spacing w:before="240" w:after="64" w:line="317" w:lineRule="auto"/>
      <w:outlineLvl w:val="7"/>
    </w:pPr>
    <w:rPr>
      <w:rFonts w:ascii="Cambria" w:hAnsi="Cambria" w:cs="Cambria"/>
      <w:sz w:val="24"/>
      <w:szCs w:val="24"/>
    </w:rPr>
  </w:style>
  <w:style w:type="paragraph" w:styleId="14">
    <w:name w:val="heading 9"/>
    <w:basedOn w:val="1"/>
    <w:next w:val="1"/>
    <w:link w:val="71"/>
    <w:qFormat/>
    <w:uiPriority w:val="99"/>
    <w:pPr>
      <w:keepNext/>
      <w:keepLines/>
      <w:spacing w:before="240" w:after="64" w:line="317" w:lineRule="auto"/>
      <w:outlineLvl w:val="8"/>
    </w:pPr>
    <w:rPr>
      <w:rFonts w:ascii="Cambria" w:hAnsi="Cambria" w:cs="Cambria"/>
    </w:rPr>
  </w:style>
  <w:style w:type="character" w:default="1" w:styleId="47">
    <w:name w:val="Default Paragraph Font"/>
    <w:semiHidden/>
    <w:qFormat/>
    <w:uiPriority w:val="99"/>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link w:val="89"/>
    <w:qFormat/>
    <w:uiPriority w:val="99"/>
    <w:pPr>
      <w:keepNext w:val="0"/>
      <w:keepLines w:val="0"/>
      <w:widowControl w:val="0"/>
      <w:suppressLineNumbers w:val="0"/>
      <w:spacing w:before="0" w:beforeAutospacing="0" w:after="0" w:afterAutospacing="0" w:line="500" w:lineRule="exact"/>
      <w:ind w:left="0" w:right="0" w:firstLine="420" w:firstLineChars="200"/>
      <w:jc w:val="both"/>
    </w:pPr>
    <w:rPr>
      <w:rFonts w:hint="default" w:ascii="Times New Roman" w:hAnsi="Times New Roman" w:eastAsia="宋体" w:cs="Times New Roman"/>
      <w:kern w:val="2"/>
      <w:sz w:val="28"/>
      <w:szCs w:val="28"/>
      <w:lang w:val="en-US" w:eastAsia="zh-CN" w:bidi="ar"/>
    </w:rPr>
  </w:style>
  <w:style w:type="paragraph" w:styleId="3">
    <w:name w:val="Body Text Indent"/>
    <w:basedOn w:val="1"/>
    <w:next w:val="4"/>
    <w:link w:val="76"/>
    <w:qFormat/>
    <w:uiPriority w:val="99"/>
    <w:pPr>
      <w:spacing w:line="500" w:lineRule="exact"/>
      <w:ind w:firstLine="538"/>
    </w:pPr>
    <w:rPr>
      <w:sz w:val="28"/>
      <w:szCs w:val="28"/>
    </w:rPr>
  </w:style>
  <w:style w:type="paragraph" w:styleId="4">
    <w:name w:val="envelope return"/>
    <w:basedOn w:val="1"/>
    <w:next w:val="5"/>
    <w:qFormat/>
    <w:uiPriority w:val="99"/>
    <w:pPr>
      <w:snapToGrid w:val="0"/>
    </w:pPr>
    <w:rPr>
      <w:rFonts w:ascii="Arial" w:hAnsi="Arial"/>
    </w:rPr>
  </w:style>
  <w:style w:type="paragraph" w:styleId="5">
    <w:name w:val="toc 7"/>
    <w:basedOn w:val="1"/>
    <w:next w:val="1"/>
    <w:semiHidden/>
    <w:qFormat/>
    <w:uiPriority w:val="99"/>
    <w:pPr>
      <w:ind w:left="2520" w:leftChars="1200"/>
    </w:pPr>
    <w:rPr>
      <w:rFonts w:ascii="Calibri" w:hAnsi="Calibri" w:cs="Calibri"/>
    </w:rPr>
  </w:style>
  <w:style w:type="paragraph" w:styleId="15">
    <w:name w:val="Normal Indent"/>
    <w:basedOn w:val="1"/>
    <w:qFormat/>
    <w:uiPriority w:val="99"/>
    <w:pPr>
      <w:adjustRightInd w:val="0"/>
      <w:spacing w:line="360" w:lineRule="atLeast"/>
      <w:ind w:firstLine="482"/>
      <w:textAlignment w:val="baseline"/>
    </w:pPr>
    <w:rPr>
      <w:kern w:val="0"/>
      <w:sz w:val="24"/>
      <w:szCs w:val="24"/>
    </w:rPr>
  </w:style>
  <w:style w:type="paragraph" w:styleId="16">
    <w:name w:val="caption"/>
    <w:basedOn w:val="1"/>
    <w:next w:val="1"/>
    <w:qFormat/>
    <w:uiPriority w:val="99"/>
    <w:rPr>
      <w:rFonts w:ascii="Cambria" w:hAnsi="Cambria" w:eastAsia="黑体" w:cs="Cambria"/>
      <w:sz w:val="20"/>
      <w:szCs w:val="20"/>
    </w:rPr>
  </w:style>
  <w:style w:type="paragraph" w:styleId="17">
    <w:name w:val="Document Map"/>
    <w:basedOn w:val="1"/>
    <w:link w:val="72"/>
    <w:semiHidden/>
    <w:qFormat/>
    <w:uiPriority w:val="99"/>
    <w:pPr>
      <w:shd w:val="clear" w:color="auto" w:fill="000080"/>
    </w:pPr>
    <w:rPr>
      <w:kern w:val="0"/>
      <w:sz w:val="20"/>
      <w:szCs w:val="20"/>
      <w:shd w:val="clear" w:color="auto" w:fill="000080"/>
    </w:rPr>
  </w:style>
  <w:style w:type="paragraph" w:styleId="18">
    <w:name w:val="annotation text"/>
    <w:basedOn w:val="1"/>
    <w:link w:val="73"/>
    <w:semiHidden/>
    <w:qFormat/>
    <w:uiPriority w:val="99"/>
    <w:pPr>
      <w:jc w:val="left"/>
    </w:pPr>
  </w:style>
  <w:style w:type="paragraph" w:styleId="19">
    <w:name w:val="Body Text 3"/>
    <w:basedOn w:val="1"/>
    <w:link w:val="74"/>
    <w:qFormat/>
    <w:uiPriority w:val="99"/>
    <w:rPr>
      <w:rFonts w:ascii="宋体" w:cs="宋体"/>
      <w:sz w:val="24"/>
      <w:szCs w:val="24"/>
    </w:rPr>
  </w:style>
  <w:style w:type="paragraph" w:styleId="20">
    <w:name w:val="Body Text"/>
    <w:basedOn w:val="1"/>
    <w:link w:val="75"/>
    <w:qFormat/>
    <w:uiPriority w:val="99"/>
    <w:pPr>
      <w:jc w:val="center"/>
    </w:pPr>
    <w:rPr>
      <w:b/>
      <w:bCs/>
      <w:sz w:val="44"/>
      <w:szCs w:val="44"/>
    </w:rPr>
  </w:style>
  <w:style w:type="paragraph" w:styleId="21">
    <w:name w:val="Block Text"/>
    <w:basedOn w:val="1"/>
    <w:qFormat/>
    <w:uiPriority w:val="99"/>
    <w:pPr>
      <w:spacing w:line="400" w:lineRule="exact"/>
      <w:ind w:left="-359" w:leftChars="-171" w:right="31" w:rightChars="15" w:firstLine="980" w:firstLineChars="350"/>
    </w:pPr>
    <w:rPr>
      <w:rFonts w:ascii="宋体" w:hAnsi="宋体" w:cs="宋体"/>
      <w:sz w:val="28"/>
      <w:szCs w:val="28"/>
    </w:rPr>
  </w:style>
  <w:style w:type="paragraph" w:styleId="22">
    <w:name w:val="index 4"/>
    <w:basedOn w:val="1"/>
    <w:next w:val="1"/>
    <w:semiHidden/>
    <w:qFormat/>
    <w:uiPriority w:val="99"/>
    <w:pPr>
      <w:ind w:left="600" w:leftChars="600"/>
    </w:pPr>
  </w:style>
  <w:style w:type="paragraph" w:styleId="23">
    <w:name w:val="toc 5"/>
    <w:basedOn w:val="1"/>
    <w:next w:val="1"/>
    <w:semiHidden/>
    <w:qFormat/>
    <w:uiPriority w:val="99"/>
    <w:pPr>
      <w:tabs>
        <w:tab w:val="right" w:leader="dot" w:pos="8296"/>
      </w:tabs>
      <w:ind w:left="1050" w:leftChars="500"/>
    </w:pPr>
    <w:rPr>
      <w:rFonts w:ascii="Calibri" w:hAnsi="Calibri" w:cs="Calibri"/>
    </w:rPr>
  </w:style>
  <w:style w:type="paragraph" w:styleId="24">
    <w:name w:val="toc 3"/>
    <w:basedOn w:val="1"/>
    <w:next w:val="1"/>
    <w:semiHidden/>
    <w:qFormat/>
    <w:uiPriority w:val="99"/>
    <w:pPr>
      <w:ind w:left="840" w:leftChars="400"/>
    </w:pPr>
    <w:rPr>
      <w:rFonts w:ascii="Calibri" w:hAnsi="Calibri" w:cs="Calibri"/>
    </w:rPr>
  </w:style>
  <w:style w:type="paragraph" w:styleId="25">
    <w:name w:val="Plain Text"/>
    <w:basedOn w:val="1"/>
    <w:next w:val="1"/>
    <w:link w:val="77"/>
    <w:qFormat/>
    <w:uiPriority w:val="99"/>
    <w:rPr>
      <w:rFonts w:ascii="宋体" w:hAnsi="Courier New" w:cs="宋体"/>
    </w:rPr>
  </w:style>
  <w:style w:type="paragraph" w:styleId="26">
    <w:name w:val="toc 8"/>
    <w:basedOn w:val="1"/>
    <w:next w:val="1"/>
    <w:semiHidden/>
    <w:qFormat/>
    <w:uiPriority w:val="99"/>
    <w:pPr>
      <w:ind w:left="2940" w:leftChars="1400"/>
    </w:pPr>
    <w:rPr>
      <w:rFonts w:ascii="Calibri" w:hAnsi="Calibri" w:cs="Calibri"/>
    </w:rPr>
  </w:style>
  <w:style w:type="paragraph" w:styleId="27">
    <w:name w:val="Date"/>
    <w:basedOn w:val="1"/>
    <w:next w:val="1"/>
    <w:link w:val="78"/>
    <w:qFormat/>
    <w:uiPriority w:val="99"/>
    <w:rPr>
      <w:rFonts w:ascii="仿宋_GB2312" w:eastAsia="仿宋_GB2312" w:cs="仿宋_GB2312"/>
      <w:sz w:val="30"/>
      <w:szCs w:val="30"/>
    </w:rPr>
  </w:style>
  <w:style w:type="paragraph" w:styleId="28">
    <w:name w:val="Body Text Indent 2"/>
    <w:basedOn w:val="1"/>
    <w:link w:val="79"/>
    <w:qFormat/>
    <w:uiPriority w:val="99"/>
    <w:pPr>
      <w:spacing w:line="360" w:lineRule="exact"/>
      <w:ind w:firstLine="600" w:firstLineChars="250"/>
      <w:jc w:val="left"/>
    </w:pPr>
    <w:rPr>
      <w:sz w:val="24"/>
      <w:szCs w:val="24"/>
    </w:rPr>
  </w:style>
  <w:style w:type="paragraph" w:styleId="29">
    <w:name w:val="Balloon Text"/>
    <w:basedOn w:val="1"/>
    <w:link w:val="80"/>
    <w:semiHidden/>
    <w:qFormat/>
    <w:uiPriority w:val="99"/>
    <w:rPr>
      <w:sz w:val="18"/>
      <w:szCs w:val="18"/>
    </w:rPr>
  </w:style>
  <w:style w:type="paragraph" w:styleId="30">
    <w:name w:val="footer"/>
    <w:basedOn w:val="1"/>
    <w:link w:val="81"/>
    <w:qFormat/>
    <w:uiPriority w:val="99"/>
    <w:pPr>
      <w:tabs>
        <w:tab w:val="center" w:pos="4153"/>
        <w:tab w:val="right" w:pos="8306"/>
      </w:tabs>
      <w:snapToGrid w:val="0"/>
      <w:jc w:val="left"/>
    </w:pPr>
    <w:rPr>
      <w:sz w:val="18"/>
      <w:szCs w:val="18"/>
    </w:rPr>
  </w:style>
  <w:style w:type="paragraph" w:styleId="31">
    <w:name w:val="header"/>
    <w:basedOn w:val="1"/>
    <w:link w:val="82"/>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semiHidden/>
    <w:qFormat/>
    <w:uiPriority w:val="99"/>
    <w:pPr>
      <w:tabs>
        <w:tab w:val="right" w:leader="dot" w:pos="8296"/>
      </w:tabs>
    </w:pPr>
    <w:rPr>
      <w:rFonts w:ascii="宋体" w:eastAsia="楷体_GB2312" w:cs="宋体"/>
      <w:b/>
      <w:bCs/>
      <w:kern w:val="0"/>
      <w:sz w:val="28"/>
      <w:szCs w:val="28"/>
    </w:rPr>
  </w:style>
  <w:style w:type="paragraph" w:styleId="33">
    <w:name w:val="toc 4"/>
    <w:basedOn w:val="1"/>
    <w:next w:val="1"/>
    <w:semiHidden/>
    <w:qFormat/>
    <w:uiPriority w:val="99"/>
    <w:pPr>
      <w:tabs>
        <w:tab w:val="left" w:pos="1890"/>
        <w:tab w:val="right" w:leader="dot" w:pos="8296"/>
      </w:tabs>
      <w:ind w:left="630" w:leftChars="300"/>
    </w:pPr>
    <w:rPr>
      <w:rFonts w:ascii="Calibri" w:hAnsi="Calibri" w:cs="Calibri"/>
    </w:rPr>
  </w:style>
  <w:style w:type="paragraph" w:styleId="34">
    <w:name w:val="Subtitle"/>
    <w:basedOn w:val="1"/>
    <w:next w:val="1"/>
    <w:link w:val="83"/>
    <w:qFormat/>
    <w:uiPriority w:val="99"/>
    <w:pPr>
      <w:spacing w:before="240" w:after="60" w:line="312" w:lineRule="auto"/>
      <w:jc w:val="center"/>
      <w:outlineLvl w:val="1"/>
    </w:pPr>
    <w:rPr>
      <w:rFonts w:ascii="Cambria" w:hAnsi="Cambria" w:cs="Cambria"/>
      <w:b/>
      <w:bCs/>
      <w:kern w:val="28"/>
      <w:sz w:val="32"/>
      <w:szCs w:val="32"/>
    </w:rPr>
  </w:style>
  <w:style w:type="paragraph" w:styleId="35">
    <w:name w:val="footnote text"/>
    <w:basedOn w:val="1"/>
    <w:link w:val="84"/>
    <w:semiHidden/>
    <w:qFormat/>
    <w:uiPriority w:val="99"/>
    <w:rPr>
      <w:sz w:val="20"/>
      <w:szCs w:val="20"/>
    </w:rPr>
  </w:style>
  <w:style w:type="paragraph" w:styleId="36">
    <w:name w:val="toc 6"/>
    <w:basedOn w:val="1"/>
    <w:next w:val="1"/>
    <w:semiHidden/>
    <w:qFormat/>
    <w:uiPriority w:val="99"/>
    <w:pPr>
      <w:ind w:left="2100" w:leftChars="1000"/>
    </w:pPr>
    <w:rPr>
      <w:rFonts w:ascii="Calibri" w:hAnsi="Calibri" w:cs="Calibri"/>
    </w:rPr>
  </w:style>
  <w:style w:type="paragraph" w:styleId="37">
    <w:name w:val="Body Text Indent 3"/>
    <w:basedOn w:val="1"/>
    <w:link w:val="85"/>
    <w:qFormat/>
    <w:uiPriority w:val="99"/>
    <w:pPr>
      <w:spacing w:after="120"/>
      <w:ind w:left="420" w:leftChars="200"/>
    </w:pPr>
    <w:rPr>
      <w:sz w:val="16"/>
      <w:szCs w:val="16"/>
    </w:rPr>
  </w:style>
  <w:style w:type="paragraph" w:styleId="38">
    <w:name w:val="table of figures"/>
    <w:basedOn w:val="1"/>
    <w:next w:val="1"/>
    <w:semiHidden/>
    <w:qFormat/>
    <w:uiPriority w:val="99"/>
    <w:pPr>
      <w:ind w:left="200" w:leftChars="200" w:hanging="200" w:hangingChars="200"/>
    </w:pPr>
  </w:style>
  <w:style w:type="paragraph" w:styleId="39">
    <w:name w:val="toc 2"/>
    <w:basedOn w:val="1"/>
    <w:next w:val="1"/>
    <w:semiHidden/>
    <w:qFormat/>
    <w:uiPriority w:val="99"/>
    <w:pPr>
      <w:ind w:left="420" w:leftChars="200"/>
    </w:pPr>
    <w:rPr>
      <w:rFonts w:ascii="宋体" w:cs="宋体"/>
      <w:b/>
      <w:bCs/>
      <w:sz w:val="28"/>
      <w:szCs w:val="28"/>
    </w:rPr>
  </w:style>
  <w:style w:type="paragraph" w:styleId="40">
    <w:name w:val="toc 9"/>
    <w:basedOn w:val="1"/>
    <w:next w:val="1"/>
    <w:semiHidden/>
    <w:qFormat/>
    <w:uiPriority w:val="99"/>
    <w:pPr>
      <w:ind w:left="3360" w:leftChars="1600"/>
    </w:pPr>
    <w:rPr>
      <w:rFonts w:ascii="Calibri" w:hAnsi="Calibri" w:cs="Calibri"/>
    </w:rPr>
  </w:style>
  <w:style w:type="paragraph" w:styleId="41">
    <w:name w:val="Body Text 2"/>
    <w:basedOn w:val="1"/>
    <w:link w:val="86"/>
    <w:qFormat/>
    <w:uiPriority w:val="99"/>
    <w:pPr>
      <w:spacing w:line="440" w:lineRule="exact"/>
    </w:pPr>
    <w:rPr>
      <w:sz w:val="28"/>
      <w:szCs w:val="28"/>
    </w:rPr>
  </w:style>
  <w:style w:type="paragraph" w:styleId="42">
    <w:name w:val="Normal (Web)"/>
    <w:basedOn w:val="1"/>
    <w:qFormat/>
    <w:uiPriority w:val="99"/>
    <w:pPr>
      <w:widowControl/>
      <w:spacing w:before="100" w:beforeAutospacing="1" w:after="100" w:afterAutospacing="1" w:line="320" w:lineRule="atLeast"/>
      <w:jc w:val="left"/>
    </w:pPr>
    <w:rPr>
      <w:rFonts w:ascii="宋体" w:hAnsi="宋体" w:cs="宋体"/>
      <w:kern w:val="0"/>
      <w:sz w:val="18"/>
      <w:szCs w:val="18"/>
    </w:rPr>
  </w:style>
  <w:style w:type="paragraph" w:styleId="43">
    <w:name w:val="Title"/>
    <w:basedOn w:val="1"/>
    <w:next w:val="1"/>
    <w:link w:val="87"/>
    <w:qFormat/>
    <w:uiPriority w:val="99"/>
    <w:pPr>
      <w:spacing w:before="240" w:after="60"/>
      <w:jc w:val="center"/>
      <w:outlineLvl w:val="0"/>
    </w:pPr>
    <w:rPr>
      <w:rFonts w:ascii="Cambria" w:hAnsi="Cambria" w:cs="Cambria"/>
      <w:b/>
      <w:bCs/>
      <w:sz w:val="32"/>
      <w:szCs w:val="32"/>
    </w:rPr>
  </w:style>
  <w:style w:type="paragraph" w:styleId="44">
    <w:name w:val="annotation subject"/>
    <w:basedOn w:val="18"/>
    <w:next w:val="18"/>
    <w:link w:val="88"/>
    <w:semiHidden/>
    <w:qFormat/>
    <w:uiPriority w:val="99"/>
    <w:rPr>
      <w:rFonts w:ascii="宋体" w:cs="宋体"/>
      <w:b/>
      <w:bCs/>
      <w:kern w:val="0"/>
      <w:sz w:val="28"/>
      <w:szCs w:val="28"/>
    </w:rPr>
  </w:style>
  <w:style w:type="table" w:styleId="46">
    <w:name w:val="Table Grid"/>
    <w:basedOn w:val="4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99"/>
    <w:rPr>
      <w:rFonts w:cs="Times New Roman"/>
      <w:b/>
      <w:bCs/>
    </w:rPr>
  </w:style>
  <w:style w:type="character" w:styleId="49">
    <w:name w:val="page number"/>
    <w:basedOn w:val="47"/>
    <w:qFormat/>
    <w:uiPriority w:val="99"/>
    <w:rPr>
      <w:rFonts w:cs="Times New Roman"/>
    </w:rPr>
  </w:style>
  <w:style w:type="character" w:styleId="50">
    <w:name w:val="FollowedHyperlink"/>
    <w:basedOn w:val="47"/>
    <w:qFormat/>
    <w:uiPriority w:val="99"/>
    <w:rPr>
      <w:rFonts w:cs="Times New Roman"/>
      <w:color w:val="333333"/>
      <w:u w:val="none"/>
    </w:rPr>
  </w:style>
  <w:style w:type="character" w:styleId="51">
    <w:name w:val="Emphasis"/>
    <w:basedOn w:val="47"/>
    <w:qFormat/>
    <w:uiPriority w:val="99"/>
    <w:rPr>
      <w:rFonts w:cs="Times New Roman"/>
      <w:color w:val="auto"/>
    </w:rPr>
  </w:style>
  <w:style w:type="character" w:styleId="52">
    <w:name w:val="HTML Definition"/>
    <w:basedOn w:val="47"/>
    <w:qFormat/>
    <w:uiPriority w:val="99"/>
    <w:rPr>
      <w:rFonts w:cs="Times New Roman"/>
    </w:rPr>
  </w:style>
  <w:style w:type="character" w:styleId="53">
    <w:name w:val="HTML Typewriter"/>
    <w:basedOn w:val="47"/>
    <w:qFormat/>
    <w:uiPriority w:val="99"/>
    <w:rPr>
      <w:rFonts w:ascii="monospace" w:hAnsi="monospace" w:cs="monospace"/>
      <w:sz w:val="20"/>
    </w:rPr>
  </w:style>
  <w:style w:type="character" w:styleId="54">
    <w:name w:val="HTML Acronym"/>
    <w:basedOn w:val="47"/>
    <w:qFormat/>
    <w:uiPriority w:val="99"/>
    <w:rPr>
      <w:rFonts w:cs="Times New Roman"/>
    </w:rPr>
  </w:style>
  <w:style w:type="character" w:styleId="55">
    <w:name w:val="HTML Variable"/>
    <w:basedOn w:val="47"/>
    <w:qFormat/>
    <w:uiPriority w:val="99"/>
    <w:rPr>
      <w:rFonts w:cs="Times New Roman"/>
    </w:rPr>
  </w:style>
  <w:style w:type="character" w:styleId="56">
    <w:name w:val="Hyperlink"/>
    <w:basedOn w:val="47"/>
    <w:qFormat/>
    <w:uiPriority w:val="99"/>
    <w:rPr>
      <w:rFonts w:cs="Times New Roman"/>
      <w:color w:val="333333"/>
      <w:u w:val="none"/>
    </w:rPr>
  </w:style>
  <w:style w:type="character" w:styleId="57">
    <w:name w:val="HTML Code"/>
    <w:basedOn w:val="47"/>
    <w:qFormat/>
    <w:uiPriority w:val="99"/>
    <w:rPr>
      <w:rFonts w:ascii="monospace" w:hAnsi="monospace" w:cs="monospace"/>
      <w:sz w:val="20"/>
    </w:rPr>
  </w:style>
  <w:style w:type="character" w:styleId="58">
    <w:name w:val="annotation reference"/>
    <w:basedOn w:val="47"/>
    <w:semiHidden/>
    <w:qFormat/>
    <w:uiPriority w:val="99"/>
    <w:rPr>
      <w:rFonts w:cs="Times New Roman"/>
      <w:sz w:val="21"/>
      <w:szCs w:val="21"/>
    </w:rPr>
  </w:style>
  <w:style w:type="character" w:styleId="59">
    <w:name w:val="HTML Cite"/>
    <w:basedOn w:val="47"/>
    <w:qFormat/>
    <w:uiPriority w:val="99"/>
    <w:rPr>
      <w:rFonts w:cs="Times New Roman"/>
    </w:rPr>
  </w:style>
  <w:style w:type="character" w:styleId="60">
    <w:name w:val="footnote reference"/>
    <w:basedOn w:val="47"/>
    <w:semiHidden/>
    <w:qFormat/>
    <w:uiPriority w:val="99"/>
    <w:rPr>
      <w:rFonts w:cs="Times New Roman"/>
      <w:vertAlign w:val="superscript"/>
    </w:rPr>
  </w:style>
  <w:style w:type="character" w:styleId="61">
    <w:name w:val="HTML Keyboard"/>
    <w:basedOn w:val="47"/>
    <w:qFormat/>
    <w:uiPriority w:val="99"/>
    <w:rPr>
      <w:rFonts w:ascii="monospace" w:hAnsi="monospace" w:cs="monospace"/>
      <w:sz w:val="20"/>
    </w:rPr>
  </w:style>
  <w:style w:type="character" w:styleId="62">
    <w:name w:val="HTML Sample"/>
    <w:basedOn w:val="47"/>
    <w:qFormat/>
    <w:uiPriority w:val="99"/>
    <w:rPr>
      <w:rFonts w:ascii="monospace" w:hAnsi="monospace" w:cs="monospace"/>
    </w:rPr>
  </w:style>
  <w:style w:type="character" w:customStyle="1" w:styleId="63">
    <w:name w:val="Heading 1 Char"/>
    <w:basedOn w:val="47"/>
    <w:link w:val="6"/>
    <w:qFormat/>
    <w:locked/>
    <w:uiPriority w:val="99"/>
    <w:rPr>
      <w:rFonts w:ascii="Times New Roman" w:hAnsi="Times New Roman" w:eastAsia="仿宋" w:cs="Times New Roman"/>
      <w:b/>
      <w:bCs/>
      <w:kern w:val="44"/>
      <w:sz w:val="44"/>
      <w:szCs w:val="44"/>
      <w:lang w:val="en-US" w:eastAsia="zh-CN"/>
    </w:rPr>
  </w:style>
  <w:style w:type="character" w:customStyle="1" w:styleId="64">
    <w:name w:val="Heading 2 Char"/>
    <w:basedOn w:val="47"/>
    <w:link w:val="7"/>
    <w:qFormat/>
    <w:locked/>
    <w:uiPriority w:val="99"/>
    <w:rPr>
      <w:rFonts w:ascii="Arial" w:hAnsi="Arial" w:eastAsia="黑体" w:cs="Arial"/>
      <w:b/>
      <w:bCs/>
      <w:kern w:val="2"/>
      <w:sz w:val="32"/>
      <w:szCs w:val="32"/>
      <w:lang w:val="en-US" w:eastAsia="zh-CN"/>
    </w:rPr>
  </w:style>
  <w:style w:type="character" w:customStyle="1" w:styleId="65">
    <w:name w:val="Heading 3 Char"/>
    <w:basedOn w:val="47"/>
    <w:link w:val="8"/>
    <w:qFormat/>
    <w:locked/>
    <w:uiPriority w:val="99"/>
    <w:rPr>
      <w:rFonts w:eastAsia="宋体" w:cs="Times New Roman"/>
      <w:b/>
      <w:bCs/>
      <w:kern w:val="2"/>
      <w:sz w:val="32"/>
      <w:szCs w:val="32"/>
      <w:lang w:val="en-US" w:eastAsia="zh-CN"/>
    </w:rPr>
  </w:style>
  <w:style w:type="character" w:customStyle="1" w:styleId="66">
    <w:name w:val="Heading 4 Char"/>
    <w:basedOn w:val="47"/>
    <w:link w:val="9"/>
    <w:qFormat/>
    <w:locked/>
    <w:uiPriority w:val="99"/>
    <w:rPr>
      <w:rFonts w:ascii="Cambria" w:hAnsi="Cambria" w:eastAsia="宋体" w:cs="Cambria"/>
      <w:b/>
      <w:bCs/>
      <w:kern w:val="2"/>
      <w:sz w:val="28"/>
      <w:szCs w:val="28"/>
      <w:lang w:val="en-US" w:eastAsia="zh-CN"/>
    </w:rPr>
  </w:style>
  <w:style w:type="character" w:customStyle="1" w:styleId="67">
    <w:name w:val="Heading 5 Char"/>
    <w:basedOn w:val="47"/>
    <w:link w:val="10"/>
    <w:qFormat/>
    <w:locked/>
    <w:uiPriority w:val="99"/>
    <w:rPr>
      <w:rFonts w:ascii="Calibri" w:hAnsi="Calibri" w:eastAsia="宋体" w:cs="Calibri"/>
      <w:b/>
      <w:bCs/>
      <w:kern w:val="2"/>
      <w:sz w:val="28"/>
      <w:szCs w:val="28"/>
      <w:lang w:val="en-US" w:eastAsia="zh-CN"/>
    </w:rPr>
  </w:style>
  <w:style w:type="character" w:customStyle="1" w:styleId="68">
    <w:name w:val="Heading 6 Char"/>
    <w:basedOn w:val="47"/>
    <w:link w:val="11"/>
    <w:qFormat/>
    <w:locked/>
    <w:uiPriority w:val="99"/>
    <w:rPr>
      <w:rFonts w:ascii="Cambria" w:hAnsi="Cambria" w:eastAsia="宋体" w:cs="Cambria"/>
      <w:b/>
      <w:bCs/>
      <w:kern w:val="2"/>
      <w:sz w:val="24"/>
      <w:szCs w:val="24"/>
      <w:lang w:val="en-US" w:eastAsia="zh-CN"/>
    </w:rPr>
  </w:style>
  <w:style w:type="character" w:customStyle="1" w:styleId="69">
    <w:name w:val="Heading 7 Char"/>
    <w:basedOn w:val="47"/>
    <w:link w:val="12"/>
    <w:qFormat/>
    <w:locked/>
    <w:uiPriority w:val="99"/>
    <w:rPr>
      <w:rFonts w:ascii="Calibri" w:hAnsi="Calibri" w:eastAsia="宋体" w:cs="Calibri"/>
      <w:b/>
      <w:bCs/>
      <w:kern w:val="2"/>
      <w:sz w:val="24"/>
      <w:szCs w:val="24"/>
      <w:lang w:val="en-US" w:eastAsia="zh-CN"/>
    </w:rPr>
  </w:style>
  <w:style w:type="character" w:customStyle="1" w:styleId="70">
    <w:name w:val="Heading 8 Char"/>
    <w:basedOn w:val="47"/>
    <w:link w:val="13"/>
    <w:qFormat/>
    <w:locked/>
    <w:uiPriority w:val="99"/>
    <w:rPr>
      <w:rFonts w:ascii="Cambria" w:hAnsi="Cambria" w:eastAsia="宋体" w:cs="Cambria"/>
      <w:kern w:val="2"/>
      <w:sz w:val="24"/>
      <w:szCs w:val="24"/>
      <w:lang w:val="en-US" w:eastAsia="zh-CN"/>
    </w:rPr>
  </w:style>
  <w:style w:type="character" w:customStyle="1" w:styleId="71">
    <w:name w:val="Heading 9 Char"/>
    <w:basedOn w:val="47"/>
    <w:link w:val="14"/>
    <w:qFormat/>
    <w:locked/>
    <w:uiPriority w:val="99"/>
    <w:rPr>
      <w:rFonts w:ascii="Cambria" w:hAnsi="Cambria" w:eastAsia="宋体" w:cs="Cambria"/>
      <w:kern w:val="2"/>
      <w:sz w:val="21"/>
      <w:szCs w:val="21"/>
      <w:lang w:val="en-US" w:eastAsia="zh-CN"/>
    </w:rPr>
  </w:style>
  <w:style w:type="character" w:customStyle="1" w:styleId="72">
    <w:name w:val="Document Map Char"/>
    <w:basedOn w:val="47"/>
    <w:link w:val="17"/>
    <w:qFormat/>
    <w:locked/>
    <w:uiPriority w:val="99"/>
    <w:rPr>
      <w:rFonts w:cs="Times New Roman"/>
      <w:sz w:val="24"/>
      <w:szCs w:val="24"/>
      <w:shd w:val="clear" w:color="auto" w:fill="000080"/>
    </w:rPr>
  </w:style>
  <w:style w:type="character" w:customStyle="1" w:styleId="73">
    <w:name w:val="Comment Text Char"/>
    <w:basedOn w:val="47"/>
    <w:link w:val="18"/>
    <w:qFormat/>
    <w:locked/>
    <w:uiPriority w:val="99"/>
    <w:rPr>
      <w:rFonts w:cs="Times New Roman"/>
      <w:kern w:val="2"/>
      <w:sz w:val="22"/>
      <w:szCs w:val="22"/>
    </w:rPr>
  </w:style>
  <w:style w:type="character" w:customStyle="1" w:styleId="74">
    <w:name w:val="Body Text 3 Char"/>
    <w:basedOn w:val="47"/>
    <w:link w:val="19"/>
    <w:semiHidden/>
    <w:qFormat/>
    <w:locked/>
    <w:uiPriority w:val="99"/>
    <w:rPr>
      <w:rFonts w:cs="Times New Roman"/>
      <w:sz w:val="16"/>
      <w:szCs w:val="16"/>
    </w:rPr>
  </w:style>
  <w:style w:type="character" w:customStyle="1" w:styleId="75">
    <w:name w:val="Body Text Char"/>
    <w:basedOn w:val="47"/>
    <w:link w:val="20"/>
    <w:qFormat/>
    <w:locked/>
    <w:uiPriority w:val="99"/>
    <w:rPr>
      <w:rFonts w:eastAsia="宋体" w:cs="Times New Roman"/>
      <w:b/>
      <w:bCs/>
      <w:kern w:val="2"/>
      <w:sz w:val="44"/>
      <w:szCs w:val="44"/>
      <w:lang w:val="en-US" w:eastAsia="zh-CN"/>
    </w:rPr>
  </w:style>
  <w:style w:type="character" w:customStyle="1" w:styleId="76">
    <w:name w:val="Body Text Indent Char"/>
    <w:basedOn w:val="47"/>
    <w:link w:val="3"/>
    <w:semiHidden/>
    <w:qFormat/>
    <w:locked/>
    <w:uiPriority w:val="99"/>
    <w:rPr>
      <w:rFonts w:cs="Times New Roman"/>
      <w:sz w:val="21"/>
      <w:szCs w:val="21"/>
    </w:rPr>
  </w:style>
  <w:style w:type="character" w:customStyle="1" w:styleId="77">
    <w:name w:val="Plain Text Char"/>
    <w:basedOn w:val="47"/>
    <w:link w:val="25"/>
    <w:semiHidden/>
    <w:qFormat/>
    <w:locked/>
    <w:uiPriority w:val="99"/>
    <w:rPr>
      <w:rFonts w:ascii="宋体" w:hAnsi="Courier New" w:cs="Courier New"/>
      <w:sz w:val="21"/>
      <w:szCs w:val="21"/>
    </w:rPr>
  </w:style>
  <w:style w:type="character" w:customStyle="1" w:styleId="78">
    <w:name w:val="Date Char"/>
    <w:basedOn w:val="47"/>
    <w:link w:val="27"/>
    <w:qFormat/>
    <w:locked/>
    <w:uiPriority w:val="99"/>
    <w:rPr>
      <w:rFonts w:ascii="仿宋_GB2312" w:eastAsia="仿宋_GB2312" w:cs="仿宋_GB2312"/>
      <w:kern w:val="2"/>
      <w:sz w:val="30"/>
      <w:szCs w:val="30"/>
      <w:lang w:val="en-US" w:eastAsia="zh-CN"/>
    </w:rPr>
  </w:style>
  <w:style w:type="character" w:customStyle="1" w:styleId="79">
    <w:name w:val="Body Text Indent 2 Char"/>
    <w:basedOn w:val="47"/>
    <w:link w:val="28"/>
    <w:semiHidden/>
    <w:qFormat/>
    <w:locked/>
    <w:uiPriority w:val="99"/>
    <w:rPr>
      <w:rFonts w:cs="Times New Roman"/>
      <w:sz w:val="21"/>
      <w:szCs w:val="21"/>
    </w:rPr>
  </w:style>
  <w:style w:type="character" w:customStyle="1" w:styleId="80">
    <w:name w:val="Balloon Text Char"/>
    <w:basedOn w:val="47"/>
    <w:link w:val="29"/>
    <w:semiHidden/>
    <w:qFormat/>
    <w:locked/>
    <w:uiPriority w:val="99"/>
    <w:rPr>
      <w:rFonts w:cs="Times New Roman"/>
      <w:sz w:val="2"/>
    </w:rPr>
  </w:style>
  <w:style w:type="character" w:customStyle="1" w:styleId="81">
    <w:name w:val="Footer Char"/>
    <w:basedOn w:val="47"/>
    <w:link w:val="30"/>
    <w:qFormat/>
    <w:locked/>
    <w:uiPriority w:val="99"/>
    <w:rPr>
      <w:rFonts w:eastAsia="宋体" w:cs="Times New Roman"/>
      <w:kern w:val="2"/>
      <w:sz w:val="18"/>
      <w:szCs w:val="18"/>
      <w:lang w:val="en-US" w:eastAsia="zh-CN"/>
    </w:rPr>
  </w:style>
  <w:style w:type="character" w:customStyle="1" w:styleId="82">
    <w:name w:val="Header Char"/>
    <w:basedOn w:val="47"/>
    <w:link w:val="31"/>
    <w:qFormat/>
    <w:locked/>
    <w:uiPriority w:val="99"/>
    <w:rPr>
      <w:rFonts w:eastAsia="宋体" w:cs="Times New Roman"/>
      <w:kern w:val="2"/>
      <w:sz w:val="18"/>
      <w:szCs w:val="18"/>
      <w:lang w:val="en-US" w:eastAsia="zh-CN"/>
    </w:rPr>
  </w:style>
  <w:style w:type="character" w:customStyle="1" w:styleId="83">
    <w:name w:val="Subtitle Char"/>
    <w:basedOn w:val="47"/>
    <w:link w:val="34"/>
    <w:qFormat/>
    <w:locked/>
    <w:uiPriority w:val="99"/>
    <w:rPr>
      <w:rFonts w:ascii="Cambria" w:hAnsi="Cambria" w:cs="Cambria"/>
      <w:b/>
      <w:bCs/>
      <w:kern w:val="28"/>
      <w:sz w:val="32"/>
      <w:szCs w:val="32"/>
    </w:rPr>
  </w:style>
  <w:style w:type="character" w:customStyle="1" w:styleId="84">
    <w:name w:val="Footnote Text Char"/>
    <w:basedOn w:val="47"/>
    <w:link w:val="35"/>
    <w:semiHidden/>
    <w:qFormat/>
    <w:locked/>
    <w:uiPriority w:val="99"/>
    <w:rPr>
      <w:rFonts w:cs="Times New Roman"/>
      <w:sz w:val="18"/>
      <w:szCs w:val="18"/>
    </w:rPr>
  </w:style>
  <w:style w:type="character" w:customStyle="1" w:styleId="85">
    <w:name w:val="Body Text Indent 3 Char"/>
    <w:basedOn w:val="47"/>
    <w:link w:val="37"/>
    <w:semiHidden/>
    <w:qFormat/>
    <w:locked/>
    <w:uiPriority w:val="99"/>
    <w:rPr>
      <w:rFonts w:cs="Times New Roman"/>
      <w:sz w:val="16"/>
      <w:szCs w:val="16"/>
    </w:rPr>
  </w:style>
  <w:style w:type="character" w:customStyle="1" w:styleId="86">
    <w:name w:val="Body Text 2 Char"/>
    <w:basedOn w:val="47"/>
    <w:link w:val="41"/>
    <w:semiHidden/>
    <w:qFormat/>
    <w:locked/>
    <w:uiPriority w:val="99"/>
    <w:rPr>
      <w:rFonts w:cs="Times New Roman"/>
      <w:sz w:val="21"/>
      <w:szCs w:val="21"/>
    </w:rPr>
  </w:style>
  <w:style w:type="character" w:customStyle="1" w:styleId="87">
    <w:name w:val="Title Char"/>
    <w:basedOn w:val="47"/>
    <w:link w:val="43"/>
    <w:qFormat/>
    <w:locked/>
    <w:uiPriority w:val="99"/>
    <w:rPr>
      <w:rFonts w:ascii="Cambria" w:hAnsi="Cambria" w:cs="Cambria"/>
      <w:b/>
      <w:bCs/>
      <w:kern w:val="2"/>
      <w:sz w:val="32"/>
      <w:szCs w:val="32"/>
    </w:rPr>
  </w:style>
  <w:style w:type="character" w:customStyle="1" w:styleId="88">
    <w:name w:val="Comment Subject Char"/>
    <w:basedOn w:val="73"/>
    <w:link w:val="44"/>
    <w:qFormat/>
    <w:locked/>
    <w:uiPriority w:val="99"/>
    <w:rPr>
      <w:rFonts w:ascii="宋体" w:cs="宋体"/>
      <w:b/>
      <w:bCs/>
      <w:sz w:val="28"/>
      <w:szCs w:val="28"/>
    </w:rPr>
  </w:style>
  <w:style w:type="character" w:customStyle="1" w:styleId="89">
    <w:name w:val="Body Text First Indent 2 Char"/>
    <w:basedOn w:val="76"/>
    <w:link w:val="2"/>
    <w:semiHidden/>
    <w:qFormat/>
    <w:locked/>
    <w:uiPriority w:val="99"/>
  </w:style>
  <w:style w:type="character" w:customStyle="1" w:styleId="90">
    <w:name w:val="批注文字 Char Char"/>
    <w:qFormat/>
    <w:uiPriority w:val="99"/>
    <w:rPr>
      <w:rFonts w:ascii="宋体" w:hAnsi="Times New Roman" w:eastAsia="宋体"/>
      <w:sz w:val="20"/>
    </w:rPr>
  </w:style>
  <w:style w:type="character" w:customStyle="1" w:styleId="91">
    <w:name w:val="标题 1 Char Char"/>
    <w:qFormat/>
    <w:locked/>
    <w:uiPriority w:val="99"/>
    <w:rPr>
      <w:rFonts w:eastAsia="宋体"/>
      <w:b/>
      <w:kern w:val="44"/>
      <w:sz w:val="44"/>
      <w:lang w:val="en-US" w:eastAsia="zh-CN"/>
    </w:rPr>
  </w:style>
  <w:style w:type="character" w:customStyle="1" w:styleId="92">
    <w:name w:val="Char Char"/>
    <w:qFormat/>
    <w:uiPriority w:val="99"/>
    <w:rPr>
      <w:rFonts w:ascii="Arial" w:hAnsi="Arial" w:eastAsia="黑体"/>
      <w:b/>
      <w:kern w:val="2"/>
      <w:sz w:val="32"/>
      <w:lang w:val="en-US" w:eastAsia="zh-CN"/>
    </w:rPr>
  </w:style>
  <w:style w:type="character" w:customStyle="1" w:styleId="93">
    <w:name w:val="明显参考1"/>
    <w:qFormat/>
    <w:uiPriority w:val="99"/>
    <w:rPr>
      <w:b/>
      <w:smallCaps/>
      <w:color w:val="auto"/>
      <w:spacing w:val="5"/>
      <w:u w:val="single"/>
    </w:rPr>
  </w:style>
  <w:style w:type="character" w:customStyle="1" w:styleId="94">
    <w:name w:val="明显强调1"/>
    <w:qFormat/>
    <w:uiPriority w:val="99"/>
    <w:rPr>
      <w:b/>
      <w:i/>
      <w:color w:val="4F81BD"/>
    </w:rPr>
  </w:style>
  <w:style w:type="character" w:customStyle="1" w:styleId="95">
    <w:name w:val="文档结构图 Char1"/>
    <w:qFormat/>
    <w:uiPriority w:val="99"/>
    <w:rPr>
      <w:rFonts w:ascii="宋体"/>
      <w:kern w:val="2"/>
      <w:sz w:val="18"/>
    </w:rPr>
  </w:style>
  <w:style w:type="character" w:customStyle="1" w:styleId="96">
    <w:name w:val="日期 Char"/>
    <w:qFormat/>
    <w:uiPriority w:val="99"/>
    <w:rPr>
      <w:rFonts w:ascii="仿宋_GB2312" w:eastAsia="仿宋_GB2312"/>
      <w:kern w:val="2"/>
      <w:sz w:val="30"/>
      <w:lang w:val="en-US" w:eastAsia="zh-CN"/>
    </w:rPr>
  </w:style>
  <w:style w:type="character" w:customStyle="1" w:styleId="97">
    <w:name w:val="textcontents"/>
    <w:qFormat/>
    <w:uiPriority w:val="99"/>
  </w:style>
  <w:style w:type="character" w:customStyle="1" w:styleId="98">
    <w:name w:val="引用 Char"/>
    <w:link w:val="99"/>
    <w:qFormat/>
    <w:locked/>
    <w:uiPriority w:val="99"/>
    <w:rPr>
      <w:i/>
      <w:color w:val="000000"/>
      <w:kern w:val="2"/>
      <w:sz w:val="22"/>
    </w:rPr>
  </w:style>
  <w:style w:type="paragraph" w:customStyle="1" w:styleId="99">
    <w:name w:val="引用1"/>
    <w:basedOn w:val="1"/>
    <w:next w:val="1"/>
    <w:link w:val="98"/>
    <w:qFormat/>
    <w:uiPriority w:val="99"/>
    <w:rPr>
      <w:i/>
      <w:color w:val="000000"/>
      <w:sz w:val="22"/>
      <w:szCs w:val="20"/>
    </w:rPr>
  </w:style>
  <w:style w:type="character" w:customStyle="1" w:styleId="100">
    <w:name w:val="日期 Char1"/>
    <w:qFormat/>
    <w:uiPriority w:val="99"/>
    <w:rPr>
      <w:kern w:val="2"/>
      <w:sz w:val="22"/>
    </w:rPr>
  </w:style>
  <w:style w:type="character" w:customStyle="1" w:styleId="101">
    <w:name w:val="不明显参考1"/>
    <w:qFormat/>
    <w:uiPriority w:val="99"/>
    <w:rPr>
      <w:smallCaps/>
      <w:color w:val="auto"/>
      <w:u w:val="single"/>
    </w:rPr>
  </w:style>
  <w:style w:type="character" w:customStyle="1" w:styleId="102">
    <w:name w:val="批注框文本 Char1"/>
    <w:qFormat/>
    <w:uiPriority w:val="99"/>
    <w:rPr>
      <w:kern w:val="2"/>
      <w:sz w:val="18"/>
    </w:rPr>
  </w:style>
  <w:style w:type="character" w:customStyle="1" w:styleId="103">
    <w:name w:val="不明显强调1"/>
    <w:qFormat/>
    <w:uiPriority w:val="99"/>
    <w:rPr>
      <w:i/>
      <w:color w:val="808080"/>
    </w:rPr>
  </w:style>
  <w:style w:type="character" w:customStyle="1" w:styleId="104">
    <w:name w:val="标题4 Char Char"/>
    <w:link w:val="105"/>
    <w:qFormat/>
    <w:locked/>
    <w:uiPriority w:val="99"/>
    <w:rPr>
      <w:rFonts w:ascii="Arial" w:hAnsi="Arial"/>
      <w:b/>
      <w:sz w:val="32"/>
    </w:rPr>
  </w:style>
  <w:style w:type="paragraph" w:customStyle="1" w:styleId="105">
    <w:name w:val="标题4"/>
    <w:basedOn w:val="7"/>
    <w:next w:val="22"/>
    <w:link w:val="104"/>
    <w:qFormat/>
    <w:uiPriority w:val="99"/>
    <w:pPr>
      <w:spacing w:line="413" w:lineRule="auto"/>
    </w:pPr>
    <w:rPr>
      <w:rFonts w:eastAsia="宋体" w:cs="Times New Roman"/>
      <w:bCs w:val="0"/>
      <w:kern w:val="0"/>
      <w:szCs w:val="20"/>
    </w:rPr>
  </w:style>
  <w:style w:type="character" w:customStyle="1" w:styleId="106">
    <w:name w:val="书籍标题1"/>
    <w:qFormat/>
    <w:uiPriority w:val="99"/>
    <w:rPr>
      <w:b/>
      <w:smallCaps/>
      <w:spacing w:val="5"/>
    </w:rPr>
  </w:style>
  <w:style w:type="character" w:customStyle="1" w:styleId="107">
    <w:name w:val="bigfont"/>
    <w:basedOn w:val="47"/>
    <w:qFormat/>
    <w:uiPriority w:val="99"/>
    <w:rPr>
      <w:rFonts w:cs="Times New Roman"/>
    </w:rPr>
  </w:style>
  <w:style w:type="character" w:customStyle="1" w:styleId="108">
    <w:name w:val="news_title1"/>
    <w:qFormat/>
    <w:uiPriority w:val="99"/>
    <w:rPr>
      <w:rFonts w:ascii="宋体" w:hAnsi="宋体" w:eastAsia="宋体"/>
      <w:b/>
      <w:color w:val="000000"/>
      <w:sz w:val="36"/>
      <w:u w:val="none"/>
    </w:rPr>
  </w:style>
  <w:style w:type="character" w:customStyle="1" w:styleId="109">
    <w:name w:val="标题5 Char Char"/>
    <w:link w:val="110"/>
    <w:qFormat/>
    <w:locked/>
    <w:uiPriority w:val="99"/>
    <w:rPr>
      <w:rFonts w:ascii="Arial" w:hAnsi="Arial"/>
      <w:b/>
      <w:sz w:val="32"/>
    </w:rPr>
  </w:style>
  <w:style w:type="paragraph" w:customStyle="1" w:styleId="110">
    <w:name w:val="标题5"/>
    <w:basedOn w:val="8"/>
    <w:link w:val="109"/>
    <w:qFormat/>
    <w:uiPriority w:val="99"/>
    <w:pPr>
      <w:spacing w:line="413" w:lineRule="auto"/>
    </w:pPr>
    <w:rPr>
      <w:rFonts w:ascii="Arial" w:hAnsi="Arial"/>
      <w:bCs w:val="0"/>
      <w:kern w:val="0"/>
      <w:szCs w:val="20"/>
    </w:rPr>
  </w:style>
  <w:style w:type="character" w:customStyle="1" w:styleId="111">
    <w:name w:val="font161"/>
    <w:qFormat/>
    <w:uiPriority w:val="99"/>
    <w:rPr>
      <w:b/>
      <w:sz w:val="32"/>
    </w:rPr>
  </w:style>
  <w:style w:type="character" w:customStyle="1" w:styleId="112">
    <w:name w:val="标题 2 Char Char"/>
    <w:qFormat/>
    <w:locked/>
    <w:uiPriority w:val="99"/>
    <w:rPr>
      <w:rFonts w:ascii="Arial" w:hAnsi="Arial" w:eastAsia="黑体"/>
      <w:b/>
      <w:kern w:val="2"/>
      <w:sz w:val="32"/>
      <w:lang w:val="en-US" w:eastAsia="zh-CN"/>
    </w:rPr>
  </w:style>
  <w:style w:type="character" w:customStyle="1" w:styleId="113">
    <w:name w:val="Char Char1"/>
    <w:qFormat/>
    <w:uiPriority w:val="99"/>
    <w:rPr>
      <w:rFonts w:ascii="宋体" w:hAnsi="Times New Roman"/>
      <w:sz w:val="28"/>
    </w:rPr>
  </w:style>
  <w:style w:type="character" w:customStyle="1" w:styleId="114">
    <w:name w:val="明显引用 Char"/>
    <w:link w:val="115"/>
    <w:qFormat/>
    <w:locked/>
    <w:uiPriority w:val="99"/>
    <w:rPr>
      <w:b/>
      <w:i/>
      <w:color w:val="4F81BD"/>
      <w:kern w:val="2"/>
      <w:sz w:val="22"/>
    </w:rPr>
  </w:style>
  <w:style w:type="paragraph" w:customStyle="1" w:styleId="115">
    <w:name w:val="明显引用1"/>
    <w:basedOn w:val="1"/>
    <w:next w:val="1"/>
    <w:link w:val="114"/>
    <w:qFormat/>
    <w:uiPriority w:val="99"/>
    <w:pPr>
      <w:pBdr>
        <w:bottom w:val="single" w:color="4F81BD" w:sz="4" w:space="4"/>
      </w:pBdr>
      <w:spacing w:before="200" w:after="280"/>
      <w:ind w:left="936" w:right="936"/>
    </w:pPr>
    <w:rPr>
      <w:b/>
      <w:i/>
      <w:color w:val="4F81BD"/>
      <w:sz w:val="22"/>
      <w:szCs w:val="20"/>
    </w:rPr>
  </w:style>
  <w:style w:type="character" w:customStyle="1" w:styleId="116">
    <w:name w:val="批注主题 Char1"/>
    <w:qFormat/>
    <w:uiPriority w:val="99"/>
    <w:rPr>
      <w:b/>
      <w:kern w:val="2"/>
      <w:sz w:val="22"/>
    </w:rPr>
  </w:style>
  <w:style w:type="character" w:customStyle="1" w:styleId="117">
    <w:name w:val="正文文本 Char1"/>
    <w:qFormat/>
    <w:uiPriority w:val="99"/>
    <w:rPr>
      <w:kern w:val="2"/>
      <w:sz w:val="22"/>
    </w:rPr>
  </w:style>
  <w:style w:type="paragraph" w:customStyle="1" w:styleId="118">
    <w:name w:val="默认段落字体 Para Char Char Char Char"/>
    <w:basedOn w:val="1"/>
    <w:qFormat/>
    <w:uiPriority w:val="99"/>
  </w:style>
  <w:style w:type="paragraph" w:customStyle="1" w:styleId="119">
    <w:name w:val="Char Char Char Char Char Char Char Char Char Char Char Char Char"/>
    <w:basedOn w:val="1"/>
    <w:qFormat/>
    <w:uiPriority w:val="99"/>
  </w:style>
  <w:style w:type="paragraph" w:customStyle="1" w:styleId="120">
    <w:name w:val="样式 标题 3 + (中文) 黑体 小四 非加粗 段前: 7.8 磅 段后: 0 磅 行距: 固定值 20 磅"/>
    <w:basedOn w:val="8"/>
    <w:qFormat/>
    <w:uiPriority w:val="99"/>
    <w:pPr>
      <w:spacing w:before="0" w:after="0" w:line="400" w:lineRule="exact"/>
    </w:pPr>
    <w:rPr>
      <w:rFonts w:eastAsia="黑体"/>
      <w:b w:val="0"/>
      <w:bCs w:val="0"/>
      <w:sz w:val="24"/>
      <w:szCs w:val="24"/>
    </w:rPr>
  </w:style>
  <w:style w:type="paragraph" w:customStyle="1" w:styleId="121">
    <w:name w:val="表格文字"/>
    <w:basedOn w:val="1"/>
    <w:qFormat/>
    <w:uiPriority w:val="99"/>
    <w:pPr>
      <w:adjustRightInd w:val="0"/>
      <w:spacing w:line="420" w:lineRule="atLeast"/>
      <w:jc w:val="left"/>
      <w:textAlignment w:val="baseline"/>
    </w:pPr>
    <w:rPr>
      <w:kern w:val="0"/>
    </w:rPr>
  </w:style>
  <w:style w:type="paragraph" w:customStyle="1" w:styleId="122">
    <w:name w:val="修订1"/>
    <w:qFormat/>
    <w:uiPriority w:val="99"/>
    <w:rPr>
      <w:rFonts w:ascii="Times New Roman" w:hAnsi="Times New Roman" w:eastAsia="宋体" w:cs="Times New Roman"/>
      <w:kern w:val="2"/>
      <w:sz w:val="21"/>
      <w:szCs w:val="21"/>
      <w:lang w:val="en-US" w:eastAsia="zh-CN" w:bidi="ar-SA"/>
    </w:rPr>
  </w:style>
  <w:style w:type="paragraph" w:customStyle="1" w:styleId="123">
    <w:name w:val="Char"/>
    <w:basedOn w:val="1"/>
    <w:next w:val="1"/>
    <w:qFormat/>
    <w:uiPriority w:val="99"/>
    <w:pPr>
      <w:widowControl/>
      <w:spacing w:line="360" w:lineRule="auto"/>
      <w:jc w:val="left"/>
    </w:pPr>
    <w:rPr>
      <w:kern w:val="0"/>
      <w:lang w:eastAsia="en-US"/>
    </w:rPr>
  </w:style>
  <w:style w:type="paragraph" w:customStyle="1" w:styleId="124">
    <w:name w:val="样式2"/>
    <w:basedOn w:val="8"/>
    <w:qFormat/>
    <w:uiPriority w:val="99"/>
    <w:pPr>
      <w:spacing w:line="413" w:lineRule="auto"/>
    </w:pPr>
  </w:style>
  <w:style w:type="paragraph" w:customStyle="1" w:styleId="125">
    <w:name w:val="6'"/>
    <w:basedOn w:val="1"/>
    <w:qFormat/>
    <w:uiPriority w:val="99"/>
    <w:pPr>
      <w:autoSpaceDE w:val="0"/>
      <w:autoSpaceDN w:val="0"/>
      <w:adjustRightInd w:val="0"/>
      <w:snapToGrid w:val="0"/>
      <w:spacing w:line="320" w:lineRule="exact"/>
      <w:jc w:val="center"/>
      <w:textAlignment w:val="baseline"/>
    </w:pPr>
    <w:rPr>
      <w:spacing w:val="20"/>
      <w:kern w:val="28"/>
    </w:rPr>
  </w:style>
  <w:style w:type="paragraph" w:customStyle="1" w:styleId="126">
    <w:name w:val="表格"/>
    <w:basedOn w:val="1"/>
    <w:qFormat/>
    <w:uiPriority w:val="99"/>
    <w:pPr>
      <w:jc w:val="center"/>
      <w:textAlignment w:val="center"/>
    </w:pPr>
    <w:rPr>
      <w:rFonts w:ascii="华文细黑" w:hAnsi="华文细黑" w:cs="华文细黑"/>
      <w:kern w:val="0"/>
    </w:rPr>
  </w:style>
  <w:style w:type="paragraph" w:customStyle="1" w:styleId="127">
    <w:name w:val="Blockquote"/>
    <w:basedOn w:val="1"/>
    <w:qFormat/>
    <w:uiPriority w:val="99"/>
    <w:pPr>
      <w:autoSpaceDE w:val="0"/>
      <w:autoSpaceDN w:val="0"/>
      <w:adjustRightInd w:val="0"/>
      <w:spacing w:before="100" w:after="100"/>
      <w:ind w:left="360" w:right="360"/>
      <w:jc w:val="left"/>
    </w:pPr>
    <w:rPr>
      <w:kern w:val="0"/>
      <w:sz w:val="24"/>
      <w:szCs w:val="24"/>
    </w:rPr>
  </w:style>
  <w:style w:type="paragraph" w:customStyle="1" w:styleId="128">
    <w:name w:val="1"/>
    <w:basedOn w:val="1"/>
    <w:next w:val="1"/>
    <w:qFormat/>
    <w:uiPriority w:val="99"/>
  </w:style>
  <w:style w:type="paragraph" w:customStyle="1" w:styleId="129">
    <w:name w:val="样式1"/>
    <w:basedOn w:val="8"/>
    <w:qFormat/>
    <w:uiPriority w:val="99"/>
    <w:pPr>
      <w:spacing w:line="413" w:lineRule="auto"/>
    </w:pPr>
  </w:style>
  <w:style w:type="paragraph" w:customStyle="1" w:styleId="130">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customStyle="1" w:styleId="131">
    <w:name w:val="无间隔1"/>
    <w:qFormat/>
    <w:uiPriority w:val="99"/>
    <w:pPr>
      <w:widowControl w:val="0"/>
      <w:jc w:val="both"/>
    </w:pPr>
    <w:rPr>
      <w:rFonts w:ascii="Calibri" w:hAnsi="Calibri" w:eastAsia="宋体" w:cs="Calibri"/>
      <w:kern w:val="2"/>
      <w:sz w:val="21"/>
      <w:szCs w:val="21"/>
      <w:lang w:val="en-US" w:eastAsia="zh-CN" w:bidi="ar-SA"/>
    </w:rPr>
  </w:style>
  <w:style w:type="paragraph" w:customStyle="1" w:styleId="132">
    <w:name w:val="样式4"/>
    <w:basedOn w:val="8"/>
    <w:qFormat/>
    <w:uiPriority w:val="99"/>
    <w:pPr>
      <w:spacing w:line="413" w:lineRule="auto"/>
    </w:pPr>
  </w:style>
  <w:style w:type="paragraph" w:customStyle="1" w:styleId="133">
    <w:name w:val="TOC 标题1"/>
    <w:basedOn w:val="6"/>
    <w:next w:val="1"/>
    <w:qFormat/>
    <w:uiPriority w:val="99"/>
    <w:pPr>
      <w:spacing w:line="576" w:lineRule="auto"/>
      <w:outlineLvl w:val="9"/>
    </w:pPr>
    <w:rPr>
      <w:rFonts w:ascii="Calibri" w:hAnsi="Calibri" w:cs="Calibri"/>
    </w:rPr>
  </w:style>
  <w:style w:type="paragraph" w:customStyle="1" w:styleId="134">
    <w:name w:val="样式 标题 1 + 黑体 三号 非加粗 居中 段前: 6 磅 段后: 6 磅 行距: 固定值 20 磅"/>
    <w:basedOn w:val="6"/>
    <w:qFormat/>
    <w:uiPriority w:val="99"/>
    <w:pPr>
      <w:spacing w:before="120" w:after="120" w:line="400" w:lineRule="exact"/>
    </w:pPr>
    <w:rPr>
      <w:rFonts w:ascii="黑体" w:hAnsi="黑体" w:eastAsia="黑体" w:cs="黑体"/>
      <w:b w:val="0"/>
      <w:bCs w:val="0"/>
      <w:sz w:val="32"/>
      <w:szCs w:val="32"/>
    </w:rPr>
  </w:style>
  <w:style w:type="paragraph" w:customStyle="1" w:styleId="135">
    <w:name w:val="样式 标题 2 + Times New Roman 四号 非加粗 段前: 5 磅 段后: 0 磅 行距: 固定值 20..."/>
    <w:basedOn w:val="7"/>
    <w:qFormat/>
    <w:uiPriority w:val="99"/>
    <w:pPr>
      <w:spacing w:before="100" w:after="0" w:line="400" w:lineRule="exact"/>
    </w:pPr>
    <w:rPr>
      <w:rFonts w:ascii="Times New Roman" w:hAnsi="Times New Roman" w:cs="Times New Roman"/>
      <w:b w:val="0"/>
      <w:bCs w:val="0"/>
      <w:kern w:val="0"/>
      <w:sz w:val="28"/>
      <w:szCs w:val="28"/>
    </w:rPr>
  </w:style>
  <w:style w:type="paragraph" w:customStyle="1" w:styleId="136">
    <w:name w:val="Char Char Char Char Char Char Char Char Char Char Char Char Char1"/>
    <w:basedOn w:val="17"/>
    <w:qFormat/>
    <w:uiPriority w:val="99"/>
    <w:rPr>
      <w:rFonts w:ascii="Tahoma" w:hAnsi="Tahoma" w:cs="Tahoma"/>
      <w:sz w:val="24"/>
      <w:szCs w:val="24"/>
      <w:shd w:val="clear" w:color="auto" w:fill="auto"/>
    </w:rPr>
  </w:style>
  <w:style w:type="paragraph" w:customStyle="1" w:styleId="137">
    <w:name w:val="列出段落1"/>
    <w:basedOn w:val="1"/>
    <w:qFormat/>
    <w:uiPriority w:val="99"/>
    <w:pPr>
      <w:ind w:firstLine="420" w:firstLineChars="200"/>
    </w:pPr>
    <w:rPr>
      <w:rFonts w:ascii="Calibri" w:hAnsi="Calibri" w:cs="Calibri"/>
    </w:rPr>
  </w:style>
  <w:style w:type="paragraph" w:customStyle="1" w:styleId="138">
    <w:name w:val="Char1"/>
    <w:basedOn w:val="1"/>
    <w:qFormat/>
    <w:uiPriority w:val="99"/>
    <w:rPr>
      <w:rFonts w:ascii="Tahoma" w:hAnsi="Tahoma" w:cs="Tahoma"/>
      <w:sz w:val="24"/>
      <w:szCs w:val="24"/>
    </w:rPr>
  </w:style>
  <w:style w:type="paragraph" w:customStyle="1" w:styleId="139">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140">
    <w:name w:val="样式3"/>
    <w:basedOn w:val="8"/>
    <w:qFormat/>
    <w:uiPriority w:val="99"/>
    <w:pPr>
      <w:spacing w:line="413" w:lineRule="auto"/>
    </w:pPr>
  </w:style>
  <w:style w:type="paragraph" w:customStyle="1" w:styleId="141">
    <w:name w:val="正文1"/>
    <w:qFormat/>
    <w:uiPriority w:val="99"/>
    <w:pPr>
      <w:widowControl w:val="0"/>
      <w:adjustRightInd w:val="0"/>
      <w:spacing w:line="312" w:lineRule="atLeast"/>
      <w:jc w:val="both"/>
      <w:textAlignment w:val="baseline"/>
    </w:pPr>
    <w:rPr>
      <w:rFonts w:ascii="宋体" w:hAnsi="Times New Roman" w:eastAsia="宋体" w:cs="宋体"/>
      <w:kern w:val="0"/>
      <w:sz w:val="24"/>
      <w:szCs w:val="24"/>
      <w:lang w:val="en-US" w:eastAsia="zh-CN" w:bidi="ar-SA"/>
    </w:rPr>
  </w:style>
  <w:style w:type="paragraph" w:customStyle="1" w:styleId="142">
    <w:name w:val="列出段落2"/>
    <w:basedOn w:val="1"/>
    <w:qFormat/>
    <w:uiPriority w:val="99"/>
    <w:pPr>
      <w:ind w:firstLine="200" w:firstLineChars="200"/>
    </w:pPr>
  </w:style>
  <w:style w:type="paragraph" w:customStyle="1" w:styleId="143">
    <w:name w:val="p0"/>
    <w:basedOn w:val="1"/>
    <w:qFormat/>
    <w:uiPriority w:val="99"/>
    <w:pPr>
      <w:widowControl/>
    </w:pPr>
    <w:rPr>
      <w:kern w:val="0"/>
    </w:rPr>
  </w:style>
  <w:style w:type="paragraph" w:customStyle="1" w:styleId="144">
    <w:name w:val="节标题"/>
    <w:basedOn w:val="1"/>
    <w:next w:val="1"/>
    <w:qFormat/>
    <w:uiPriority w:val="99"/>
    <w:pPr>
      <w:widowControl/>
      <w:spacing w:line="289" w:lineRule="atLeast"/>
      <w:jc w:val="center"/>
      <w:textAlignment w:val="baseline"/>
    </w:pPr>
    <w:rPr>
      <w:color w:val="000000"/>
      <w:kern w:val="0"/>
      <w:sz w:val="28"/>
      <w:szCs w:val="20"/>
    </w:rPr>
  </w:style>
  <w:style w:type="paragraph" w:customStyle="1" w:styleId="145">
    <w:name w:val="WPSOffice手动目录 1"/>
    <w:qFormat/>
    <w:uiPriority w:val="99"/>
    <w:rPr>
      <w:rFonts w:ascii="Times New Roman" w:hAnsi="Times New Roman" w:eastAsia="宋体" w:cs="Times New Roman"/>
      <w:kern w:val="0"/>
      <w:sz w:val="20"/>
      <w:szCs w:val="20"/>
      <w:lang w:val="en-US" w:eastAsia="zh-CN" w:bidi="ar-SA"/>
    </w:rPr>
  </w:style>
  <w:style w:type="paragraph" w:customStyle="1" w:styleId="146">
    <w:name w:val="WPSOffice手动目录 2"/>
    <w:qFormat/>
    <w:uiPriority w:val="99"/>
    <w:pPr>
      <w:ind w:left="200" w:leftChars="200"/>
    </w:pPr>
    <w:rPr>
      <w:rFonts w:ascii="Times New Roman" w:hAnsi="Times New Roman" w:eastAsia="宋体" w:cs="Times New Roman"/>
      <w:kern w:val="0"/>
      <w:sz w:val="20"/>
      <w:szCs w:val="20"/>
      <w:lang w:val="en-US" w:eastAsia="zh-CN" w:bidi="ar-SA"/>
    </w:rPr>
  </w:style>
  <w:style w:type="paragraph" w:customStyle="1" w:styleId="147">
    <w:name w:val="WPSOffice手动目录 3"/>
    <w:qFormat/>
    <w:uiPriority w:val="99"/>
    <w:pPr>
      <w:ind w:left="400" w:leftChars="400"/>
    </w:pPr>
    <w:rPr>
      <w:rFonts w:ascii="Times New Roman" w:hAnsi="Times New Roman" w:eastAsia="宋体" w:cs="Times New Roman"/>
      <w:kern w:val="0"/>
      <w:sz w:val="20"/>
      <w:szCs w:val="20"/>
      <w:lang w:val="en-US" w:eastAsia="zh-CN" w:bidi="ar-SA"/>
    </w:rPr>
  </w:style>
  <w:style w:type="character" w:customStyle="1" w:styleId="148">
    <w:name w:val="font12"/>
    <w:basedOn w:val="47"/>
    <w:qFormat/>
    <w:uiPriority w:val="0"/>
    <w:rPr>
      <w:rFonts w:hint="eastAsia" w:ascii="仿宋" w:hAnsi="仿宋" w:eastAsia="仿宋" w:cs="仿宋"/>
      <w:b/>
      <w:color w:val="000000"/>
      <w:sz w:val="32"/>
      <w:szCs w:val="32"/>
      <w:u w:val="none"/>
    </w:rPr>
  </w:style>
  <w:style w:type="paragraph" w:customStyle="1" w:styleId="149">
    <w:name w:val="Char1 Char Char Char"/>
    <w:basedOn w:val="1"/>
    <w:qFormat/>
    <w:uiPriority w:val="0"/>
    <w:pPr>
      <w:widowControl/>
      <w:spacing w:after="160" w:line="240" w:lineRule="exact"/>
      <w:jc w:val="left"/>
    </w:pPr>
    <w:rPr>
      <w:rFonts w:ascii="Verdana" w:hAnsi="Verdana"/>
      <w:kern w:val="0"/>
      <w:sz w:val="30"/>
      <w:szCs w:val="30"/>
      <w:lang w:eastAsia="en-US"/>
    </w:rPr>
  </w:style>
  <w:style w:type="character" w:customStyle="1" w:styleId="150">
    <w:name w:val="font101"/>
    <w:basedOn w:val="47"/>
    <w:qFormat/>
    <w:uiPriority w:val="0"/>
    <w:rPr>
      <w:rFonts w:hint="default" w:ascii="Times New Roman" w:hAnsi="Times New Roman" w:cs="Times New Roman"/>
      <w:color w:val="000000"/>
      <w:sz w:val="24"/>
      <w:szCs w:val="24"/>
      <w:u w:val="none"/>
    </w:rPr>
  </w:style>
  <w:style w:type="character" w:customStyle="1" w:styleId="151">
    <w:name w:val="font111"/>
    <w:basedOn w:val="47"/>
    <w:qFormat/>
    <w:uiPriority w:val="0"/>
    <w:rPr>
      <w:rFonts w:ascii="仿宋_GB2312" w:eastAsia="仿宋_GB2312" w:cs="仿宋_GB2312"/>
      <w:color w:val="000000"/>
      <w:sz w:val="24"/>
      <w:szCs w:val="24"/>
      <w:u w:val="none"/>
    </w:rPr>
  </w:style>
  <w:style w:type="character" w:customStyle="1" w:styleId="152">
    <w:name w:val="font91"/>
    <w:basedOn w:val="47"/>
    <w:qFormat/>
    <w:uiPriority w:val="0"/>
    <w:rPr>
      <w:rFonts w:hint="eastAsia" w:ascii="仿宋" w:hAnsi="仿宋" w:eastAsia="仿宋" w:cs="仿宋"/>
      <w:color w:val="000000"/>
      <w:sz w:val="24"/>
      <w:szCs w:val="24"/>
      <w:u w:val="single"/>
    </w:rPr>
  </w:style>
  <w:style w:type="character" w:customStyle="1" w:styleId="153">
    <w:name w:val="font81"/>
    <w:basedOn w:val="47"/>
    <w:qFormat/>
    <w:uiPriority w:val="0"/>
    <w:rPr>
      <w:rFonts w:hint="eastAsia" w:ascii="仿宋" w:hAnsi="仿宋" w:eastAsia="仿宋" w:cs="仿宋"/>
      <w:color w:val="000000"/>
      <w:sz w:val="24"/>
      <w:szCs w:val="24"/>
      <w:u w:val="none"/>
    </w:rPr>
  </w:style>
  <w:style w:type="character" w:customStyle="1" w:styleId="154">
    <w:name w:val="font61"/>
    <w:basedOn w:val="47"/>
    <w:qFormat/>
    <w:uiPriority w:val="0"/>
    <w:rPr>
      <w:rFonts w:hint="eastAsia" w:ascii="仿宋" w:hAnsi="仿宋" w:eastAsia="仿宋" w:cs="仿宋"/>
      <w:b/>
      <w:color w:val="000000"/>
      <w:sz w:val="32"/>
      <w:szCs w:val="32"/>
      <w:u w:val="none"/>
    </w:rPr>
  </w:style>
  <w:style w:type="character" w:customStyle="1" w:styleId="155">
    <w:name w:val="font21"/>
    <w:basedOn w:val="47"/>
    <w:qFormat/>
    <w:uiPriority w:val="0"/>
    <w:rPr>
      <w:rFonts w:hint="eastAsia" w:ascii="仿宋" w:hAnsi="仿宋" w:eastAsia="仿宋" w:cs="仿宋"/>
      <w:color w:val="000000"/>
      <w:sz w:val="24"/>
      <w:szCs w:val="24"/>
      <w:u w:val="none"/>
    </w:rPr>
  </w:style>
  <w:style w:type="character" w:customStyle="1" w:styleId="156">
    <w:name w:val="layui-this"/>
    <w:basedOn w:val="47"/>
    <w:qFormat/>
    <w:uiPriority w:val="0"/>
    <w:rPr>
      <w:bdr w:val="single" w:color="EEEEEE" w:sz="6" w:space="0"/>
      <w:shd w:val="clear" w:fill="FFFFFF"/>
    </w:rPr>
  </w:style>
  <w:style w:type="character" w:customStyle="1" w:styleId="157">
    <w:name w:val="first-child"/>
    <w:basedOn w:val="47"/>
    <w:qFormat/>
    <w:uiPriority w:val="0"/>
  </w:style>
  <w:style w:type="paragraph" w:customStyle="1" w:styleId="158">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
    <w:name w:val="Table Paragraph"/>
    <w:basedOn w:val="1"/>
    <w:qFormat/>
    <w:uiPriority w:val="0"/>
    <w:pPr>
      <w:autoSpaceDE w:val="0"/>
      <w:autoSpaceDN w:val="0"/>
      <w:jc w:val="left"/>
    </w:pPr>
    <w:rPr>
      <w:rFonts w:ascii="宋体" w:hAnsi="宋体" w:cs="宋体"/>
      <w:kern w:val="0"/>
      <w:sz w:val="22"/>
      <w:szCs w:val="22"/>
      <w:lang w:val="zh-CN"/>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微软中国</Company>
  <Pages>30</Pages>
  <Words>13453</Words>
  <Characters>15097</Characters>
  <Lines>1</Lines>
  <Paragraphs>1</Paragraphs>
  <TotalTime>5</TotalTime>
  <ScaleCrop>false</ScaleCrop>
  <LinksUpToDate>false</LinksUpToDate>
  <CharactersWithSpaces>15982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2017-05-18T08:09:00Z</dcterms:created>
  <dc:creator>微软用户</dc:creator>
  <cp:lastModifiedBy>Pim Pom丶</cp:lastModifiedBy>
  <cp:lastPrinted>2019-03-21T08:38:00Z</cp:lastPrinted>
  <dcterms:modified xsi:type="dcterms:W3CDTF">2025-08-07T03:10:57Z</dcterms:modified>
  <dc:title>创业园小区9#楼工程施工</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4F403931894E437F80EF16419C10C226</vt:lpwstr>
  </property>
  <property fmtid="{D5CDD505-2E9C-101B-9397-08002B2CF9AE}" pid="4" name="KSOTemplateDocerSaveRecord">
    <vt:lpwstr>eyJoZGlkIjoiMDk2MmQyNTdjMmYyM2I4Njk3YjVkOTliYjhhNDZiYTEiLCJ1c2VySWQiOiI0MDkyMjI1MTkifQ==</vt:lpwstr>
  </property>
</Properties>
</file>