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D9BD6">
      <w:pPr>
        <w:jc w:val="center"/>
        <w:rPr>
          <w:rFonts w:hint="eastAsia" w:ascii="宋体" w:hAnsi="宋体" w:eastAsia="宋体" w:cs="宋体"/>
          <w:b/>
          <w:bCs/>
          <w:sz w:val="36"/>
          <w:szCs w:val="36"/>
        </w:rPr>
      </w:pPr>
      <w:r>
        <w:rPr>
          <w:rFonts w:hint="eastAsia" w:ascii="宋体" w:hAnsi="宋体" w:eastAsia="宋体" w:cs="宋体"/>
          <w:b/>
          <w:bCs/>
          <w:sz w:val="36"/>
          <w:szCs w:val="36"/>
          <w:lang w:val="en-US" w:eastAsia="zh-CN"/>
        </w:rPr>
        <w:t>琅琊山林场原厂部自来水建设工程</w:t>
      </w:r>
    </w:p>
    <w:p w14:paraId="3CEDD47E">
      <w:pPr>
        <w:jc w:val="center"/>
        <w:rPr>
          <w:rFonts w:ascii="宋体" w:hAnsi="宋体" w:eastAsia="宋体" w:cs="宋体"/>
          <w:b/>
          <w:bCs/>
        </w:rPr>
      </w:pPr>
      <w:r>
        <w:rPr>
          <w:rFonts w:hint="eastAsia" w:ascii="宋体" w:hAnsi="宋体" w:eastAsia="宋体" w:cs="宋体"/>
          <w:b/>
          <w:bCs/>
          <w:sz w:val="36"/>
          <w:szCs w:val="36"/>
        </w:rPr>
        <w:t>最高投标限价编制说明</w:t>
      </w:r>
    </w:p>
    <w:p w14:paraId="1B6F1CCD">
      <w:pPr>
        <w:snapToGrid w:val="0"/>
        <w:spacing w:line="360" w:lineRule="auto"/>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一、工程概况</w:t>
      </w:r>
    </w:p>
    <w:p w14:paraId="5BE0F13B">
      <w:pPr>
        <w:snapToGrid w:val="0"/>
        <w:spacing w:line="360" w:lineRule="auto"/>
        <w:ind w:firstLine="420" w:firstLineChars="200"/>
        <w:rPr>
          <w:rFonts w:hint="eastAsia" w:ascii="仿宋_GB2312" w:hAnsi="仿宋_GB2312" w:eastAsia="仿宋_GB2312" w:cs="仿宋_GB2312"/>
          <w:color w:val="000000"/>
          <w:sz w:val="28"/>
          <w:szCs w:val="28"/>
          <w:lang w:val="zh-CN" w:eastAsia="zh-CN"/>
        </w:rPr>
      </w:pPr>
      <w:r>
        <w:rPr>
          <w:rFonts w:hint="eastAsia"/>
          <w:lang w:val="en-US" w:eastAsia="zh-CN"/>
        </w:rPr>
        <w:t xml:space="preserve">   </w:t>
      </w:r>
      <w:r>
        <w:rPr>
          <w:rFonts w:hint="eastAsia" w:ascii="仿宋_GB2312" w:hAnsi="仿宋_GB2312" w:eastAsia="仿宋_GB2312" w:cs="仿宋_GB2312"/>
          <w:color w:val="000000"/>
          <w:sz w:val="28"/>
          <w:szCs w:val="28"/>
          <w:lang w:val="en-US" w:eastAsia="zh-CN"/>
        </w:rPr>
        <w:t>琅琊山林场原厂部自来水建设工程</w:t>
      </w:r>
      <w:r>
        <w:rPr>
          <w:rFonts w:hint="eastAsia" w:ascii="仿宋_GB2312" w:hAnsi="仿宋_GB2312" w:eastAsia="仿宋_GB2312" w:cs="仿宋_GB2312"/>
          <w:color w:val="000000"/>
          <w:sz w:val="28"/>
          <w:szCs w:val="28"/>
          <w:lang w:val="zh-CN" w:eastAsia="zh-CN"/>
        </w:rPr>
        <w:t>位于滁州市。本次计划通过琅琊山林场原厂部自来水建设工程解决琅琊山风景区民宿未通自来水问题。本次管网工程主要为输水管网配水主干管管径为dn110-dn90,总长约2.665 km。</w:t>
      </w:r>
      <w:r>
        <w:rPr>
          <w:rFonts w:hint="eastAsia" w:ascii="仿宋_GB2312" w:hAnsi="仿宋_GB2312" w:eastAsia="仿宋_GB2312" w:cs="仿宋_GB2312"/>
          <w:color w:val="000000"/>
          <w:sz w:val="28"/>
          <w:szCs w:val="28"/>
          <w:lang w:val="en-US" w:eastAsia="zh-CN"/>
        </w:rPr>
        <w:t>配套</w:t>
      </w:r>
      <w:r>
        <w:rPr>
          <w:rFonts w:hint="eastAsia" w:ascii="仿宋_GB2312" w:hAnsi="仿宋_GB2312" w:eastAsia="仿宋_GB2312" w:cs="仿宋_GB2312"/>
          <w:color w:val="000000"/>
          <w:sz w:val="28"/>
          <w:szCs w:val="28"/>
          <w:lang w:val="zh-CN" w:eastAsia="zh-CN"/>
        </w:rPr>
        <w:t>林锦苑加压站</w:t>
      </w:r>
      <w:r>
        <w:rPr>
          <w:rFonts w:hint="eastAsia" w:ascii="仿宋_GB2312" w:hAnsi="仿宋_GB2312" w:eastAsia="仿宋_GB2312" w:cs="仿宋_GB2312"/>
          <w:color w:val="000000"/>
          <w:sz w:val="28"/>
          <w:szCs w:val="28"/>
          <w:lang w:val="en-US" w:eastAsia="zh-CN"/>
        </w:rPr>
        <w:t>一座，</w:t>
      </w:r>
      <w:r>
        <w:rPr>
          <w:rFonts w:hint="eastAsia" w:ascii="仿宋_GB2312" w:hAnsi="仿宋_GB2312" w:eastAsia="仿宋_GB2312" w:cs="仿宋_GB2312"/>
          <w:color w:val="000000"/>
          <w:sz w:val="28"/>
          <w:szCs w:val="28"/>
          <w:lang w:val="zh-CN" w:eastAsia="zh-CN"/>
        </w:rPr>
        <w:t>设计规模100m/d。本泵站内主要设计内容为箱泵一体化加压泵站(恒压供水),泵站位置见总图定位坐标。</w:t>
      </w:r>
    </w:p>
    <w:p w14:paraId="6DD75161">
      <w:pPr>
        <w:snapToGrid w:val="0"/>
        <w:spacing w:line="360" w:lineRule="auto"/>
        <w:ind w:firstLine="560" w:firstLineChars="200"/>
        <w:rPr>
          <w:rFonts w:hint="default" w:ascii="仿宋_GB2312" w:hAnsi="仿宋_GB2312" w:eastAsia="仿宋_GB2312" w:cs="仿宋_GB2312"/>
          <w:color w:val="000000"/>
          <w:sz w:val="28"/>
          <w:szCs w:val="28"/>
          <w:lang w:val="en-US" w:eastAsia="zh-CN"/>
        </w:rPr>
      </w:pPr>
    </w:p>
    <w:p w14:paraId="57F21792">
      <w:pPr>
        <w:snapToGrid w:val="0"/>
        <w:spacing w:line="360" w:lineRule="auto"/>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二、编制范围</w:t>
      </w:r>
    </w:p>
    <w:p w14:paraId="62826299">
      <w:pPr>
        <w:snapToGrid w:val="0"/>
        <w:spacing w:line="360" w:lineRule="auto"/>
        <w:ind w:firstLine="560" w:firstLineChars="200"/>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依据设计图纸，编制范围包括箱泵一体化泵站建设及配套，自来水管道敷设及附属工程（阀门安装、检查井砌筑、道路拆除及恢复等）；</w:t>
      </w:r>
    </w:p>
    <w:p w14:paraId="3F6358C1">
      <w:pPr>
        <w:snapToGrid w:val="0"/>
        <w:spacing w:line="360" w:lineRule="auto"/>
        <w:ind w:firstLine="560" w:firstLineChars="200"/>
        <w:rPr>
          <w:rFonts w:hint="eastAsia" w:ascii="仿宋_GB2312" w:hAnsi="仿宋_GB2312" w:eastAsia="仿宋_GB2312" w:cs="仿宋_GB2312"/>
          <w:color w:val="000000"/>
          <w:sz w:val="28"/>
          <w:szCs w:val="28"/>
          <w:lang w:val="en-US" w:eastAsia="zh-CN"/>
        </w:rPr>
      </w:pPr>
    </w:p>
    <w:p w14:paraId="4D3F90B0">
      <w:pPr>
        <w:snapToGrid w:val="0"/>
        <w:spacing w:line="360" w:lineRule="auto"/>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三、编制依据</w:t>
      </w:r>
    </w:p>
    <w:p w14:paraId="5B5E9F44">
      <w:pPr>
        <w:pStyle w:val="5"/>
        <w:widowControl/>
        <w:wordWrap w:val="0"/>
        <w:snapToGrid w:val="0"/>
        <w:spacing w:beforeAutospacing="0" w:afterAutospacing="0"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1、浙江浙华工程设计集团有限公司设计图纸，有关意见及图纸答疑；</w:t>
      </w:r>
    </w:p>
    <w:p w14:paraId="2CAFE893">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2、《建设工程工程量清单计价规范》GB50500-2013；</w:t>
      </w:r>
    </w:p>
    <w:p w14:paraId="2D5DD911">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3、2018版计价：《安徽省建设工程工程量清单计价办法》、《安徽省建设工程费用定额》、《安徽省建设工程施工机械台班费用编制规则》、《安徽省建设工程计价定额(共用册）》、《安徽省建筑工程计价定额》、《安徽省安装工程计价定额》、《安徽省市政工程计价定额》、《安徽省园林绿化工程计价定额》、《2018版安徽省建设工程计价依据修订内容》等；</w:t>
      </w:r>
    </w:p>
    <w:p w14:paraId="19271A1E">
      <w:pPr>
        <w:snapToGrid w:val="0"/>
        <w:spacing w:line="360" w:lineRule="auto"/>
        <w:ind w:left="0" w:leftChars="0" w:firstLine="490" w:firstLineChars="175"/>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 xml:space="preserve"> 4、本工程材料价格依据2025年第8期《滁州工程造价信息》，滁州信息价没有的材料依次参照2025年合肥市信息价、南京市信息价，无信息价部分根据市场价综合考虑，混凝土采用商品砼，砂浆均采用预拌砂浆；</w:t>
      </w:r>
    </w:p>
    <w:p w14:paraId="24776EB9">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5、人工费根据滁州市2025年第二季度建设工程人工价格信息，按157元/工日计算；税金为9%计算。</w:t>
      </w:r>
    </w:p>
    <w:p w14:paraId="5742F23F">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6、截止2023年9月的省、市有关政策性文件。</w:t>
      </w:r>
    </w:p>
    <w:p w14:paraId="5E9D9864">
      <w:pPr>
        <w:snapToGrid w:val="0"/>
        <w:spacing w:line="360" w:lineRule="auto"/>
        <w:ind w:firstLine="560" w:firstLineChars="200"/>
        <w:rPr>
          <w:rFonts w:hint="default" w:ascii="仿宋_GB2312" w:hAnsi="仿宋_GB2312" w:eastAsia="仿宋_GB2312" w:cs="仿宋_GB2312"/>
          <w:color w:val="000000"/>
          <w:kern w:val="2"/>
          <w:sz w:val="28"/>
          <w:szCs w:val="28"/>
          <w:lang w:val="en-US" w:eastAsia="zh-CN" w:bidi="ar-SA"/>
        </w:rPr>
      </w:pPr>
    </w:p>
    <w:p w14:paraId="356A0717">
      <w:pPr>
        <w:snapToGrid w:val="0"/>
        <w:spacing w:line="360" w:lineRule="auto"/>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四、有关说明</w:t>
      </w:r>
    </w:p>
    <w:p w14:paraId="3F9EC13E">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1、招标人不提供取土场、弃土场，由投标人自行选择。投标人应踏勘现场，了解取土场、弃土场资源状况，综合判定取土、弃土运距，合理报价，招标运距按照3KM计入，结算时不再调整。</w:t>
      </w:r>
    </w:p>
    <w:p w14:paraId="43EC16F8">
      <w:pPr>
        <w:snapToGrid w:val="0"/>
        <w:spacing w:line="360" w:lineRule="auto"/>
        <w:ind w:firstLine="560" w:firstLineChars="200"/>
        <w:rPr>
          <w:rFonts w:hint="default"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2、箱泵一体化泵站(包括但不限于电控柜、安防柜、变频水泵、照明、空调、除湿、泵房风机、电动阀、进出水压力传感器、电磁流量计、出水压力开关、温湿度模块、水浸控制器、红外入侵模块、烟感模块、门禁主机、室外球机、室内半球摄像机等的所有设备)成套提供相应的检测仪表及自动控制系统。泵站内各设备包括水泵、照明空调、除湿、泵房风机等用电均取自泵站自带电控柜,电控柜内含PLC系统。投标人对照设计图纸，综合考虑整体报价。</w:t>
      </w:r>
    </w:p>
    <w:p w14:paraId="1F6A21FB">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3、本项目考虑机械进退场1个台次，其他可能发生的机械台班进退场费用投标人自行考虑在整体报价，结算不予调整。</w:t>
      </w:r>
    </w:p>
    <w:p w14:paraId="1AB89EA5">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4、本项目所有清单工程量采用图纸测算工程量计入，最终以实际现场计量的工程量为准。</w:t>
      </w:r>
    </w:p>
    <w:p w14:paraId="37AACEFF">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5、工程量清单列出的每个清单子目已包括涉及与该子目有关的全部工程内容，投标人应将工程量清单与招标文件、合同通用条款、专用条款以及技术规范和图纸等有关招标资料一起对照阅读；</w:t>
      </w:r>
    </w:p>
    <w:p w14:paraId="154F71A1">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6、本工程砼均采用商品砼，砂浆均采用预拌砂浆；</w:t>
      </w:r>
    </w:p>
    <w:p w14:paraId="4DD6D1F3">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p>
    <w:p w14:paraId="3C4CA63B">
      <w:pPr>
        <w:snapToGrid w:val="0"/>
        <w:spacing w:line="360" w:lineRule="auto"/>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五、工程暂列金额</w:t>
      </w:r>
    </w:p>
    <w:p w14:paraId="6D9DD9DD">
      <w:pPr>
        <w:snapToGrid w:val="0"/>
        <w:spacing w:line="360" w:lineRule="auto"/>
        <w:ind w:firstLine="560" w:firstLineChars="200"/>
        <w:rPr>
          <w:rFonts w:hint="default"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1、暂列金额：本项目未设置暂列金额；</w:t>
      </w:r>
    </w:p>
    <w:p w14:paraId="331B91FC">
      <w:pPr>
        <w:snapToGrid w:val="0"/>
        <w:spacing w:line="360" w:lineRule="auto"/>
        <w:ind w:firstLine="560" w:firstLineChars="200"/>
        <w:rPr>
          <w:rFonts w:hint="default" w:ascii="仿宋_GB2312" w:hAnsi="仿宋_GB2312" w:eastAsia="仿宋_GB2312" w:cs="仿宋_GB2312"/>
          <w:color w:val="000000"/>
          <w:kern w:val="2"/>
          <w:sz w:val="28"/>
          <w:szCs w:val="28"/>
          <w:lang w:val="en-US" w:eastAsia="zh-CN" w:bidi="ar-SA"/>
        </w:rPr>
      </w:pPr>
    </w:p>
    <w:p w14:paraId="5A99AECF">
      <w:pPr>
        <w:snapToGrid w:val="0"/>
        <w:spacing w:line="360" w:lineRule="auto"/>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六</w:t>
      </w:r>
      <w:bookmarkStart w:id="0" w:name="_GoBack"/>
      <w:bookmarkEnd w:id="0"/>
      <w:r>
        <w:rPr>
          <w:rFonts w:hint="eastAsia" w:ascii="仿宋_GB2312" w:hAnsi="仿宋_GB2312" w:eastAsia="仿宋_GB2312" w:cs="仿宋_GB2312"/>
          <w:b/>
          <w:bCs/>
          <w:color w:val="000000"/>
          <w:sz w:val="28"/>
          <w:szCs w:val="28"/>
          <w:lang w:val="en-US" w:eastAsia="zh-CN"/>
        </w:rPr>
        <w:t>、编制结论</w:t>
      </w:r>
    </w:p>
    <w:p w14:paraId="59B40E6C">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 xml:space="preserve">本工程控制价为： </w:t>
      </w:r>
    </w:p>
    <w:p w14:paraId="1C679A14">
      <w:pPr>
        <w:snapToGrid w:val="0"/>
        <w:spacing w:line="360" w:lineRule="auto"/>
        <w:ind w:firstLine="560" w:firstLineChars="200"/>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小写: 591019.31元</w:t>
      </w:r>
    </w:p>
    <w:p w14:paraId="74F3EA87">
      <w:pPr>
        <w:snapToGrid w:val="0"/>
        <w:spacing w:line="360" w:lineRule="auto"/>
        <w:ind w:firstLine="560" w:firstLineChars="200"/>
        <w:rPr>
          <w:rFonts w:ascii="宋体" w:hAnsi="宋体" w:eastAsia="宋体" w:cs="宋体"/>
          <w:sz w:val="24"/>
        </w:rPr>
      </w:pPr>
      <w:r>
        <w:rPr>
          <w:rFonts w:hint="eastAsia" w:ascii="仿宋_GB2312" w:hAnsi="仿宋_GB2312" w:eastAsia="仿宋_GB2312" w:cs="仿宋_GB2312"/>
          <w:color w:val="000000"/>
          <w:kern w:val="2"/>
          <w:sz w:val="28"/>
          <w:szCs w:val="28"/>
          <w:lang w:val="en-US" w:eastAsia="zh-CN" w:bidi="ar-SA"/>
        </w:rPr>
        <w:t>大写：伍拾玖万壹仟零壹拾玖元叁角壹分</w:t>
      </w:r>
    </w:p>
    <w:p w14:paraId="46DB9263">
      <w:pPr>
        <w:wordWrap w:val="0"/>
        <w:snapToGrid w:val="0"/>
        <w:spacing w:line="360" w:lineRule="auto"/>
        <w:ind w:firstLine="1920" w:firstLineChars="800"/>
        <w:jc w:val="right"/>
        <w:rPr>
          <w:rFonts w:hint="default" w:ascii="宋体" w:hAnsi="宋体" w:eastAsia="宋体" w:cs="宋体"/>
          <w:sz w:val="24"/>
          <w:lang w:val="en-US" w:eastAsia="zh-CN"/>
        </w:rPr>
      </w:pPr>
      <w:r>
        <w:rPr>
          <w:rFonts w:hint="eastAsia" w:ascii="宋体" w:hAnsi="宋体" w:eastAsia="宋体" w:cs="宋体"/>
          <w:sz w:val="24"/>
          <w:lang w:val="en-US" w:eastAsia="zh-CN"/>
        </w:rPr>
        <w:t xml:space="preserve">  </w:t>
      </w:r>
    </w:p>
    <w:p w14:paraId="32CE1EEA">
      <w:pPr>
        <w:pStyle w:val="4"/>
        <w:ind w:left="480" w:hanging="480"/>
        <w:rPr>
          <w:rFonts w:hint="eastAsia" w:ascii="宋体" w:hAnsi="宋体" w:eastAsia="宋体" w:cs="宋体"/>
          <w:sz w:val="24"/>
          <w:lang w:val="en-US" w:eastAsia="zh-CN"/>
        </w:rPr>
      </w:pPr>
      <w:r>
        <w:rPr>
          <w:rFonts w:hint="eastAsia" w:ascii="宋体" w:hAnsi="宋体" w:eastAsia="宋体" w:cs="宋体"/>
          <w:sz w:val="24"/>
          <w:lang w:val="en-US" w:eastAsia="zh-CN"/>
        </w:rPr>
        <w:t xml:space="preserve">                                                 </w:t>
      </w:r>
    </w:p>
    <w:p w14:paraId="708E7F8A">
      <w:pPr>
        <w:pStyle w:val="4"/>
        <w:ind w:left="480" w:hanging="480"/>
        <w:jc w:val="right"/>
        <w:rPr>
          <w:rFonts w:hint="default" w:ascii="宋体" w:hAnsi="宋体" w:eastAsia="宋体" w:cs="宋体"/>
          <w:sz w:val="24"/>
          <w:lang w:val="en-US" w:eastAsia="zh-CN"/>
        </w:rPr>
      </w:pPr>
      <w:r>
        <w:rPr>
          <w:rFonts w:hint="eastAsia" w:ascii="宋体" w:hAnsi="宋体" w:eastAsia="宋体" w:cs="宋体"/>
          <w:sz w:val="24"/>
          <w:lang w:val="en-US" w:eastAsia="zh-CN"/>
        </w:rPr>
        <w:t>2025年9月26日</w:t>
      </w:r>
    </w:p>
    <w:p w14:paraId="70CD80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2A6E33"/>
    <w:rsid w:val="0A60366D"/>
    <w:rsid w:val="0CCB0493"/>
    <w:rsid w:val="14C8253B"/>
    <w:rsid w:val="1DCA10D2"/>
    <w:rsid w:val="21020B82"/>
    <w:rsid w:val="266B24A0"/>
    <w:rsid w:val="26B11081"/>
    <w:rsid w:val="2C812CBF"/>
    <w:rsid w:val="2D297497"/>
    <w:rsid w:val="2E612625"/>
    <w:rsid w:val="39B966FD"/>
    <w:rsid w:val="3C2F4ACA"/>
    <w:rsid w:val="41232FB4"/>
    <w:rsid w:val="41234BFB"/>
    <w:rsid w:val="4B7A3887"/>
    <w:rsid w:val="5415239F"/>
    <w:rsid w:val="641E0DFC"/>
    <w:rsid w:val="72B43F95"/>
    <w:rsid w:val="79C23DD0"/>
    <w:rsid w:val="7A2A6E33"/>
    <w:rsid w:val="7B09415C"/>
    <w:rsid w:val="7C270F4D"/>
    <w:rsid w:val="7D9F66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envelope return"/>
    <w:basedOn w:val="1"/>
    <w:qFormat/>
    <w:uiPriority w:val="0"/>
    <w:pPr>
      <w:snapToGrid w:val="0"/>
    </w:pPr>
    <w:rPr>
      <w:rFonts w:ascii="Arial" w:hAnsi="Arial"/>
    </w:rPr>
  </w:style>
  <w:style w:type="paragraph" w:styleId="4">
    <w:name w:val="List"/>
    <w:basedOn w:val="1"/>
    <w:unhideWhenUsed/>
    <w:qFormat/>
    <w:uiPriority w:val="0"/>
    <w:pPr>
      <w:ind w:left="200" w:hanging="200" w:hangingChars="200"/>
      <w:contextualSpacing/>
    </w:pPr>
    <w:rPr>
      <w:rFonts w:eastAsia="仿宋_GB2312" w:cs="仿宋_GB2312"/>
      <w:sz w:val="30"/>
      <w:szCs w:val="30"/>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Body Text First Indent 2"/>
    <w:basedOn w:val="2"/>
    <w:next w:val="4"/>
    <w:qFormat/>
    <w:uiPriority w:val="0"/>
    <w:pPr>
      <w:spacing w:line="360" w:lineRule="auto"/>
      <w:ind w:firstLine="200" w:firstLineChars="200"/>
    </w:pPr>
    <w:rPr>
      <w:rFonts w:ascii="宋体"/>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1171</Words>
  <Characters>1240</Characters>
  <Lines>0</Lines>
  <Paragraphs>0</Paragraphs>
  <TotalTime>26</TotalTime>
  <ScaleCrop>false</ScaleCrop>
  <LinksUpToDate>false</LinksUpToDate>
  <CharactersWithSpaces>1298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2025-09-24T03:09:00Z</dcterms:created>
  <dc:creator>许明山</dc:creator>
  <cp:lastModifiedBy>许明山</cp:lastModifiedBy>
  <cp:lastPrinted>2025-09-28T03:06:04Z</cp:lastPrinted>
  <dcterms:modified xsi:type="dcterms:W3CDTF">2025-09-28T03:24:44Z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E6ED767C057B47F496E40DCFA1B717A0_11</vt:lpwstr>
  </property>
  <property fmtid="{D5CDD505-2E9C-101B-9397-08002B2CF9AE}" pid="4" name="KSOTemplateDocerSaveRecord">
    <vt:lpwstr>eyJoZGlkIjoiZjE3MzRjMzY5N2I2YjVmMTdmOGUzNjgzZGFmZTJkZDgiLCJ1c2VySWQiOiIxNTc1NjEyMTEwIn0=</vt:lpwstr>
  </property>
</Properties>
</file>