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7FE73D">
      <w:pPr>
        <w:jc w:val="center"/>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2026年琅琊山森林漂流河道改造项目</w:t>
      </w:r>
    </w:p>
    <w:p w14:paraId="46763F08">
      <w:pPr>
        <w:jc w:val="center"/>
        <w:rPr>
          <w:rFonts w:ascii="仿宋" w:hAnsi="仿宋" w:eastAsia="仿宋" w:cs="仿宋"/>
          <w:b/>
          <w:sz w:val="32"/>
          <w:szCs w:val="32"/>
        </w:rPr>
      </w:pPr>
      <w:r>
        <w:rPr>
          <w:rFonts w:hint="eastAsia" w:ascii="仿宋" w:hAnsi="仿宋" w:eastAsia="仿宋" w:cs="仿宋"/>
          <w:b/>
          <w:bCs/>
          <w:color w:val="000000"/>
          <w:kern w:val="0"/>
          <w:sz w:val="32"/>
          <w:szCs w:val="32"/>
        </w:rPr>
        <w:t>最高投标限价编制说明</w:t>
      </w:r>
    </w:p>
    <w:p w14:paraId="69C0BB8C">
      <w:pPr>
        <w:spacing w:line="360" w:lineRule="auto"/>
        <w:rPr>
          <w:rFonts w:ascii="仿宋" w:hAnsi="仿宋" w:eastAsia="仿宋" w:cs="仿宋"/>
          <w:b/>
          <w:sz w:val="28"/>
          <w:szCs w:val="28"/>
        </w:rPr>
      </w:pPr>
      <w:r>
        <w:rPr>
          <w:rFonts w:hint="eastAsia" w:ascii="仿宋" w:hAnsi="仿宋" w:eastAsia="仿宋" w:cs="仿宋"/>
          <w:b/>
          <w:sz w:val="28"/>
          <w:szCs w:val="28"/>
        </w:rPr>
        <w:t>一、工程概况</w:t>
      </w:r>
    </w:p>
    <w:p w14:paraId="6B87DDDE">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本工程为2026年琅琊山森林漂流河道改造项目。工程主要内容：新建平台，1#-3#坝内侧混凝土找平层，8#-9#坝浆砌石挡墙、鹅卵石铺砌、块石铺砌和河床加高；11#-12#坝浆砌石挡墙、鹅卵石铺砌和块石铺砌。</w:t>
      </w:r>
      <w:r>
        <w:rPr>
          <w:rFonts w:hint="eastAsia" w:ascii="仿宋" w:hAnsi="仿宋" w:eastAsia="仿宋" w:cs="仿宋"/>
          <w:sz w:val="28"/>
          <w:szCs w:val="28"/>
          <w:lang w:val="en-US" w:eastAsia="zh-CN"/>
        </w:rPr>
        <w:t>具体</w:t>
      </w:r>
      <w:r>
        <w:rPr>
          <w:rFonts w:hint="eastAsia" w:ascii="仿宋" w:hAnsi="仿宋" w:eastAsia="仿宋" w:cs="仿宋"/>
          <w:sz w:val="28"/>
          <w:szCs w:val="28"/>
        </w:rPr>
        <w:t>详见招标文件及工程量清单。</w:t>
      </w:r>
    </w:p>
    <w:p w14:paraId="7E8751A8">
      <w:pPr>
        <w:spacing w:line="520" w:lineRule="exact"/>
        <w:rPr>
          <w:rFonts w:ascii="仿宋" w:hAnsi="仿宋" w:eastAsia="仿宋" w:cs="仿宋"/>
          <w:b/>
          <w:bCs/>
          <w:sz w:val="28"/>
          <w:szCs w:val="28"/>
        </w:rPr>
      </w:pPr>
      <w:r>
        <w:rPr>
          <w:rFonts w:hint="eastAsia" w:ascii="仿宋" w:hAnsi="仿宋" w:eastAsia="仿宋" w:cs="仿宋"/>
          <w:b/>
          <w:bCs/>
          <w:sz w:val="28"/>
          <w:szCs w:val="28"/>
        </w:rPr>
        <w:t>二、编制范围</w:t>
      </w:r>
    </w:p>
    <w:p w14:paraId="15A2D047">
      <w:pPr>
        <w:pStyle w:val="18"/>
        <w:widowControl/>
        <w:spacing w:beforeAutospacing="0" w:afterAutospacing="0" w:line="440" w:lineRule="exact"/>
        <w:ind w:firstLine="560" w:firstLineChars="200"/>
        <w:rPr>
          <w:rFonts w:hint="eastAsia" w:ascii="仿宋" w:hAnsi="仿宋" w:eastAsia="仿宋" w:cs="仿宋"/>
          <w:kern w:val="2"/>
          <w:sz w:val="28"/>
          <w:szCs w:val="28"/>
        </w:rPr>
      </w:pPr>
      <w:r>
        <w:rPr>
          <w:rFonts w:hint="eastAsia" w:ascii="仿宋" w:hAnsi="仿宋" w:eastAsia="仿宋" w:cs="仿宋"/>
          <w:kern w:val="2"/>
          <w:sz w:val="28"/>
          <w:szCs w:val="28"/>
        </w:rPr>
        <w:t>编制范围：详见招标文件及工程量清单。</w:t>
      </w:r>
    </w:p>
    <w:p w14:paraId="6413A8B8">
      <w:pPr>
        <w:pStyle w:val="18"/>
        <w:widowControl/>
        <w:spacing w:beforeAutospacing="0" w:afterAutospacing="0" w:line="440" w:lineRule="exact"/>
        <w:rPr>
          <w:rFonts w:ascii="仿宋" w:hAnsi="仿宋" w:eastAsia="仿宋" w:cs="仿宋"/>
          <w:sz w:val="28"/>
          <w:szCs w:val="28"/>
        </w:rPr>
      </w:pPr>
      <w:r>
        <w:rPr>
          <w:rFonts w:hint="eastAsia" w:ascii="仿宋" w:hAnsi="仿宋" w:eastAsia="仿宋" w:cs="仿宋"/>
          <w:b/>
          <w:sz w:val="28"/>
          <w:szCs w:val="28"/>
        </w:rPr>
        <w:t>三、计价依据</w:t>
      </w:r>
      <w:r>
        <w:rPr>
          <w:rFonts w:hint="eastAsia" w:ascii="仿宋" w:hAnsi="仿宋" w:eastAsia="仿宋" w:cs="仿宋"/>
          <w:sz w:val="28"/>
          <w:szCs w:val="28"/>
        </w:rPr>
        <w:t>：</w:t>
      </w:r>
    </w:p>
    <w:p w14:paraId="7A7AF0FF">
      <w:pPr>
        <w:pStyle w:val="18"/>
        <w:widowControl/>
        <w:spacing w:beforeAutospacing="0" w:afterAutospacing="0" w:line="440" w:lineRule="exact"/>
        <w:ind w:firstLine="560" w:firstLineChars="200"/>
        <w:rPr>
          <w:rFonts w:ascii="仿宋" w:hAnsi="仿宋" w:eastAsia="仿宋" w:cs="仿宋"/>
          <w:kern w:val="2"/>
          <w:sz w:val="28"/>
          <w:szCs w:val="28"/>
        </w:rPr>
      </w:pPr>
      <w:r>
        <w:rPr>
          <w:rFonts w:hint="eastAsia" w:ascii="仿宋" w:hAnsi="仿宋" w:eastAsia="仿宋" w:cs="仿宋"/>
          <w:kern w:val="2"/>
          <w:sz w:val="28"/>
          <w:szCs w:val="28"/>
        </w:rPr>
        <w:t>1、依据招标人提供的招标文件、施工方案和本工程招标清单中所有内容；</w:t>
      </w:r>
      <w:bookmarkStart w:id="0" w:name="_GoBack"/>
      <w:bookmarkEnd w:id="0"/>
    </w:p>
    <w:p w14:paraId="481FB564">
      <w:pPr>
        <w:pStyle w:val="18"/>
        <w:widowControl/>
        <w:spacing w:beforeAutospacing="0" w:afterAutospacing="0" w:line="440" w:lineRule="exact"/>
        <w:ind w:firstLine="560" w:firstLineChars="200"/>
        <w:rPr>
          <w:rFonts w:ascii="仿宋" w:hAnsi="仿宋" w:eastAsia="仿宋" w:cs="仿宋"/>
          <w:kern w:val="2"/>
          <w:sz w:val="28"/>
          <w:szCs w:val="28"/>
        </w:rPr>
      </w:pPr>
      <w:r>
        <w:rPr>
          <w:rFonts w:hint="eastAsia" w:ascii="仿宋" w:hAnsi="仿宋" w:eastAsia="仿宋" w:cs="仿宋"/>
          <w:kern w:val="2"/>
          <w:sz w:val="28"/>
          <w:szCs w:val="28"/>
        </w:rPr>
        <w:t>2、《水利建筑工程预算定额》（2024年部颁）；</w:t>
      </w:r>
    </w:p>
    <w:p w14:paraId="345CB087">
      <w:pPr>
        <w:pStyle w:val="18"/>
        <w:widowControl/>
        <w:spacing w:beforeAutospacing="0" w:afterAutospacing="0" w:line="440" w:lineRule="exact"/>
        <w:ind w:firstLine="560" w:firstLineChars="200"/>
        <w:rPr>
          <w:rFonts w:ascii="仿宋" w:hAnsi="仿宋" w:eastAsia="仿宋" w:cs="仿宋"/>
          <w:kern w:val="2"/>
          <w:sz w:val="28"/>
          <w:szCs w:val="28"/>
        </w:rPr>
      </w:pPr>
      <w:r>
        <w:rPr>
          <w:rFonts w:hint="eastAsia" w:ascii="仿宋" w:hAnsi="仿宋" w:eastAsia="仿宋" w:cs="仿宋"/>
          <w:kern w:val="2"/>
          <w:sz w:val="28"/>
          <w:szCs w:val="28"/>
        </w:rPr>
        <w:t>3、《水利工程施工机械台时费定额》（2024年部颁）；</w:t>
      </w:r>
    </w:p>
    <w:p w14:paraId="7BA61CBA">
      <w:pPr>
        <w:pStyle w:val="18"/>
        <w:widowControl/>
        <w:spacing w:beforeAutospacing="0" w:afterAutospacing="0" w:line="440" w:lineRule="exact"/>
        <w:ind w:firstLine="560" w:firstLineChars="200"/>
        <w:rPr>
          <w:rFonts w:ascii="仿宋" w:hAnsi="仿宋" w:eastAsia="仿宋" w:cs="仿宋"/>
          <w:kern w:val="2"/>
          <w:sz w:val="28"/>
          <w:szCs w:val="28"/>
        </w:rPr>
      </w:pPr>
      <w:r>
        <w:rPr>
          <w:rFonts w:hint="eastAsia" w:ascii="仿宋" w:hAnsi="仿宋" w:eastAsia="仿宋" w:cs="仿宋"/>
          <w:kern w:val="2"/>
          <w:sz w:val="28"/>
          <w:szCs w:val="28"/>
        </w:rPr>
        <w:t>4、《水利工程设计概（估）算编制规定》（水利部水总[2024]323号文）；</w:t>
      </w:r>
    </w:p>
    <w:p w14:paraId="0E2ACA3A">
      <w:pPr>
        <w:pStyle w:val="18"/>
        <w:widowControl/>
        <w:spacing w:beforeAutospacing="0" w:afterAutospacing="0" w:line="440" w:lineRule="exact"/>
        <w:ind w:firstLine="560" w:firstLineChars="200"/>
        <w:rPr>
          <w:rFonts w:ascii="仿宋" w:hAnsi="仿宋" w:eastAsia="仿宋" w:cs="仿宋"/>
          <w:kern w:val="2"/>
          <w:sz w:val="28"/>
          <w:szCs w:val="28"/>
        </w:rPr>
      </w:pPr>
      <w:r>
        <w:rPr>
          <w:rFonts w:hint="eastAsia" w:ascii="仿宋" w:hAnsi="仿宋" w:eastAsia="仿宋" w:cs="仿宋"/>
          <w:kern w:val="2"/>
          <w:sz w:val="28"/>
          <w:szCs w:val="28"/>
        </w:rPr>
        <w:t>6、《安徽省水利水电建筑工程预算补充定额》（皖水利厅水建[2008]139号文）；</w:t>
      </w:r>
    </w:p>
    <w:p w14:paraId="22CD95D3">
      <w:pPr>
        <w:pStyle w:val="18"/>
        <w:widowControl/>
        <w:spacing w:beforeAutospacing="0" w:afterAutospacing="0" w:line="440" w:lineRule="exact"/>
        <w:ind w:firstLine="560" w:firstLineChars="200"/>
        <w:rPr>
          <w:rFonts w:ascii="仿宋" w:hAnsi="仿宋" w:eastAsia="仿宋" w:cs="仿宋"/>
          <w:kern w:val="2"/>
          <w:sz w:val="28"/>
          <w:szCs w:val="28"/>
        </w:rPr>
      </w:pPr>
      <w:r>
        <w:rPr>
          <w:rFonts w:hint="eastAsia" w:ascii="仿宋" w:hAnsi="仿宋" w:eastAsia="仿宋" w:cs="仿宋"/>
          <w:kern w:val="2"/>
          <w:sz w:val="28"/>
          <w:szCs w:val="28"/>
        </w:rPr>
        <w:t>9、《安徽省水利水电工程设计概(估)算编制规定》（皖水建函〔2018〕258号文）；</w:t>
      </w:r>
    </w:p>
    <w:p w14:paraId="77C73405">
      <w:pPr>
        <w:pStyle w:val="18"/>
        <w:widowControl/>
        <w:spacing w:beforeAutospacing="0" w:afterAutospacing="0" w:line="440" w:lineRule="exact"/>
        <w:ind w:firstLine="560" w:firstLineChars="200"/>
        <w:rPr>
          <w:rFonts w:ascii="仿宋" w:hAnsi="仿宋" w:eastAsia="仿宋" w:cs="仿宋"/>
          <w:kern w:val="2"/>
          <w:sz w:val="28"/>
          <w:szCs w:val="28"/>
        </w:rPr>
      </w:pPr>
      <w:r>
        <w:rPr>
          <w:rFonts w:hint="eastAsia" w:ascii="仿宋" w:hAnsi="仿宋" w:eastAsia="仿宋" w:cs="仿宋"/>
          <w:kern w:val="2"/>
          <w:sz w:val="28"/>
          <w:szCs w:val="28"/>
        </w:rPr>
        <w:t>10、水利定额无相应子目的项目，借用我省现行有关定额；</w:t>
      </w:r>
    </w:p>
    <w:p w14:paraId="22637390">
      <w:pPr>
        <w:pStyle w:val="18"/>
        <w:widowControl/>
        <w:spacing w:beforeAutospacing="0" w:afterAutospacing="0" w:line="440" w:lineRule="exact"/>
        <w:ind w:firstLine="560" w:firstLineChars="200"/>
        <w:rPr>
          <w:rFonts w:ascii="仿宋" w:hAnsi="仿宋" w:eastAsia="仿宋" w:cs="仿宋"/>
          <w:kern w:val="2"/>
          <w:sz w:val="28"/>
          <w:szCs w:val="28"/>
        </w:rPr>
      </w:pPr>
      <w:r>
        <w:rPr>
          <w:rFonts w:hint="eastAsia" w:ascii="仿宋" w:hAnsi="仿宋" w:eastAsia="仿宋" w:cs="仿宋"/>
          <w:kern w:val="2"/>
          <w:sz w:val="28"/>
          <w:szCs w:val="28"/>
        </w:rPr>
        <w:t>11、省、市截止2026年2月的有关政策性文件；</w:t>
      </w:r>
    </w:p>
    <w:p w14:paraId="6FF16E3A">
      <w:pPr>
        <w:pStyle w:val="18"/>
        <w:widowControl/>
        <w:spacing w:beforeAutospacing="0" w:afterAutospacing="0" w:line="440" w:lineRule="exact"/>
        <w:ind w:firstLine="560" w:firstLineChars="200"/>
        <w:rPr>
          <w:rFonts w:ascii="仿宋" w:hAnsi="仿宋" w:eastAsia="仿宋" w:cs="仿宋"/>
          <w:kern w:val="2"/>
          <w:sz w:val="28"/>
          <w:szCs w:val="28"/>
        </w:rPr>
      </w:pPr>
      <w:r>
        <w:rPr>
          <w:rFonts w:hint="eastAsia" w:ascii="仿宋" w:hAnsi="仿宋" w:eastAsia="仿宋" w:cs="仿宋"/>
          <w:kern w:val="2"/>
          <w:sz w:val="28"/>
          <w:szCs w:val="28"/>
        </w:rPr>
        <w:t>12、本工程招标文件及国家现行相关规定；</w:t>
      </w:r>
    </w:p>
    <w:p w14:paraId="1D49F0DC">
      <w:pPr>
        <w:pStyle w:val="18"/>
        <w:widowControl/>
        <w:spacing w:beforeAutospacing="0" w:afterAutospacing="0" w:line="440" w:lineRule="exact"/>
        <w:ind w:firstLine="560" w:firstLineChars="200"/>
        <w:rPr>
          <w:rFonts w:ascii="仿宋" w:hAnsi="仿宋" w:eastAsia="仿宋" w:cs="仿宋"/>
          <w:kern w:val="2"/>
          <w:sz w:val="28"/>
          <w:szCs w:val="28"/>
        </w:rPr>
      </w:pPr>
      <w:r>
        <w:rPr>
          <w:rFonts w:hint="eastAsia" w:ascii="仿宋" w:hAnsi="仿宋" w:eastAsia="仿宋" w:cs="仿宋"/>
          <w:kern w:val="2"/>
          <w:sz w:val="28"/>
          <w:szCs w:val="28"/>
        </w:rPr>
        <w:t>13、税金：《关于调整我省现行建设工程计价依据增值税税率的通知》（皖水建〔2019〕470号文）规定，增值税税率为9%；</w:t>
      </w:r>
    </w:p>
    <w:p w14:paraId="10554A70">
      <w:pPr>
        <w:pStyle w:val="18"/>
        <w:widowControl/>
        <w:spacing w:beforeAutospacing="0" w:afterAutospacing="0" w:line="440" w:lineRule="exact"/>
        <w:ind w:left="479" w:leftChars="228"/>
        <w:rPr>
          <w:rFonts w:ascii="仿宋" w:hAnsi="仿宋" w:eastAsia="仿宋" w:cs="仿宋"/>
          <w:kern w:val="2"/>
          <w:sz w:val="28"/>
          <w:szCs w:val="28"/>
        </w:rPr>
      </w:pPr>
      <w:r>
        <w:rPr>
          <w:rFonts w:hint="eastAsia" w:ascii="仿宋" w:hAnsi="仿宋" w:eastAsia="仿宋" w:cs="仿宋"/>
          <w:kern w:val="2"/>
          <w:sz w:val="28"/>
          <w:szCs w:val="28"/>
        </w:rPr>
        <w:t>14、材料价格：2026年第2期滁州信息价（不含税价格），信息价没有的材料按照市场询价列入，并经建设单位确认；</w:t>
      </w:r>
    </w:p>
    <w:p w14:paraId="23CCB0E2">
      <w:pPr>
        <w:pStyle w:val="18"/>
        <w:widowControl/>
        <w:spacing w:beforeAutospacing="0" w:afterAutospacing="0" w:line="440" w:lineRule="exact"/>
        <w:ind w:left="479" w:leftChars="228"/>
        <w:rPr>
          <w:rFonts w:ascii="仿宋" w:hAnsi="仿宋" w:eastAsia="仿宋" w:cs="仿宋"/>
          <w:kern w:val="2"/>
          <w:sz w:val="28"/>
          <w:szCs w:val="28"/>
        </w:rPr>
      </w:pPr>
      <w:r>
        <w:rPr>
          <w:rFonts w:hint="eastAsia" w:ascii="仿宋" w:hAnsi="仿宋" w:eastAsia="仿宋" w:cs="仿宋"/>
          <w:kern w:val="2"/>
          <w:sz w:val="28"/>
          <w:szCs w:val="28"/>
        </w:rPr>
        <w:t>15、人工单价根据《水利工程设计概（估）算编制规定》中人工预算单价分别为工长30.05元/工时、高级工13.84元/工时、中级工11.17元/工时、初级工10.40元/工时；</w:t>
      </w:r>
    </w:p>
    <w:p w14:paraId="4EFEFE49">
      <w:pPr>
        <w:pStyle w:val="18"/>
        <w:widowControl/>
        <w:spacing w:beforeAutospacing="0" w:afterAutospacing="0" w:line="440" w:lineRule="exact"/>
        <w:ind w:left="479" w:leftChars="228"/>
        <w:rPr>
          <w:rFonts w:ascii="仿宋" w:hAnsi="仿宋" w:eastAsia="仿宋" w:cs="仿宋"/>
          <w:kern w:val="2"/>
          <w:sz w:val="28"/>
          <w:szCs w:val="28"/>
        </w:rPr>
      </w:pPr>
      <w:r>
        <w:rPr>
          <w:rFonts w:hint="eastAsia" w:ascii="仿宋" w:hAnsi="仿宋" w:eastAsia="仿宋" w:cs="仿宋"/>
          <w:kern w:val="2"/>
          <w:sz w:val="28"/>
          <w:szCs w:val="28"/>
        </w:rPr>
        <w:t>16、机械费：按《水利工程施工机械台时费定额》（2024年）计算台班费，其中机械动力用电、油料均按信息价进行调整。</w:t>
      </w:r>
    </w:p>
    <w:p w14:paraId="13614398">
      <w:pPr>
        <w:pStyle w:val="18"/>
        <w:widowControl/>
        <w:spacing w:beforeAutospacing="0" w:afterAutospacing="0" w:line="440" w:lineRule="exact"/>
        <w:ind w:left="479" w:leftChars="228"/>
        <w:rPr>
          <w:rFonts w:ascii="仿宋" w:hAnsi="仿宋" w:eastAsia="仿宋" w:cs="仿宋"/>
          <w:kern w:val="2"/>
          <w:sz w:val="28"/>
          <w:szCs w:val="28"/>
        </w:rPr>
      </w:pPr>
      <w:r>
        <w:rPr>
          <w:rFonts w:hint="eastAsia" w:ascii="仿宋" w:hAnsi="仿宋" w:eastAsia="仿宋" w:cs="仿宋"/>
          <w:kern w:val="2"/>
          <w:sz w:val="28"/>
          <w:szCs w:val="28"/>
        </w:rPr>
        <w:t>17、 临时工程按建安费的1.</w:t>
      </w:r>
      <w:r>
        <w:rPr>
          <w:rFonts w:hint="eastAsia" w:ascii="仿宋" w:hAnsi="仿宋" w:eastAsia="仿宋" w:cs="仿宋"/>
          <w:kern w:val="2"/>
          <w:sz w:val="28"/>
          <w:szCs w:val="28"/>
          <w:lang w:val="en-US" w:eastAsia="zh-CN"/>
        </w:rPr>
        <w:t>0</w:t>
      </w:r>
      <w:r>
        <w:rPr>
          <w:rFonts w:hint="eastAsia" w:ascii="仿宋" w:hAnsi="仿宋" w:eastAsia="仿宋" w:cs="仿宋"/>
          <w:kern w:val="2"/>
          <w:sz w:val="28"/>
          <w:szCs w:val="28"/>
        </w:rPr>
        <w:t>%编列，安全文明措施费按建安费的2.5%编列。</w:t>
      </w:r>
    </w:p>
    <w:p w14:paraId="530BAF6B">
      <w:pPr>
        <w:spacing w:line="440" w:lineRule="exact"/>
        <w:rPr>
          <w:rFonts w:ascii="仿宋" w:hAnsi="仿宋" w:eastAsia="仿宋" w:cs="仿宋"/>
          <w:sz w:val="28"/>
          <w:szCs w:val="28"/>
        </w:rPr>
      </w:pPr>
      <w:r>
        <w:rPr>
          <w:rFonts w:hint="eastAsia" w:ascii="仿宋" w:hAnsi="仿宋" w:eastAsia="仿宋" w:cs="仿宋"/>
          <w:b/>
          <w:bCs/>
          <w:sz w:val="28"/>
          <w:szCs w:val="28"/>
        </w:rPr>
        <w:t>四、工程质量</w:t>
      </w:r>
      <w:r>
        <w:rPr>
          <w:rFonts w:hint="eastAsia" w:ascii="仿宋" w:hAnsi="仿宋" w:eastAsia="仿宋" w:cs="仿宋"/>
          <w:b/>
          <w:sz w:val="28"/>
          <w:szCs w:val="28"/>
        </w:rPr>
        <w:t>：</w:t>
      </w:r>
      <w:r>
        <w:rPr>
          <w:rFonts w:hint="eastAsia" w:ascii="仿宋" w:hAnsi="仿宋" w:eastAsia="仿宋" w:cs="仿宋"/>
          <w:sz w:val="28"/>
          <w:szCs w:val="28"/>
        </w:rPr>
        <w:t>符合验收合格标准。</w:t>
      </w:r>
    </w:p>
    <w:p w14:paraId="66163E3E">
      <w:pPr>
        <w:spacing w:line="520" w:lineRule="exact"/>
        <w:rPr>
          <w:rFonts w:ascii="仿宋" w:hAnsi="仿宋" w:eastAsia="仿宋" w:cs="仿宋"/>
          <w:b/>
          <w:bCs/>
          <w:sz w:val="28"/>
          <w:szCs w:val="28"/>
        </w:rPr>
      </w:pPr>
      <w:r>
        <w:rPr>
          <w:rFonts w:hint="eastAsia" w:ascii="仿宋" w:hAnsi="仿宋" w:eastAsia="仿宋" w:cs="仿宋"/>
          <w:b/>
          <w:bCs/>
          <w:sz w:val="28"/>
          <w:szCs w:val="28"/>
        </w:rPr>
        <w:t>五、其他说明</w:t>
      </w:r>
    </w:p>
    <w:p w14:paraId="68436F85">
      <w:pPr>
        <w:pStyle w:val="18"/>
        <w:widowControl/>
        <w:numPr>
          <w:ilvl w:val="0"/>
          <w:numId w:val="1"/>
        </w:numPr>
        <w:spacing w:beforeAutospacing="0" w:afterAutospacing="0" w:line="440" w:lineRule="exact"/>
        <w:ind w:firstLine="560" w:firstLineChars="200"/>
        <w:rPr>
          <w:rFonts w:ascii="仿宋" w:hAnsi="仿宋" w:eastAsia="仿宋" w:cs="仿宋"/>
          <w:kern w:val="2"/>
          <w:sz w:val="28"/>
          <w:szCs w:val="28"/>
        </w:rPr>
      </w:pPr>
      <w:r>
        <w:rPr>
          <w:rFonts w:hint="eastAsia" w:ascii="仿宋" w:hAnsi="仿宋" w:eastAsia="仿宋" w:cs="仿宋"/>
          <w:kern w:val="2"/>
          <w:sz w:val="28"/>
          <w:szCs w:val="28"/>
        </w:rPr>
        <w:t>本工程混凝土采用商品混凝土；</w:t>
      </w:r>
    </w:p>
    <w:p w14:paraId="2D89FA1D">
      <w:pPr>
        <w:pStyle w:val="18"/>
        <w:widowControl/>
        <w:numPr>
          <w:ilvl w:val="0"/>
          <w:numId w:val="1"/>
        </w:numPr>
        <w:spacing w:beforeAutospacing="0" w:afterAutospacing="0" w:line="440" w:lineRule="exact"/>
        <w:ind w:firstLine="560" w:firstLineChars="200"/>
        <w:rPr>
          <w:rFonts w:ascii="仿宋" w:hAnsi="仿宋" w:eastAsia="仿宋" w:cs="仿宋"/>
          <w:kern w:val="2"/>
          <w:sz w:val="28"/>
          <w:szCs w:val="28"/>
        </w:rPr>
      </w:pPr>
      <w:r>
        <w:rPr>
          <w:rFonts w:hint="eastAsia" w:ascii="仿宋" w:hAnsi="仿宋" w:eastAsia="仿宋" w:cs="仿宋"/>
          <w:kern w:val="2"/>
          <w:sz w:val="28"/>
          <w:szCs w:val="28"/>
        </w:rPr>
        <w:t>本工程所有材料的二次转运费用，由投标人自行勘察现场，在投标报价中自行考虑；</w:t>
      </w:r>
    </w:p>
    <w:p w14:paraId="3B56C8B7">
      <w:pPr>
        <w:pStyle w:val="18"/>
        <w:widowControl/>
        <w:numPr>
          <w:ilvl w:val="0"/>
          <w:numId w:val="1"/>
        </w:numPr>
        <w:spacing w:beforeAutospacing="0" w:afterAutospacing="0" w:line="440" w:lineRule="exact"/>
        <w:ind w:firstLine="560" w:firstLineChars="200"/>
        <w:rPr>
          <w:rFonts w:ascii="仿宋" w:hAnsi="仿宋" w:eastAsia="仿宋" w:cs="仿宋"/>
          <w:kern w:val="2"/>
          <w:sz w:val="28"/>
          <w:szCs w:val="28"/>
        </w:rPr>
      </w:pPr>
      <w:r>
        <w:rPr>
          <w:rFonts w:hint="eastAsia" w:ascii="仿宋" w:hAnsi="仿宋" w:eastAsia="仿宋" w:cs="仿宋"/>
          <w:kern w:val="2"/>
          <w:sz w:val="28"/>
          <w:szCs w:val="28"/>
        </w:rPr>
        <w:t>本工程基坑和沟槽开挖石方可利用的需现场利用。不可利用的多余石方就近填埋整平，单价包含在挖石方单价中考虑。投标人自行勘察现场，合理报价，中标后不予调整；</w:t>
      </w:r>
    </w:p>
    <w:p w14:paraId="5F34A08A">
      <w:pPr>
        <w:pStyle w:val="18"/>
        <w:widowControl/>
        <w:numPr>
          <w:ilvl w:val="0"/>
          <w:numId w:val="1"/>
        </w:numPr>
        <w:spacing w:beforeAutospacing="0" w:afterAutospacing="0" w:line="440" w:lineRule="exact"/>
        <w:ind w:firstLine="560" w:firstLineChars="200"/>
        <w:rPr>
          <w:rFonts w:hint="eastAsia" w:ascii="仿宋" w:hAnsi="仿宋" w:eastAsia="仿宋" w:cs="仿宋"/>
          <w:kern w:val="2"/>
          <w:sz w:val="28"/>
          <w:szCs w:val="28"/>
        </w:rPr>
      </w:pPr>
      <w:r>
        <w:rPr>
          <w:rFonts w:hint="eastAsia" w:ascii="仿宋" w:hAnsi="仿宋" w:eastAsia="仿宋" w:cs="仿宋"/>
          <w:kern w:val="2"/>
          <w:sz w:val="28"/>
          <w:szCs w:val="28"/>
        </w:rPr>
        <w:t>挖淤泥包含运输和弃置整平。土方填筑的土源费用、开挖费用、运输费用、压实费用投标人组价时自行综合考虑在报价中。请投标人自行勘察现场，合理报价，中标后不予调整；</w:t>
      </w:r>
    </w:p>
    <w:p w14:paraId="32964880">
      <w:pPr>
        <w:pStyle w:val="18"/>
        <w:widowControl/>
        <w:numPr>
          <w:ilvl w:val="0"/>
          <w:numId w:val="1"/>
        </w:numPr>
        <w:spacing w:beforeAutospacing="0" w:afterAutospacing="0" w:line="440" w:lineRule="exact"/>
        <w:ind w:firstLine="560" w:firstLineChars="200"/>
        <w:rPr>
          <w:rFonts w:ascii="仿宋" w:hAnsi="仿宋" w:eastAsia="仿宋" w:cs="仿宋"/>
          <w:kern w:val="2"/>
          <w:sz w:val="28"/>
          <w:szCs w:val="28"/>
        </w:rPr>
      </w:pPr>
      <w:r>
        <w:rPr>
          <w:rFonts w:hint="eastAsia" w:ascii="仿宋" w:hAnsi="仿宋" w:eastAsia="仿宋" w:cs="仿宋"/>
          <w:kern w:val="2"/>
          <w:sz w:val="28"/>
          <w:szCs w:val="28"/>
        </w:rPr>
        <w:t>浆砌石挡墙单价包含缩缝、胀缝的费用，投标人自行勘察现场，合理报价，中标后不予调整；</w:t>
      </w:r>
    </w:p>
    <w:p w14:paraId="65AFA9E3">
      <w:pPr>
        <w:pStyle w:val="18"/>
        <w:widowControl/>
        <w:numPr>
          <w:ilvl w:val="0"/>
          <w:numId w:val="1"/>
        </w:numPr>
        <w:spacing w:beforeAutospacing="0" w:afterAutospacing="0" w:line="440" w:lineRule="exact"/>
        <w:ind w:firstLine="560" w:firstLineChars="200"/>
        <w:rPr>
          <w:rFonts w:ascii="仿宋" w:hAnsi="仿宋" w:eastAsia="仿宋" w:cs="仿宋"/>
          <w:kern w:val="2"/>
          <w:sz w:val="28"/>
          <w:szCs w:val="28"/>
        </w:rPr>
      </w:pPr>
      <w:r>
        <w:rPr>
          <w:rFonts w:hint="eastAsia" w:ascii="仿宋" w:hAnsi="仿宋" w:eastAsia="仿宋" w:cs="仿宋"/>
          <w:kern w:val="2"/>
          <w:sz w:val="28"/>
          <w:szCs w:val="28"/>
        </w:rPr>
        <w:t>临时工程：临时工程系为完成实体工程而采取的各项临时工程及措施所发生的费用，包括但不限于：工程环境清理；清杂清树与清表；施工验收测量；施工排水；施工道路；施工临时设施；施工临时用水；用电及铺设、架设；脚手架；材料场内外二次搬运；施工机械进出场；工程环境整理等各项，由投标人综合考虑报价，实行总价承包；</w:t>
      </w:r>
    </w:p>
    <w:p w14:paraId="68D5EA46">
      <w:pPr>
        <w:pStyle w:val="18"/>
        <w:widowControl/>
        <w:numPr>
          <w:ilvl w:val="0"/>
          <w:numId w:val="1"/>
        </w:numPr>
        <w:spacing w:beforeAutospacing="0" w:afterAutospacing="0" w:line="440" w:lineRule="exact"/>
        <w:ind w:firstLine="560" w:firstLineChars="200"/>
        <w:rPr>
          <w:rFonts w:ascii="仿宋" w:hAnsi="仿宋" w:eastAsia="仿宋" w:cs="仿宋"/>
          <w:kern w:val="2"/>
          <w:sz w:val="28"/>
          <w:szCs w:val="28"/>
        </w:rPr>
      </w:pPr>
      <w:r>
        <w:rPr>
          <w:rFonts w:hint="eastAsia" w:ascii="仿宋" w:hAnsi="仿宋" w:eastAsia="仿宋" w:cs="仿宋"/>
          <w:kern w:val="2"/>
          <w:sz w:val="28"/>
          <w:szCs w:val="28"/>
        </w:rPr>
        <w:t>工程量清单列出的每个项目已包括涉及与该细目有关的全部工程内容，投标人应将工程量清单与招标文件、合同通用条款、专用条款以及技术规范和图纸一起对照阅读。</w:t>
      </w:r>
    </w:p>
    <w:p w14:paraId="70711130">
      <w:pPr>
        <w:spacing w:line="360" w:lineRule="auto"/>
        <w:rPr>
          <w:rFonts w:ascii="仿宋" w:hAnsi="仿宋" w:eastAsia="仿宋" w:cs="仿宋"/>
          <w:b/>
          <w:bCs/>
          <w:sz w:val="28"/>
          <w:szCs w:val="28"/>
        </w:rPr>
      </w:pPr>
      <w:r>
        <w:rPr>
          <w:rFonts w:hint="eastAsia" w:ascii="仿宋" w:hAnsi="仿宋" w:eastAsia="仿宋" w:cs="仿宋"/>
          <w:b/>
          <w:bCs/>
          <w:sz w:val="28"/>
          <w:szCs w:val="28"/>
        </w:rPr>
        <w:t>六、暂列金额及专业工程暂估价</w:t>
      </w:r>
    </w:p>
    <w:p w14:paraId="6AEAE498">
      <w:pPr>
        <w:pStyle w:val="2"/>
        <w:ind w:firstLine="0" w:firstLineChars="0"/>
        <w:rPr>
          <w:rFonts w:ascii="仿宋" w:hAnsi="仿宋" w:eastAsia="仿宋" w:cs="仿宋"/>
          <w:sz w:val="28"/>
          <w:szCs w:val="28"/>
        </w:rPr>
      </w:pPr>
      <w:r>
        <w:rPr>
          <w:rFonts w:hint="eastAsia" w:ascii="仿宋" w:hAnsi="仿宋" w:eastAsia="仿宋" w:cs="仿宋"/>
          <w:sz w:val="28"/>
          <w:szCs w:val="28"/>
        </w:rPr>
        <w:t>无</w:t>
      </w:r>
    </w:p>
    <w:p w14:paraId="22BFF2B2">
      <w:pPr>
        <w:spacing w:line="360" w:lineRule="auto"/>
        <w:rPr>
          <w:rFonts w:ascii="仿宋" w:hAnsi="仿宋" w:eastAsia="仿宋" w:cs="仿宋"/>
          <w:b/>
          <w:bCs/>
          <w:sz w:val="28"/>
          <w:szCs w:val="28"/>
        </w:rPr>
      </w:pPr>
      <w:r>
        <w:rPr>
          <w:rFonts w:hint="eastAsia" w:ascii="仿宋" w:hAnsi="仿宋" w:eastAsia="仿宋" w:cs="仿宋"/>
          <w:b/>
          <w:bCs/>
          <w:sz w:val="28"/>
          <w:szCs w:val="28"/>
        </w:rPr>
        <w:t>七、编制结论</w:t>
      </w:r>
    </w:p>
    <w:p w14:paraId="771A6D22">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最高投标限价小写：578669.61元</w:t>
      </w:r>
    </w:p>
    <w:p w14:paraId="03CF1B18">
      <w:pPr>
        <w:spacing w:line="360" w:lineRule="auto"/>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rPr>
        <w:t>大写：</w:t>
      </w:r>
      <w:r>
        <w:rPr>
          <w:rFonts w:hint="eastAsia" w:ascii="仿宋" w:hAnsi="仿宋" w:eastAsia="仿宋" w:cs="仿宋"/>
          <w:sz w:val="28"/>
          <w:szCs w:val="28"/>
          <w:lang w:val="en-US" w:eastAsia="zh-CN"/>
        </w:rPr>
        <w:t>伍拾柒万捌仟陆佰陆拾玖元陆角壹分</w:t>
      </w:r>
    </w:p>
    <w:p w14:paraId="0479A49F">
      <w:pPr>
        <w:pStyle w:val="2"/>
        <w:ind w:firstLine="560"/>
        <w:rPr>
          <w:rFonts w:ascii="仿宋" w:hAnsi="仿宋" w:eastAsia="仿宋" w:cs="仿宋"/>
          <w:sz w:val="28"/>
          <w:szCs w:val="28"/>
        </w:rPr>
      </w:pPr>
    </w:p>
    <w:p w14:paraId="1606DAF8">
      <w:pPr>
        <w:pStyle w:val="2"/>
        <w:ind w:firstLine="560"/>
        <w:rPr>
          <w:rFonts w:ascii="仿宋" w:hAnsi="仿宋" w:eastAsia="仿宋" w:cs="仿宋"/>
          <w:sz w:val="28"/>
          <w:szCs w:val="28"/>
        </w:rPr>
      </w:pPr>
    </w:p>
    <w:p w14:paraId="71E6F005">
      <w:pPr>
        <w:pStyle w:val="2"/>
        <w:ind w:firstLine="560"/>
        <w:rPr>
          <w:rFonts w:ascii="仿宋" w:hAnsi="仿宋" w:eastAsia="仿宋" w:cs="仿宋"/>
          <w:sz w:val="28"/>
          <w:szCs w:val="28"/>
        </w:rPr>
      </w:pPr>
    </w:p>
    <w:p w14:paraId="21C9F7EE">
      <w:pPr>
        <w:pStyle w:val="2"/>
        <w:ind w:firstLine="560"/>
        <w:rPr>
          <w:rFonts w:ascii="仿宋" w:hAnsi="仿宋" w:eastAsia="仿宋" w:cs="仿宋"/>
          <w:sz w:val="28"/>
          <w:szCs w:val="28"/>
        </w:rPr>
      </w:pPr>
    </w:p>
    <w:p w14:paraId="39EBC05A">
      <w:pPr>
        <w:pStyle w:val="2"/>
        <w:ind w:firstLine="560"/>
        <w:rPr>
          <w:rFonts w:ascii="仿宋" w:hAnsi="仿宋" w:eastAsia="仿宋" w:cs="仿宋"/>
          <w:sz w:val="28"/>
          <w:szCs w:val="28"/>
        </w:rPr>
      </w:pPr>
    </w:p>
    <w:p w14:paraId="341FE0B6">
      <w:pPr>
        <w:pStyle w:val="2"/>
        <w:ind w:firstLine="560"/>
        <w:rPr>
          <w:rFonts w:ascii="仿宋" w:hAnsi="仿宋" w:eastAsia="仿宋" w:cs="仿宋"/>
          <w:sz w:val="28"/>
          <w:szCs w:val="28"/>
        </w:rPr>
      </w:pPr>
    </w:p>
    <w:p w14:paraId="2DD4B8F2">
      <w:pPr>
        <w:pStyle w:val="2"/>
        <w:ind w:firstLine="0" w:firstLineChars="0"/>
        <w:rPr>
          <w:rFonts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90D1CF"/>
    <w:multiLevelType w:val="singleLevel"/>
    <w:tmpl w:val="0490D1C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JmYjllZGY4NTQ3OTIwYTdjYzMyNzNjNWJmYWJlMmYifQ=="/>
  </w:docVars>
  <w:rsids>
    <w:rsidRoot w:val="00912A44"/>
    <w:rsid w:val="000573A6"/>
    <w:rsid w:val="000D36D8"/>
    <w:rsid w:val="00101EB3"/>
    <w:rsid w:val="00237C18"/>
    <w:rsid w:val="004500C1"/>
    <w:rsid w:val="004C32E4"/>
    <w:rsid w:val="00620BE2"/>
    <w:rsid w:val="007A471C"/>
    <w:rsid w:val="00821A4E"/>
    <w:rsid w:val="00912A44"/>
    <w:rsid w:val="009C1456"/>
    <w:rsid w:val="009C2934"/>
    <w:rsid w:val="00A42966"/>
    <w:rsid w:val="00A476F5"/>
    <w:rsid w:val="00AF1115"/>
    <w:rsid w:val="00B765B2"/>
    <w:rsid w:val="00C41684"/>
    <w:rsid w:val="00C46D72"/>
    <w:rsid w:val="00E132E5"/>
    <w:rsid w:val="00E97B44"/>
    <w:rsid w:val="00ED1E53"/>
    <w:rsid w:val="00F34D82"/>
    <w:rsid w:val="014B43B5"/>
    <w:rsid w:val="014E39FC"/>
    <w:rsid w:val="025D08EA"/>
    <w:rsid w:val="025F5E6B"/>
    <w:rsid w:val="02BE65C6"/>
    <w:rsid w:val="02E031C7"/>
    <w:rsid w:val="04233EDB"/>
    <w:rsid w:val="048C2CF2"/>
    <w:rsid w:val="04E96791"/>
    <w:rsid w:val="04F74542"/>
    <w:rsid w:val="04F9596A"/>
    <w:rsid w:val="051A04B6"/>
    <w:rsid w:val="0558691B"/>
    <w:rsid w:val="057534A8"/>
    <w:rsid w:val="05A866A1"/>
    <w:rsid w:val="05C17B8C"/>
    <w:rsid w:val="062F6EE0"/>
    <w:rsid w:val="06595702"/>
    <w:rsid w:val="068024A2"/>
    <w:rsid w:val="06B74EC6"/>
    <w:rsid w:val="08530BE8"/>
    <w:rsid w:val="08D367E1"/>
    <w:rsid w:val="08F655F4"/>
    <w:rsid w:val="091A7535"/>
    <w:rsid w:val="0B052B16"/>
    <w:rsid w:val="0B0E45DB"/>
    <w:rsid w:val="0B70168E"/>
    <w:rsid w:val="0B93580C"/>
    <w:rsid w:val="0BBC2A21"/>
    <w:rsid w:val="0BC66564"/>
    <w:rsid w:val="0C1D5606"/>
    <w:rsid w:val="0C3954D4"/>
    <w:rsid w:val="0C420457"/>
    <w:rsid w:val="0C6E2D49"/>
    <w:rsid w:val="0CEE31B2"/>
    <w:rsid w:val="0D2E3E1D"/>
    <w:rsid w:val="0D364D6D"/>
    <w:rsid w:val="0D365F0E"/>
    <w:rsid w:val="0D4C13CD"/>
    <w:rsid w:val="0D6D02CB"/>
    <w:rsid w:val="0DBA3AA3"/>
    <w:rsid w:val="0DE95727"/>
    <w:rsid w:val="0FAB7138"/>
    <w:rsid w:val="0FF95498"/>
    <w:rsid w:val="10730933"/>
    <w:rsid w:val="10935DBD"/>
    <w:rsid w:val="10BA5B9A"/>
    <w:rsid w:val="10C502F0"/>
    <w:rsid w:val="10FD06A8"/>
    <w:rsid w:val="115F6265"/>
    <w:rsid w:val="11C72224"/>
    <w:rsid w:val="12867F26"/>
    <w:rsid w:val="12D81AC0"/>
    <w:rsid w:val="12E00C08"/>
    <w:rsid w:val="133B7529"/>
    <w:rsid w:val="135F135C"/>
    <w:rsid w:val="13C609E5"/>
    <w:rsid w:val="14CB3884"/>
    <w:rsid w:val="14ED6343"/>
    <w:rsid w:val="15AF7016"/>
    <w:rsid w:val="16C00142"/>
    <w:rsid w:val="173C4B5D"/>
    <w:rsid w:val="176E1DD2"/>
    <w:rsid w:val="18786C87"/>
    <w:rsid w:val="19286289"/>
    <w:rsid w:val="19C07C84"/>
    <w:rsid w:val="1A421E7E"/>
    <w:rsid w:val="1AB22AC3"/>
    <w:rsid w:val="1AC669C5"/>
    <w:rsid w:val="1B883BFA"/>
    <w:rsid w:val="1BB01061"/>
    <w:rsid w:val="1BCC3B0F"/>
    <w:rsid w:val="1C477E92"/>
    <w:rsid w:val="1C9C6787"/>
    <w:rsid w:val="1CAE03F7"/>
    <w:rsid w:val="1CE61C7E"/>
    <w:rsid w:val="1D101863"/>
    <w:rsid w:val="1D786740"/>
    <w:rsid w:val="1E016059"/>
    <w:rsid w:val="1E084E51"/>
    <w:rsid w:val="1E671D89"/>
    <w:rsid w:val="1E6A6411"/>
    <w:rsid w:val="1F46413A"/>
    <w:rsid w:val="20170D02"/>
    <w:rsid w:val="214712D7"/>
    <w:rsid w:val="216158DD"/>
    <w:rsid w:val="216362E4"/>
    <w:rsid w:val="21986940"/>
    <w:rsid w:val="21F55869"/>
    <w:rsid w:val="222F7FAB"/>
    <w:rsid w:val="22490ADA"/>
    <w:rsid w:val="22C92A69"/>
    <w:rsid w:val="22D81928"/>
    <w:rsid w:val="22D94C19"/>
    <w:rsid w:val="230D426F"/>
    <w:rsid w:val="23433B63"/>
    <w:rsid w:val="239879A2"/>
    <w:rsid w:val="239D364B"/>
    <w:rsid w:val="23A36468"/>
    <w:rsid w:val="23A74B25"/>
    <w:rsid w:val="23F40B03"/>
    <w:rsid w:val="241000D8"/>
    <w:rsid w:val="251139F5"/>
    <w:rsid w:val="252C2672"/>
    <w:rsid w:val="26A14D0A"/>
    <w:rsid w:val="26F13F98"/>
    <w:rsid w:val="27586F25"/>
    <w:rsid w:val="28766E96"/>
    <w:rsid w:val="28883872"/>
    <w:rsid w:val="28B766F6"/>
    <w:rsid w:val="2987267E"/>
    <w:rsid w:val="299B081E"/>
    <w:rsid w:val="2A010115"/>
    <w:rsid w:val="2AC4222E"/>
    <w:rsid w:val="2B052A81"/>
    <w:rsid w:val="2B150A38"/>
    <w:rsid w:val="2BC36CD5"/>
    <w:rsid w:val="2BFD0848"/>
    <w:rsid w:val="2C6A4377"/>
    <w:rsid w:val="2D577CE8"/>
    <w:rsid w:val="2D7E28F3"/>
    <w:rsid w:val="2D935407"/>
    <w:rsid w:val="2EB84112"/>
    <w:rsid w:val="2ECC5699"/>
    <w:rsid w:val="2FC531EA"/>
    <w:rsid w:val="2FFB15BE"/>
    <w:rsid w:val="310B51BE"/>
    <w:rsid w:val="31101099"/>
    <w:rsid w:val="31972760"/>
    <w:rsid w:val="31DE5646"/>
    <w:rsid w:val="322A618B"/>
    <w:rsid w:val="32494CEE"/>
    <w:rsid w:val="32872256"/>
    <w:rsid w:val="344F20D8"/>
    <w:rsid w:val="34991A91"/>
    <w:rsid w:val="3589141A"/>
    <w:rsid w:val="362A3F38"/>
    <w:rsid w:val="365A504C"/>
    <w:rsid w:val="368D0A96"/>
    <w:rsid w:val="37A524F8"/>
    <w:rsid w:val="37DD4F09"/>
    <w:rsid w:val="38145103"/>
    <w:rsid w:val="393D312C"/>
    <w:rsid w:val="3A570EEA"/>
    <w:rsid w:val="3A85157A"/>
    <w:rsid w:val="3AE3016D"/>
    <w:rsid w:val="3AFE5F43"/>
    <w:rsid w:val="3B1F10FB"/>
    <w:rsid w:val="3B8A44AF"/>
    <w:rsid w:val="3C3D7AFF"/>
    <w:rsid w:val="3CA53FC3"/>
    <w:rsid w:val="3DA65E28"/>
    <w:rsid w:val="3E7C6B8A"/>
    <w:rsid w:val="405E4C20"/>
    <w:rsid w:val="40713985"/>
    <w:rsid w:val="40D32442"/>
    <w:rsid w:val="415C5B72"/>
    <w:rsid w:val="42002CDB"/>
    <w:rsid w:val="423D7815"/>
    <w:rsid w:val="432D2338"/>
    <w:rsid w:val="441659FF"/>
    <w:rsid w:val="443E6856"/>
    <w:rsid w:val="44650273"/>
    <w:rsid w:val="4497183B"/>
    <w:rsid w:val="44C52EFC"/>
    <w:rsid w:val="45B20A8F"/>
    <w:rsid w:val="45ED22C5"/>
    <w:rsid w:val="46D6662A"/>
    <w:rsid w:val="490307A7"/>
    <w:rsid w:val="49A865D3"/>
    <w:rsid w:val="4ADF295B"/>
    <w:rsid w:val="4AE86F32"/>
    <w:rsid w:val="4B3724BB"/>
    <w:rsid w:val="4B80075D"/>
    <w:rsid w:val="4BFB532D"/>
    <w:rsid w:val="4D072910"/>
    <w:rsid w:val="4D115A20"/>
    <w:rsid w:val="4D1641BB"/>
    <w:rsid w:val="4DB67604"/>
    <w:rsid w:val="4E5C386E"/>
    <w:rsid w:val="4EC352C6"/>
    <w:rsid w:val="4EF37883"/>
    <w:rsid w:val="4F251D5C"/>
    <w:rsid w:val="4F950654"/>
    <w:rsid w:val="4FC33721"/>
    <w:rsid w:val="4FC45D49"/>
    <w:rsid w:val="4FC542D6"/>
    <w:rsid w:val="4FF12881"/>
    <w:rsid w:val="503209A0"/>
    <w:rsid w:val="50C755E3"/>
    <w:rsid w:val="514D7C78"/>
    <w:rsid w:val="517E41AF"/>
    <w:rsid w:val="51C25A07"/>
    <w:rsid w:val="51CB51DB"/>
    <w:rsid w:val="51D81084"/>
    <w:rsid w:val="51E54497"/>
    <w:rsid w:val="520E6AD8"/>
    <w:rsid w:val="5233019C"/>
    <w:rsid w:val="52623397"/>
    <w:rsid w:val="52B2497A"/>
    <w:rsid w:val="52DE46FC"/>
    <w:rsid w:val="52E55308"/>
    <w:rsid w:val="53402049"/>
    <w:rsid w:val="54FF3E42"/>
    <w:rsid w:val="550A578A"/>
    <w:rsid w:val="56244160"/>
    <w:rsid w:val="5650269A"/>
    <w:rsid w:val="569E1F65"/>
    <w:rsid w:val="57C8653F"/>
    <w:rsid w:val="580A33C0"/>
    <w:rsid w:val="581540BD"/>
    <w:rsid w:val="58DE0B10"/>
    <w:rsid w:val="593060C2"/>
    <w:rsid w:val="59754FF7"/>
    <w:rsid w:val="59A74B3D"/>
    <w:rsid w:val="5A39434D"/>
    <w:rsid w:val="5AB559CF"/>
    <w:rsid w:val="5B3B184B"/>
    <w:rsid w:val="5BCA4817"/>
    <w:rsid w:val="5C2D63B5"/>
    <w:rsid w:val="5D231B8B"/>
    <w:rsid w:val="5D420294"/>
    <w:rsid w:val="5EE66828"/>
    <w:rsid w:val="5F1F0576"/>
    <w:rsid w:val="5FBE2F38"/>
    <w:rsid w:val="5FDE0C6D"/>
    <w:rsid w:val="6072561F"/>
    <w:rsid w:val="60C30AE4"/>
    <w:rsid w:val="61163C0C"/>
    <w:rsid w:val="61913051"/>
    <w:rsid w:val="631017F1"/>
    <w:rsid w:val="63544A9A"/>
    <w:rsid w:val="63624EAC"/>
    <w:rsid w:val="64F47002"/>
    <w:rsid w:val="657E123C"/>
    <w:rsid w:val="65960D62"/>
    <w:rsid w:val="661D1FE7"/>
    <w:rsid w:val="66787BF9"/>
    <w:rsid w:val="669716D4"/>
    <w:rsid w:val="673366EC"/>
    <w:rsid w:val="68550B65"/>
    <w:rsid w:val="68E62BD5"/>
    <w:rsid w:val="697D4CFC"/>
    <w:rsid w:val="6AB46045"/>
    <w:rsid w:val="6ABC2D30"/>
    <w:rsid w:val="6B5C045C"/>
    <w:rsid w:val="6BEE2E0C"/>
    <w:rsid w:val="6C361AB7"/>
    <w:rsid w:val="6C801326"/>
    <w:rsid w:val="6D463EAB"/>
    <w:rsid w:val="6D466740"/>
    <w:rsid w:val="6D734683"/>
    <w:rsid w:val="6D7372C4"/>
    <w:rsid w:val="6EA969F0"/>
    <w:rsid w:val="6EB4024E"/>
    <w:rsid w:val="6FA06C08"/>
    <w:rsid w:val="70101F83"/>
    <w:rsid w:val="705B1CD4"/>
    <w:rsid w:val="70C97DF0"/>
    <w:rsid w:val="70DB62B7"/>
    <w:rsid w:val="711C5749"/>
    <w:rsid w:val="71597A7D"/>
    <w:rsid w:val="71663887"/>
    <w:rsid w:val="71A4517F"/>
    <w:rsid w:val="720127B7"/>
    <w:rsid w:val="7212231F"/>
    <w:rsid w:val="723F0BC9"/>
    <w:rsid w:val="724369E1"/>
    <w:rsid w:val="73612AB3"/>
    <w:rsid w:val="73686789"/>
    <w:rsid w:val="74271BF7"/>
    <w:rsid w:val="74B2437C"/>
    <w:rsid w:val="76B24759"/>
    <w:rsid w:val="76FE1523"/>
    <w:rsid w:val="77B85A14"/>
    <w:rsid w:val="785B04FA"/>
    <w:rsid w:val="78BD097C"/>
    <w:rsid w:val="7AB06C72"/>
    <w:rsid w:val="7C091598"/>
    <w:rsid w:val="7C435086"/>
    <w:rsid w:val="7C487183"/>
    <w:rsid w:val="7CCC4CE7"/>
    <w:rsid w:val="7CD51E4B"/>
    <w:rsid w:val="7ED405DD"/>
    <w:rsid w:val="7EFA4D5D"/>
    <w:rsid w:val="7F3D1608"/>
    <w:rsid w:val="7FA47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6"/>
    <w:qFormat/>
    <w:uiPriority w:val="0"/>
    <w:pPr>
      <w:keepNext/>
      <w:keepLines/>
      <w:spacing w:line="576" w:lineRule="auto"/>
      <w:outlineLvl w:val="0"/>
    </w:pPr>
    <w:rPr>
      <w:b/>
      <w:kern w:val="44"/>
      <w:sz w:val="44"/>
    </w:rPr>
  </w:style>
  <w:style w:type="paragraph" w:styleId="4">
    <w:name w:val="heading 2"/>
    <w:basedOn w:val="1"/>
    <w:next w:val="1"/>
    <w:link w:val="32"/>
    <w:unhideWhenUsed/>
    <w:qFormat/>
    <w:uiPriority w:val="0"/>
    <w:pPr>
      <w:keepNext/>
      <w:keepLines/>
      <w:spacing w:line="413" w:lineRule="auto"/>
      <w:outlineLvl w:val="1"/>
    </w:pPr>
    <w:rPr>
      <w:rFonts w:ascii="Arial" w:hAnsi="Arial" w:eastAsia="黑体"/>
      <w:b/>
      <w:sz w:val="32"/>
    </w:rPr>
  </w:style>
  <w:style w:type="paragraph" w:styleId="5">
    <w:name w:val="heading 3"/>
    <w:basedOn w:val="1"/>
    <w:next w:val="1"/>
    <w:link w:val="28"/>
    <w:semiHidden/>
    <w:unhideWhenUsed/>
    <w:qFormat/>
    <w:uiPriority w:val="0"/>
    <w:pPr>
      <w:keepNext/>
      <w:keepLines/>
      <w:spacing w:line="413" w:lineRule="auto"/>
      <w:outlineLvl w:val="2"/>
    </w:pPr>
    <w:rPr>
      <w:b/>
      <w:sz w:val="32"/>
    </w:rPr>
  </w:style>
  <w:style w:type="paragraph" w:styleId="6">
    <w:name w:val="heading 4"/>
    <w:basedOn w:val="1"/>
    <w:next w:val="1"/>
    <w:link w:val="34"/>
    <w:semiHidden/>
    <w:unhideWhenUsed/>
    <w:qFormat/>
    <w:uiPriority w:val="0"/>
    <w:pPr>
      <w:keepNext/>
      <w:keepLines/>
      <w:spacing w:line="372" w:lineRule="auto"/>
      <w:outlineLvl w:val="3"/>
    </w:pPr>
    <w:rPr>
      <w:rFonts w:ascii="Arial" w:hAnsi="Arial" w:eastAsia="黑体"/>
      <w:b/>
      <w:sz w:val="28"/>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List Paragraph"/>
    <w:basedOn w:val="1"/>
    <w:qFormat/>
    <w:uiPriority w:val="34"/>
    <w:pPr>
      <w:ind w:firstLine="420" w:firstLineChars="200"/>
    </w:pPr>
  </w:style>
  <w:style w:type="paragraph" w:styleId="7">
    <w:name w:val="Body Text"/>
    <w:basedOn w:val="1"/>
    <w:link w:val="29"/>
    <w:qFormat/>
    <w:uiPriority w:val="0"/>
  </w:style>
  <w:style w:type="paragraph" w:styleId="8">
    <w:name w:val="Body Text Indent"/>
    <w:basedOn w:val="1"/>
    <w:next w:val="9"/>
    <w:link w:val="33"/>
    <w:qFormat/>
    <w:uiPriority w:val="0"/>
    <w:pPr>
      <w:ind w:left="420" w:leftChars="200"/>
    </w:pPr>
  </w:style>
  <w:style w:type="paragraph" w:styleId="9">
    <w:name w:val="envelope return"/>
    <w:basedOn w:val="1"/>
    <w:qFormat/>
    <w:uiPriority w:val="0"/>
    <w:pPr>
      <w:snapToGrid w:val="0"/>
    </w:pPr>
    <w:rPr>
      <w:rFonts w:ascii="Arial" w:hAnsi="Arial"/>
    </w:rPr>
  </w:style>
  <w:style w:type="paragraph" w:styleId="10">
    <w:name w:val="Plain Text"/>
    <w:basedOn w:val="1"/>
    <w:link w:val="27"/>
    <w:qFormat/>
    <w:uiPriority w:val="0"/>
    <w:rPr>
      <w:rFonts w:ascii="宋体" w:hAnsi="Courier New"/>
    </w:rPr>
  </w:style>
  <w:style w:type="paragraph" w:styleId="11">
    <w:name w:val="Date"/>
    <w:basedOn w:val="1"/>
    <w:next w:val="1"/>
    <w:link w:val="30"/>
    <w:qFormat/>
    <w:uiPriority w:val="0"/>
    <w:pPr>
      <w:ind w:left="100" w:leftChars="2500"/>
    </w:pPr>
  </w:style>
  <w:style w:type="paragraph" w:styleId="12">
    <w:name w:val="Body Text Indent 2"/>
    <w:basedOn w:val="1"/>
    <w:link w:val="24"/>
    <w:qFormat/>
    <w:uiPriority w:val="0"/>
    <w:pPr>
      <w:spacing w:line="480" w:lineRule="auto"/>
      <w:ind w:left="420" w:leftChars="200"/>
    </w:pPr>
  </w:style>
  <w:style w:type="paragraph" w:styleId="13">
    <w:name w:val="Balloon Text"/>
    <w:basedOn w:val="1"/>
    <w:link w:val="35"/>
    <w:qFormat/>
    <w:uiPriority w:val="0"/>
    <w:rPr>
      <w:sz w:val="18"/>
    </w:rPr>
  </w:style>
  <w:style w:type="paragraph" w:styleId="14">
    <w:name w:val="footer"/>
    <w:basedOn w:val="1"/>
    <w:link w:val="38"/>
    <w:qFormat/>
    <w:uiPriority w:val="0"/>
    <w:pPr>
      <w:tabs>
        <w:tab w:val="center" w:pos="4153"/>
        <w:tab w:val="right" w:pos="8306"/>
      </w:tabs>
      <w:snapToGrid w:val="0"/>
      <w:jc w:val="left"/>
    </w:pPr>
    <w:rPr>
      <w:sz w:val="18"/>
    </w:rPr>
  </w:style>
  <w:style w:type="paragraph" w:styleId="15">
    <w:name w:val="header"/>
    <w:basedOn w:val="1"/>
    <w:link w:val="36"/>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6">
    <w:name w:val="Body Text Indent 3"/>
    <w:basedOn w:val="1"/>
    <w:link w:val="31"/>
    <w:qFormat/>
    <w:uiPriority w:val="0"/>
    <w:pPr>
      <w:ind w:left="420" w:leftChars="200"/>
    </w:pPr>
    <w:rPr>
      <w:sz w:val="16"/>
    </w:rPr>
  </w:style>
  <w:style w:type="paragraph" w:styleId="17">
    <w:name w:val="Body Text 2"/>
    <w:basedOn w:val="1"/>
    <w:link w:val="25"/>
    <w:qFormat/>
    <w:uiPriority w:val="0"/>
    <w:pPr>
      <w:spacing w:line="480" w:lineRule="auto"/>
    </w:pPr>
  </w:style>
  <w:style w:type="paragraph" w:styleId="18">
    <w:name w:val="Normal (Web)"/>
    <w:basedOn w:val="1"/>
    <w:qFormat/>
    <w:uiPriority w:val="0"/>
    <w:pPr>
      <w:spacing w:beforeAutospacing="1" w:afterAutospacing="1"/>
      <w:jc w:val="left"/>
    </w:pPr>
    <w:rPr>
      <w:kern w:val="0"/>
      <w:sz w:val="24"/>
    </w:rPr>
  </w:style>
  <w:style w:type="paragraph" w:styleId="19">
    <w:name w:val="Body Text First Indent 2"/>
    <w:basedOn w:val="8"/>
    <w:qFormat/>
    <w:uiPriority w:val="0"/>
    <w:pPr>
      <w:ind w:firstLine="420" w:firstLineChars="200"/>
    </w:pPr>
  </w:style>
  <w:style w:type="character" w:styleId="22">
    <w:name w:val="FollowedHyperlink"/>
    <w:basedOn w:val="21"/>
    <w:qFormat/>
    <w:uiPriority w:val="0"/>
    <w:rPr>
      <w:color w:val="800080"/>
      <w:u w:val="single"/>
    </w:rPr>
  </w:style>
  <w:style w:type="character" w:styleId="23">
    <w:name w:val="Hyperlink"/>
    <w:basedOn w:val="21"/>
    <w:qFormat/>
    <w:uiPriority w:val="0"/>
    <w:rPr>
      <w:color w:val="0000FF"/>
      <w:u w:val="single"/>
    </w:rPr>
  </w:style>
  <w:style w:type="character" w:customStyle="1" w:styleId="24">
    <w:name w:val="正文文本缩进 2 Char"/>
    <w:basedOn w:val="21"/>
    <w:link w:val="12"/>
    <w:qFormat/>
    <w:uiPriority w:val="0"/>
    <w:rPr>
      <w:rFonts w:hint="default" w:ascii="Times New Roman" w:hAnsi="Times New Roman" w:cs="Times New Roman"/>
    </w:rPr>
  </w:style>
  <w:style w:type="character" w:customStyle="1" w:styleId="25">
    <w:name w:val="正文文本 2 Char"/>
    <w:basedOn w:val="21"/>
    <w:link w:val="17"/>
    <w:qFormat/>
    <w:uiPriority w:val="0"/>
    <w:rPr>
      <w:rFonts w:ascii="黑体" w:hAnsi="宋体" w:eastAsia="黑体" w:cs="黑体"/>
      <w:b/>
    </w:rPr>
  </w:style>
  <w:style w:type="character" w:customStyle="1" w:styleId="26">
    <w:name w:val="标题 1 Char"/>
    <w:basedOn w:val="21"/>
    <w:link w:val="3"/>
    <w:qFormat/>
    <w:uiPriority w:val="0"/>
    <w:rPr>
      <w:b/>
    </w:rPr>
  </w:style>
  <w:style w:type="character" w:customStyle="1" w:styleId="27">
    <w:name w:val="纯文本 Char"/>
    <w:basedOn w:val="21"/>
    <w:link w:val="10"/>
    <w:qFormat/>
    <w:uiPriority w:val="0"/>
    <w:rPr>
      <w:rFonts w:hint="eastAsia" w:ascii="宋体" w:hAnsi="宋体" w:eastAsia="宋体" w:cs="宋体"/>
    </w:rPr>
  </w:style>
  <w:style w:type="character" w:customStyle="1" w:styleId="28">
    <w:name w:val="标题 3 Char"/>
    <w:basedOn w:val="21"/>
    <w:link w:val="5"/>
    <w:qFormat/>
    <w:uiPriority w:val="0"/>
    <w:rPr>
      <w:b/>
    </w:rPr>
  </w:style>
  <w:style w:type="character" w:customStyle="1" w:styleId="29">
    <w:name w:val="正文文本 Char"/>
    <w:basedOn w:val="21"/>
    <w:link w:val="7"/>
    <w:qFormat/>
    <w:uiPriority w:val="0"/>
    <w:rPr>
      <w:rFonts w:ascii="仿宋_GB2312" w:eastAsia="仿宋_GB2312" w:cs="仿宋_GB2312"/>
    </w:rPr>
  </w:style>
  <w:style w:type="character" w:customStyle="1" w:styleId="30">
    <w:name w:val="日期 Char"/>
    <w:basedOn w:val="21"/>
    <w:link w:val="11"/>
    <w:qFormat/>
    <w:uiPriority w:val="0"/>
  </w:style>
  <w:style w:type="character" w:customStyle="1" w:styleId="31">
    <w:name w:val="正文文本缩进 3 Char"/>
    <w:basedOn w:val="21"/>
    <w:link w:val="16"/>
    <w:qFormat/>
    <w:uiPriority w:val="0"/>
    <w:rPr>
      <w:rFonts w:hint="default" w:ascii="Times New Roman" w:hAnsi="Times New Roman" w:cs="Times New Roman"/>
      <w:shd w:val="clear" w:color="auto" w:fill="FFFFFF"/>
    </w:rPr>
  </w:style>
  <w:style w:type="character" w:customStyle="1" w:styleId="32">
    <w:name w:val="标题 2 Char"/>
    <w:basedOn w:val="21"/>
    <w:link w:val="4"/>
    <w:qFormat/>
    <w:uiPriority w:val="0"/>
    <w:rPr>
      <w:rFonts w:ascii="等线 Light" w:hAnsi="等线 Light" w:eastAsia="等线 Light" w:cs="等线 Light"/>
      <w:b/>
    </w:rPr>
  </w:style>
  <w:style w:type="character" w:customStyle="1" w:styleId="33">
    <w:name w:val="正文文本缩进 Char"/>
    <w:basedOn w:val="21"/>
    <w:link w:val="8"/>
    <w:qFormat/>
    <w:uiPriority w:val="0"/>
    <w:rPr>
      <w:rFonts w:hint="default" w:ascii="仿宋_GB2312" w:eastAsia="仿宋_GB2312" w:cs="仿宋_GB2312"/>
    </w:rPr>
  </w:style>
  <w:style w:type="character" w:customStyle="1" w:styleId="34">
    <w:name w:val="标题 4 Char"/>
    <w:basedOn w:val="21"/>
    <w:link w:val="6"/>
    <w:qFormat/>
    <w:uiPriority w:val="0"/>
    <w:rPr>
      <w:rFonts w:hint="eastAsia" w:ascii="等线 Light" w:hAnsi="等线 Light" w:eastAsia="等线 Light" w:cs="等线 Light"/>
      <w:b/>
    </w:rPr>
  </w:style>
  <w:style w:type="character" w:customStyle="1" w:styleId="35">
    <w:name w:val="批注框文本 Char"/>
    <w:basedOn w:val="21"/>
    <w:link w:val="13"/>
    <w:qFormat/>
    <w:uiPriority w:val="0"/>
  </w:style>
  <w:style w:type="character" w:customStyle="1" w:styleId="36">
    <w:name w:val="页眉 Char"/>
    <w:basedOn w:val="21"/>
    <w:link w:val="15"/>
    <w:qFormat/>
    <w:uiPriority w:val="0"/>
    <w:rPr>
      <w:rFonts w:hint="default" w:ascii="Times New Roman" w:hAnsi="Times New Roman" w:cs="Times New Roman"/>
    </w:rPr>
  </w:style>
  <w:style w:type="character" w:customStyle="1" w:styleId="37">
    <w:name w:val="要点2"/>
    <w:basedOn w:val="21"/>
    <w:qFormat/>
    <w:uiPriority w:val="0"/>
    <w:rPr>
      <w:b/>
      <w:color w:val="111111"/>
    </w:rPr>
  </w:style>
  <w:style w:type="character" w:customStyle="1" w:styleId="38">
    <w:name w:val="页脚 Char"/>
    <w:basedOn w:val="21"/>
    <w:link w:val="14"/>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1203</Words>
  <Characters>1297</Characters>
  <Lines>9</Lines>
  <Paragraphs>2</Paragraphs>
  <TotalTime>35</TotalTime>
  <ScaleCrop>false</ScaleCrop>
  <LinksUpToDate>false</LinksUpToDate>
  <CharactersWithSpaces>1298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2020-05-12T02:38:00Z</dcterms:created>
  <dc:creator>Administrator</dc:creator>
  <cp:lastModifiedBy>  pipi 　</cp:lastModifiedBy>
  <dcterms:modified xsi:type="dcterms:W3CDTF">2026-03-26T09:26:21Z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446E501D15784819B80042D136CB8A53_13</vt:lpwstr>
  </property>
  <property fmtid="{D5CDD505-2E9C-101B-9397-08002B2CF9AE}" pid="4" name="KSOTemplateDocerSaveRecord">
    <vt:lpwstr>eyJoZGlkIjoiNTlhYTcwNjA2NTFhYjM3MzgyODg5ZGVmOTJhNzQwMDUiLCJ1c2VySWQiOiI1MjgxMDkyNTIifQ==</vt:lpwstr>
  </property>
</Properties>
</file>