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11FBCEE">
      <w:pPr>
        <w:shd w:val="clear"/>
        <w:kinsoku/>
        <w:overflowPunct/>
        <w:topLinePunct w:val="0"/>
        <w:bidi w:val="0"/>
        <w:spacing w:line="400" w:lineRule="atLeast"/>
        <w:jc w:val="center"/>
        <w:rPr>
          <w:rFonts w:ascii="宋体" w:hAnsi="宋体" w:cs="宋体"/>
          <w:b/>
          <w:bCs/>
          <w:color w:val="auto"/>
          <w:spacing w:val="-10"/>
          <w:sz w:val="48"/>
          <w:szCs w:val="48"/>
          <w:highlight w:val="none"/>
        </w:rPr>
      </w:pPr>
    </w:p>
    <w:p w14:paraId="2E09D59B">
      <w:pPr>
        <w:pStyle w:val="2"/>
        <w:rPr>
          <w:color w:val="auto"/>
          <w:highlight w:val="none"/>
        </w:rPr>
      </w:pPr>
    </w:p>
    <w:p w14:paraId="34F971DB">
      <w:pPr>
        <w:pStyle w:val="2"/>
        <w:shd w:val="clear"/>
        <w:kinsoku/>
        <w:overflowPunct/>
        <w:topLinePunct w:val="0"/>
        <w:bidi w:val="0"/>
        <w:rPr>
          <w:color w:val="auto"/>
          <w:highlight w:val="none"/>
        </w:rPr>
      </w:pPr>
    </w:p>
    <w:p w14:paraId="1C2C4409">
      <w:pPr>
        <w:shd w:val="clear"/>
        <w:kinsoku/>
        <w:overflowPunct/>
        <w:topLinePunct w:val="0"/>
        <w:bidi w:val="0"/>
        <w:spacing w:line="400" w:lineRule="atLeast"/>
        <w:jc w:val="center"/>
        <w:rPr>
          <w:rFonts w:ascii="宋体" w:hAnsi="宋体" w:cs="宋体"/>
          <w:b/>
          <w:bCs/>
          <w:color w:val="auto"/>
          <w:sz w:val="98"/>
          <w:szCs w:val="98"/>
          <w:highlight w:val="none"/>
        </w:rPr>
      </w:pPr>
      <w:r>
        <w:rPr>
          <w:rFonts w:hint="eastAsia" w:ascii="宋体" w:hAnsi="宋体" w:cs="宋体"/>
          <w:b/>
          <w:bCs/>
          <w:color w:val="auto"/>
          <w:spacing w:val="-10"/>
          <w:sz w:val="48"/>
          <w:szCs w:val="48"/>
          <w:highlight w:val="none"/>
          <w:lang w:eastAsia="zh-CN"/>
        </w:rPr>
        <w:t>琅琊山欧阳修家风家训文旅综合体项目造价复审</w:t>
      </w:r>
    </w:p>
    <w:p w14:paraId="461F9501">
      <w:pPr>
        <w:pStyle w:val="2"/>
        <w:ind w:left="0" w:leftChars="0" w:firstLine="0" w:firstLineChars="0"/>
        <w:rPr>
          <w:color w:val="auto"/>
          <w:highlight w:val="none"/>
        </w:rPr>
      </w:pPr>
    </w:p>
    <w:p w14:paraId="2B009E98">
      <w:pPr>
        <w:rPr>
          <w:color w:val="auto"/>
          <w:highlight w:val="none"/>
        </w:rPr>
      </w:pPr>
    </w:p>
    <w:p w14:paraId="441AB62B">
      <w:pPr>
        <w:pStyle w:val="2"/>
        <w:rPr>
          <w:color w:val="auto"/>
          <w:highlight w:val="none"/>
        </w:rPr>
      </w:pPr>
    </w:p>
    <w:p w14:paraId="12DCDCAE">
      <w:pPr>
        <w:pStyle w:val="2"/>
        <w:shd w:val="clear"/>
        <w:kinsoku/>
        <w:overflowPunct/>
        <w:topLinePunct w:val="0"/>
        <w:bidi w:val="0"/>
        <w:rPr>
          <w:color w:val="auto"/>
          <w:highlight w:val="none"/>
        </w:rPr>
      </w:pPr>
    </w:p>
    <w:p w14:paraId="0741CFBA">
      <w:pPr>
        <w:shd w:val="clear"/>
        <w:kinsoku/>
        <w:overflowPunct/>
        <w:topLinePunct w:val="0"/>
        <w:bidi w:val="0"/>
        <w:spacing w:line="400" w:lineRule="atLeast"/>
        <w:jc w:val="center"/>
        <w:rPr>
          <w:rFonts w:ascii="宋体" w:hAnsi="宋体" w:cs="宋体"/>
          <w:b/>
          <w:bCs/>
          <w:color w:val="auto"/>
          <w:sz w:val="98"/>
          <w:szCs w:val="98"/>
          <w:highlight w:val="none"/>
        </w:rPr>
      </w:pPr>
      <w:r>
        <w:rPr>
          <w:rFonts w:hint="eastAsia" w:ascii="宋体" w:hAnsi="宋体" w:cs="宋体"/>
          <w:b/>
          <w:bCs/>
          <w:color w:val="auto"/>
          <w:sz w:val="98"/>
          <w:szCs w:val="98"/>
          <w:highlight w:val="none"/>
        </w:rPr>
        <w:t>招 标 文 件</w:t>
      </w:r>
    </w:p>
    <w:p w14:paraId="71B76D83">
      <w:pPr>
        <w:shd w:val="clear"/>
        <w:kinsoku/>
        <w:wordWrap w:val="0"/>
        <w:overflowPunct/>
        <w:topLinePunct w:val="0"/>
        <w:bidi w:val="0"/>
        <w:spacing w:line="800" w:lineRule="exact"/>
        <w:ind w:right="480"/>
        <w:jc w:val="center"/>
        <w:rPr>
          <w:rFonts w:ascii="宋体" w:hAnsi="宋体" w:cs="宋体"/>
          <w:color w:val="auto"/>
          <w:sz w:val="32"/>
          <w:highlight w:val="none"/>
        </w:rPr>
      </w:pPr>
    </w:p>
    <w:p w14:paraId="6E1F3E12">
      <w:pPr>
        <w:shd w:val="clear"/>
        <w:kinsoku/>
        <w:wordWrap w:val="0"/>
        <w:overflowPunct/>
        <w:topLinePunct w:val="0"/>
        <w:bidi w:val="0"/>
        <w:spacing w:line="800" w:lineRule="exact"/>
        <w:ind w:right="480"/>
        <w:jc w:val="center"/>
        <w:rPr>
          <w:rFonts w:hint="eastAsia" w:ascii="宋体" w:hAnsi="宋体" w:eastAsia="宋体" w:cs="宋体"/>
          <w:color w:val="auto"/>
          <w:sz w:val="28"/>
          <w:szCs w:val="20"/>
          <w:highlight w:val="none"/>
          <w:lang w:eastAsia="zh-CN"/>
        </w:rPr>
      </w:pPr>
      <w:r>
        <w:rPr>
          <w:rFonts w:hint="eastAsia" w:ascii="宋体" w:hAnsi="宋体" w:cs="宋体"/>
          <w:color w:val="auto"/>
          <w:sz w:val="28"/>
          <w:szCs w:val="20"/>
          <w:highlight w:val="none"/>
        </w:rPr>
        <w:t>项目编号：HXJY1110001062895001</w:t>
      </w:r>
    </w:p>
    <w:p w14:paraId="6568E595">
      <w:pPr>
        <w:shd w:val="clear"/>
        <w:kinsoku/>
        <w:wordWrap w:val="0"/>
        <w:overflowPunct/>
        <w:topLinePunct w:val="0"/>
        <w:bidi w:val="0"/>
        <w:spacing w:line="800" w:lineRule="exact"/>
        <w:ind w:right="480"/>
        <w:jc w:val="center"/>
        <w:rPr>
          <w:rFonts w:ascii="宋体" w:hAnsi="宋体" w:cs="宋体"/>
          <w:color w:val="auto"/>
          <w:sz w:val="28"/>
          <w:szCs w:val="20"/>
          <w:highlight w:val="none"/>
        </w:rPr>
      </w:pPr>
    </w:p>
    <w:p w14:paraId="62DC303B">
      <w:pPr>
        <w:shd w:val="clear"/>
        <w:kinsoku/>
        <w:overflowPunct/>
        <w:topLinePunct w:val="0"/>
        <w:bidi w:val="0"/>
        <w:spacing w:line="480" w:lineRule="exact"/>
        <w:ind w:firstLine="472" w:firstLineChars="147"/>
        <w:rPr>
          <w:rFonts w:ascii="宋体" w:hAnsi="宋体" w:cs="宋体"/>
          <w:b/>
          <w:bCs/>
          <w:color w:val="auto"/>
          <w:sz w:val="32"/>
          <w:szCs w:val="32"/>
          <w:highlight w:val="none"/>
        </w:rPr>
      </w:pPr>
    </w:p>
    <w:p w14:paraId="30DD2F8A">
      <w:pPr>
        <w:shd w:val="clear"/>
        <w:kinsoku/>
        <w:overflowPunct/>
        <w:topLinePunct w:val="0"/>
        <w:bidi w:val="0"/>
        <w:rPr>
          <w:rFonts w:ascii="宋体" w:hAnsi="宋体" w:cs="宋体"/>
          <w:b/>
          <w:bCs/>
          <w:color w:val="auto"/>
          <w:sz w:val="32"/>
          <w:szCs w:val="32"/>
          <w:highlight w:val="none"/>
        </w:rPr>
      </w:pPr>
    </w:p>
    <w:p w14:paraId="21D3A9C1">
      <w:pPr>
        <w:shd w:val="clear"/>
        <w:kinsoku/>
        <w:overflowPunct/>
        <w:topLinePunct w:val="0"/>
        <w:bidi w:val="0"/>
        <w:rPr>
          <w:rFonts w:ascii="宋体" w:hAnsi="宋体" w:cs="宋体"/>
          <w:b/>
          <w:bCs/>
          <w:color w:val="auto"/>
          <w:sz w:val="32"/>
          <w:szCs w:val="32"/>
          <w:highlight w:val="none"/>
        </w:rPr>
      </w:pPr>
    </w:p>
    <w:p w14:paraId="76C14083">
      <w:pPr>
        <w:pStyle w:val="30"/>
        <w:shd w:val="clear"/>
        <w:kinsoku/>
        <w:overflowPunct/>
        <w:topLinePunct w:val="0"/>
        <w:bidi w:val="0"/>
        <w:ind w:left="0" w:leftChars="0" w:firstLine="0" w:firstLineChars="0"/>
        <w:rPr>
          <w:color w:val="auto"/>
          <w:highlight w:val="none"/>
        </w:rPr>
      </w:pPr>
    </w:p>
    <w:p w14:paraId="61B5BE9A">
      <w:pPr>
        <w:shd w:val="clear"/>
        <w:kinsoku/>
        <w:overflowPunct/>
        <w:topLinePunct w:val="0"/>
        <w:bidi w:val="0"/>
        <w:rPr>
          <w:rFonts w:ascii="宋体" w:hAnsi="宋体" w:cs="宋体"/>
          <w:color w:val="auto"/>
          <w:highlight w:val="none"/>
        </w:rPr>
      </w:pPr>
    </w:p>
    <w:p w14:paraId="7FEFCF35">
      <w:pPr>
        <w:shd w:val="clear"/>
        <w:kinsoku/>
        <w:overflowPunct/>
        <w:topLinePunct w:val="0"/>
        <w:bidi w:val="0"/>
        <w:rPr>
          <w:rFonts w:ascii="宋体" w:hAnsi="宋体" w:cs="宋体"/>
          <w:color w:val="auto"/>
          <w:highlight w:val="none"/>
        </w:rPr>
      </w:pPr>
    </w:p>
    <w:p w14:paraId="6C3468D7">
      <w:pPr>
        <w:shd w:val="clear"/>
        <w:kinsoku/>
        <w:wordWrap w:val="0"/>
        <w:overflowPunct/>
        <w:topLinePunct w:val="0"/>
        <w:bidi w:val="0"/>
        <w:spacing w:line="800" w:lineRule="exact"/>
        <w:ind w:right="480" w:firstLine="960" w:firstLineChars="300"/>
        <w:jc w:val="both"/>
        <w:rPr>
          <w:rFonts w:hint="default" w:ascii="宋体" w:hAnsi="宋体" w:eastAsia="宋体" w:cs="宋体"/>
          <w:color w:val="auto"/>
          <w:sz w:val="32"/>
          <w:highlight w:val="none"/>
          <w:lang w:val="en-US" w:eastAsia="zh-CN"/>
        </w:rPr>
      </w:pPr>
      <w:r>
        <w:rPr>
          <w:rFonts w:hint="eastAsia" w:ascii="宋体" w:hAnsi="宋体" w:cs="宋体"/>
          <w:color w:val="auto"/>
          <w:sz w:val="32"/>
          <w:highlight w:val="none"/>
        </w:rPr>
        <w:t>招</w:t>
      </w:r>
      <w:r>
        <w:rPr>
          <w:rFonts w:hint="eastAsia" w:ascii="宋体" w:hAnsi="宋体" w:cs="宋体"/>
          <w:color w:val="auto"/>
          <w:sz w:val="32"/>
          <w:highlight w:val="none"/>
          <w:lang w:val="en-US" w:eastAsia="zh-CN"/>
        </w:rPr>
        <w:t xml:space="preserve"> </w:t>
      </w:r>
      <w:r>
        <w:rPr>
          <w:rFonts w:hint="eastAsia" w:ascii="宋体" w:hAnsi="宋体" w:cs="宋体"/>
          <w:color w:val="auto"/>
          <w:sz w:val="32"/>
          <w:highlight w:val="none"/>
        </w:rPr>
        <w:t>标</w:t>
      </w:r>
      <w:r>
        <w:rPr>
          <w:rFonts w:hint="eastAsia" w:ascii="宋体" w:hAnsi="宋体" w:cs="宋体"/>
          <w:color w:val="auto"/>
          <w:sz w:val="32"/>
          <w:highlight w:val="none"/>
          <w:lang w:val="en-US" w:eastAsia="zh-CN"/>
        </w:rPr>
        <w:t xml:space="preserve"> </w:t>
      </w:r>
      <w:r>
        <w:rPr>
          <w:rFonts w:hint="eastAsia" w:ascii="宋体" w:hAnsi="宋体" w:cs="宋体"/>
          <w:color w:val="auto"/>
          <w:sz w:val="32"/>
          <w:highlight w:val="none"/>
        </w:rPr>
        <w:t>人：</w:t>
      </w:r>
      <w:r>
        <w:rPr>
          <w:rFonts w:hint="eastAsia" w:ascii="宋体" w:cs="宋体"/>
          <w:color w:val="auto"/>
          <w:sz w:val="32"/>
          <w:highlight w:val="none"/>
          <w:u w:val="single"/>
          <w:lang w:val="en-US" w:eastAsia="zh-CN"/>
        </w:rPr>
        <w:t xml:space="preserve"> </w:t>
      </w:r>
      <w:r>
        <w:rPr>
          <w:rFonts w:hint="eastAsia" w:ascii="宋体" w:cs="宋体"/>
          <w:color w:val="auto"/>
          <w:sz w:val="32"/>
          <w:highlight w:val="none"/>
          <w:u w:val="single"/>
          <w:lang w:eastAsia="zh-CN"/>
        </w:rPr>
        <w:t>安徽省琅琊山旅游发展有限公司</w:t>
      </w:r>
      <w:r>
        <w:rPr>
          <w:rFonts w:hint="eastAsia" w:ascii="宋体" w:cs="宋体"/>
          <w:color w:val="auto"/>
          <w:sz w:val="32"/>
          <w:highlight w:val="none"/>
          <w:u w:val="single"/>
          <w:lang w:val="en-US" w:eastAsia="zh-CN"/>
        </w:rPr>
        <w:t xml:space="preserve"> </w:t>
      </w:r>
    </w:p>
    <w:p w14:paraId="271DC9F1">
      <w:pPr>
        <w:shd w:val="clear"/>
        <w:kinsoku/>
        <w:overflowPunct/>
        <w:topLinePunct w:val="0"/>
        <w:bidi w:val="0"/>
        <w:spacing w:line="800" w:lineRule="exact"/>
        <w:ind w:firstLine="960" w:firstLineChars="300"/>
        <w:rPr>
          <w:rFonts w:ascii="宋体" w:hAnsi="宋体" w:cs="宋体"/>
          <w:color w:val="auto"/>
          <w:sz w:val="32"/>
          <w:highlight w:val="none"/>
          <w:u w:val="single"/>
        </w:rPr>
      </w:pPr>
      <w:r>
        <w:rPr>
          <w:rFonts w:hint="eastAsia" w:ascii="宋体" w:hAnsi="宋体" w:cs="宋体"/>
          <w:color w:val="auto"/>
          <w:sz w:val="32"/>
          <w:highlight w:val="none"/>
        </w:rPr>
        <w:t>代理机构：</w:t>
      </w:r>
      <w:r>
        <w:rPr>
          <w:rFonts w:hint="eastAsia" w:ascii="宋体" w:hAnsi="宋体" w:cs="宋体"/>
          <w:color w:val="auto"/>
          <w:sz w:val="32"/>
          <w:highlight w:val="none"/>
          <w:u w:val="single"/>
        </w:rPr>
        <w:t>滁州市城投工程咨询管理有限公司</w:t>
      </w:r>
    </w:p>
    <w:p w14:paraId="112DC6DB">
      <w:pPr>
        <w:shd w:val="clear"/>
        <w:kinsoku/>
        <w:overflowPunct/>
        <w:topLinePunct w:val="0"/>
        <w:bidi w:val="0"/>
        <w:spacing w:line="800" w:lineRule="exact"/>
        <w:jc w:val="center"/>
        <w:rPr>
          <w:rFonts w:hint="eastAsia" w:ascii="宋体" w:hAnsi="宋体" w:eastAsia="宋体" w:cs="宋体"/>
          <w:color w:val="auto"/>
          <w:sz w:val="32"/>
          <w:highlight w:val="none"/>
          <w:lang w:eastAsia="zh-CN"/>
        </w:rPr>
      </w:pPr>
      <w:r>
        <w:rPr>
          <w:rFonts w:hint="eastAsia" w:ascii="宋体" w:hAnsi="宋体" w:cs="宋体"/>
          <w:color w:val="auto"/>
          <w:sz w:val="32"/>
          <w:highlight w:val="none"/>
          <w:lang w:eastAsia="zh-CN"/>
        </w:rPr>
        <w:t>2026年0</w:t>
      </w:r>
      <w:r>
        <w:rPr>
          <w:rFonts w:hint="eastAsia" w:ascii="宋体" w:hAnsi="宋体" w:cs="宋体"/>
          <w:color w:val="auto"/>
          <w:sz w:val="32"/>
          <w:highlight w:val="none"/>
          <w:lang w:val="en-US" w:eastAsia="zh-CN"/>
        </w:rPr>
        <w:t>9</w:t>
      </w:r>
      <w:r>
        <w:rPr>
          <w:rFonts w:hint="eastAsia" w:ascii="宋体" w:hAnsi="宋体" w:cs="宋体"/>
          <w:color w:val="auto"/>
          <w:sz w:val="32"/>
          <w:highlight w:val="none"/>
          <w:lang w:eastAsia="zh-CN"/>
        </w:rPr>
        <w:t>月</w:t>
      </w:r>
    </w:p>
    <w:p w14:paraId="4E2C818B">
      <w:pPr>
        <w:shd w:val="clear"/>
        <w:kinsoku/>
        <w:overflowPunct/>
        <w:topLinePunct w:val="0"/>
        <w:bidi w:val="0"/>
        <w:rPr>
          <w:rFonts w:ascii="宋体" w:hAnsi="宋体" w:cs="宋体"/>
          <w:b/>
          <w:bCs/>
          <w:color w:val="auto"/>
          <w:sz w:val="48"/>
          <w:szCs w:val="48"/>
          <w:highlight w:val="none"/>
        </w:rPr>
      </w:pPr>
      <w:r>
        <w:rPr>
          <w:rFonts w:hint="eastAsia" w:ascii="宋体" w:hAnsi="宋体" w:cs="宋体"/>
          <w:b/>
          <w:bCs/>
          <w:color w:val="auto"/>
          <w:sz w:val="48"/>
          <w:szCs w:val="48"/>
          <w:highlight w:val="none"/>
        </w:rPr>
        <w:br w:type="page"/>
      </w:r>
    </w:p>
    <w:p w14:paraId="137895FD">
      <w:pPr>
        <w:shd w:val="clear"/>
        <w:kinsoku/>
        <w:overflowPunct/>
        <w:topLinePunct w:val="0"/>
        <w:bidi w:val="0"/>
        <w:spacing w:line="80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目  录</w:t>
      </w:r>
    </w:p>
    <w:p w14:paraId="39E6448A">
      <w:pPr>
        <w:pStyle w:val="34"/>
        <w:shd w:val="clear"/>
        <w:tabs>
          <w:tab w:val="right" w:leader="dot" w:pos="9541"/>
          <w:tab w:val="clear" w:pos="8296"/>
        </w:tabs>
        <w:kinsoku/>
        <w:overflowPunct/>
        <w:topLinePunct w:val="0"/>
        <w:bidi w:val="0"/>
        <w:rPr>
          <w:rFonts w:hAnsi="宋体" w:eastAsia="宋体"/>
          <w:b w:val="0"/>
          <w:bCs w:val="0"/>
          <w:color w:val="auto"/>
          <w:sz w:val="24"/>
          <w:szCs w:val="24"/>
          <w:highlight w:val="none"/>
        </w:rPr>
      </w:pPr>
    </w:p>
    <w:p w14:paraId="78870A73">
      <w:pPr>
        <w:pStyle w:val="34"/>
        <w:tabs>
          <w:tab w:val="right" w:leader="dot" w:pos="9541"/>
          <w:tab w:val="clear" w:pos="8296"/>
        </w:tabs>
      </w:pPr>
      <w:r>
        <w:rPr>
          <w:rFonts w:hint="eastAsia" w:hAnsi="宋体" w:eastAsia="宋体"/>
          <w:color w:val="auto"/>
          <w:highlight w:val="none"/>
        </w:rPr>
        <w:fldChar w:fldCharType="begin"/>
      </w:r>
      <w:r>
        <w:rPr>
          <w:rFonts w:hint="eastAsia" w:hAnsi="宋体" w:eastAsia="宋体"/>
          <w:color w:val="auto"/>
          <w:highlight w:val="none"/>
        </w:rPr>
        <w:instrText xml:space="preserve">TOC \o "1-1" \h \u </w:instrText>
      </w:r>
      <w:r>
        <w:rPr>
          <w:rFonts w:hint="eastAsia" w:hAnsi="宋体" w:eastAsia="宋体"/>
          <w:color w:val="auto"/>
          <w:highlight w:val="none"/>
        </w:rPr>
        <w:fldChar w:fldCharType="separate"/>
      </w:r>
      <w:r>
        <w:rPr>
          <w:rFonts w:hint="eastAsia" w:hAnsi="宋体" w:eastAsia="宋体"/>
          <w:color w:val="auto"/>
          <w:highlight w:val="none"/>
        </w:rPr>
        <w:fldChar w:fldCharType="begin"/>
      </w:r>
      <w:r>
        <w:rPr>
          <w:rFonts w:hint="eastAsia" w:hAnsi="宋体" w:eastAsia="宋体"/>
          <w:highlight w:val="none"/>
        </w:rPr>
        <w:instrText xml:space="preserve"> HYPERLINK \l _Toc398 </w:instrText>
      </w:r>
      <w:r>
        <w:rPr>
          <w:rFonts w:hint="eastAsia" w:hAnsi="宋体" w:eastAsia="宋体"/>
          <w:highlight w:val="none"/>
        </w:rPr>
        <w:fldChar w:fldCharType="separate"/>
      </w:r>
      <w:r>
        <w:rPr>
          <w:rFonts w:hint="eastAsia" w:ascii="宋体" w:hAnsi="宋体" w:eastAsia="宋体" w:cs="宋体"/>
          <w:bCs/>
          <w:kern w:val="44"/>
          <w:szCs w:val="44"/>
          <w:lang w:val="en-US" w:eastAsia="zh-CN" w:bidi="ar-SA"/>
        </w:rPr>
        <w:t xml:space="preserve">第一章  </w:t>
      </w:r>
      <w:r>
        <w:rPr>
          <w:rFonts w:hint="eastAsia" w:ascii="宋体" w:hAnsi="宋体" w:eastAsia="宋体" w:cs="宋体"/>
          <w:highlight w:val="none"/>
        </w:rPr>
        <w:t>招标公告</w:t>
      </w:r>
      <w:r>
        <w:tab/>
      </w:r>
      <w:r>
        <w:fldChar w:fldCharType="begin"/>
      </w:r>
      <w:r>
        <w:instrText xml:space="preserve"> PAGEREF _Toc398 \h </w:instrText>
      </w:r>
      <w:r>
        <w:fldChar w:fldCharType="separate"/>
      </w:r>
      <w:r>
        <w:t>3</w:t>
      </w:r>
      <w:r>
        <w:fldChar w:fldCharType="end"/>
      </w:r>
      <w:r>
        <w:rPr>
          <w:rFonts w:hint="eastAsia" w:hAnsi="宋体" w:eastAsia="宋体"/>
          <w:color w:val="auto"/>
          <w:highlight w:val="none"/>
        </w:rPr>
        <w:fldChar w:fldCharType="end"/>
      </w:r>
    </w:p>
    <w:p w14:paraId="18E4B6B8">
      <w:pPr>
        <w:pStyle w:val="34"/>
        <w:tabs>
          <w:tab w:val="right" w:leader="dot" w:pos="9541"/>
          <w:tab w:val="clear" w:pos="8296"/>
        </w:tabs>
      </w:pPr>
      <w:r>
        <w:rPr>
          <w:rFonts w:hint="eastAsia" w:ascii="宋体" w:hAnsi="宋体" w:cs="宋体"/>
          <w:color w:val="auto"/>
          <w:szCs w:val="28"/>
          <w:highlight w:val="none"/>
        </w:rPr>
        <w:fldChar w:fldCharType="begin"/>
      </w:r>
      <w:r>
        <w:rPr>
          <w:rFonts w:hint="eastAsia" w:ascii="宋体" w:hAnsi="宋体" w:cs="宋体"/>
          <w:szCs w:val="28"/>
          <w:highlight w:val="none"/>
        </w:rPr>
        <w:instrText xml:space="preserve"> HYPERLINK \l _Toc9486 </w:instrText>
      </w:r>
      <w:r>
        <w:rPr>
          <w:rFonts w:hint="eastAsia" w:ascii="宋体" w:hAnsi="宋体" w:cs="宋体"/>
          <w:szCs w:val="28"/>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二</w:t>
      </w:r>
      <w:r>
        <w:rPr>
          <w:rFonts w:hint="eastAsia" w:ascii="宋体" w:hAnsi="宋体" w:eastAsia="宋体" w:cs="宋体"/>
          <w:highlight w:val="none"/>
        </w:rPr>
        <w:t xml:space="preserve">章 </w:t>
      </w:r>
      <w:r>
        <w:rPr>
          <w:rFonts w:hint="eastAsia" w:hAnsi="宋体" w:eastAsia="宋体" w:cs="宋体"/>
          <w:highlight w:val="none"/>
          <w:lang w:val="en-US" w:eastAsia="zh-CN"/>
        </w:rPr>
        <w:t xml:space="preserve"> </w:t>
      </w:r>
      <w:r>
        <w:rPr>
          <w:rFonts w:hint="eastAsia" w:ascii="宋体" w:hAnsi="宋体" w:eastAsia="宋体" w:cs="宋体"/>
          <w:highlight w:val="none"/>
        </w:rPr>
        <w:t>投标人须知</w:t>
      </w:r>
      <w:r>
        <w:tab/>
      </w:r>
      <w:r>
        <w:fldChar w:fldCharType="begin"/>
      </w:r>
      <w:r>
        <w:instrText xml:space="preserve"> PAGEREF _Toc9486 \h </w:instrText>
      </w:r>
      <w:r>
        <w:fldChar w:fldCharType="separate"/>
      </w:r>
      <w:r>
        <w:t>6</w:t>
      </w:r>
      <w:r>
        <w:fldChar w:fldCharType="end"/>
      </w:r>
      <w:r>
        <w:rPr>
          <w:rFonts w:hint="eastAsia" w:ascii="宋体" w:hAnsi="宋体" w:cs="宋体"/>
          <w:color w:val="auto"/>
          <w:szCs w:val="28"/>
          <w:highlight w:val="none"/>
        </w:rPr>
        <w:fldChar w:fldCharType="end"/>
      </w:r>
    </w:p>
    <w:p w14:paraId="5436910B">
      <w:pPr>
        <w:pStyle w:val="34"/>
        <w:tabs>
          <w:tab w:val="right" w:leader="dot" w:pos="9541"/>
          <w:tab w:val="clear" w:pos="8296"/>
        </w:tabs>
      </w:pPr>
      <w:r>
        <w:rPr>
          <w:rFonts w:hint="eastAsia" w:ascii="宋体" w:hAnsi="宋体" w:cs="宋体"/>
          <w:color w:val="auto"/>
          <w:szCs w:val="28"/>
          <w:highlight w:val="none"/>
        </w:rPr>
        <w:fldChar w:fldCharType="begin"/>
      </w:r>
      <w:r>
        <w:rPr>
          <w:rFonts w:hint="eastAsia" w:ascii="宋体" w:hAnsi="宋体" w:cs="宋体"/>
          <w:szCs w:val="28"/>
          <w:highlight w:val="none"/>
        </w:rPr>
        <w:instrText xml:space="preserve"> HYPERLINK \l _Toc4069 </w:instrText>
      </w:r>
      <w:r>
        <w:rPr>
          <w:rFonts w:hint="eastAsia" w:ascii="宋体" w:hAnsi="宋体" w:cs="宋体"/>
          <w:szCs w:val="28"/>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三</w:t>
      </w:r>
      <w:r>
        <w:rPr>
          <w:rFonts w:hint="eastAsia" w:ascii="宋体" w:hAnsi="宋体" w:eastAsia="宋体" w:cs="宋体"/>
          <w:highlight w:val="none"/>
        </w:rPr>
        <w:t xml:space="preserve">章 </w:t>
      </w:r>
      <w:r>
        <w:rPr>
          <w:rFonts w:hint="eastAsia" w:ascii="宋体" w:hAnsi="宋体" w:eastAsia="宋体" w:cs="宋体"/>
          <w:highlight w:val="none"/>
          <w:lang w:val="en-US" w:eastAsia="zh-CN"/>
        </w:rPr>
        <w:t xml:space="preserve"> </w:t>
      </w:r>
      <w:r>
        <w:rPr>
          <w:rFonts w:hint="eastAsia" w:ascii="宋体" w:hAnsi="宋体" w:eastAsia="宋体" w:cs="宋体"/>
          <w:highlight w:val="none"/>
        </w:rPr>
        <w:t>评标办法</w:t>
      </w:r>
      <w:r>
        <w:tab/>
      </w:r>
      <w:r>
        <w:fldChar w:fldCharType="begin"/>
      </w:r>
      <w:r>
        <w:instrText xml:space="preserve"> PAGEREF _Toc4069 \h </w:instrText>
      </w:r>
      <w:r>
        <w:fldChar w:fldCharType="separate"/>
      </w:r>
      <w:r>
        <w:t>19</w:t>
      </w:r>
      <w:r>
        <w:fldChar w:fldCharType="end"/>
      </w:r>
      <w:r>
        <w:rPr>
          <w:rFonts w:hint="eastAsia" w:ascii="宋体" w:hAnsi="宋体" w:cs="宋体"/>
          <w:color w:val="auto"/>
          <w:szCs w:val="28"/>
          <w:highlight w:val="none"/>
        </w:rPr>
        <w:fldChar w:fldCharType="end"/>
      </w:r>
    </w:p>
    <w:p w14:paraId="4362FABA">
      <w:pPr>
        <w:pStyle w:val="34"/>
        <w:tabs>
          <w:tab w:val="right" w:leader="dot" w:pos="9541"/>
          <w:tab w:val="clear" w:pos="8296"/>
        </w:tabs>
      </w:pPr>
      <w:r>
        <w:rPr>
          <w:rFonts w:hint="eastAsia" w:ascii="宋体" w:hAnsi="宋体" w:cs="宋体"/>
          <w:color w:val="auto"/>
          <w:szCs w:val="28"/>
          <w:highlight w:val="none"/>
        </w:rPr>
        <w:fldChar w:fldCharType="begin"/>
      </w:r>
      <w:r>
        <w:rPr>
          <w:rFonts w:hint="eastAsia" w:ascii="宋体" w:hAnsi="宋体" w:cs="宋体"/>
          <w:szCs w:val="28"/>
          <w:highlight w:val="none"/>
        </w:rPr>
        <w:instrText xml:space="preserve"> HYPERLINK \l _Toc25366 </w:instrText>
      </w:r>
      <w:r>
        <w:rPr>
          <w:rFonts w:hint="eastAsia" w:ascii="宋体" w:hAnsi="宋体" w:cs="宋体"/>
          <w:szCs w:val="28"/>
          <w:highlight w:val="none"/>
        </w:rPr>
        <w:fldChar w:fldCharType="separate"/>
      </w:r>
      <w:r>
        <w:rPr>
          <w:rFonts w:hint="eastAsia" w:ascii="宋体" w:hAnsi="宋体" w:eastAsia="宋体" w:cs="宋体"/>
          <w:szCs w:val="30"/>
          <w:highlight w:val="none"/>
        </w:rPr>
        <w:t>第</w:t>
      </w:r>
      <w:r>
        <w:rPr>
          <w:rFonts w:hint="eastAsia" w:ascii="宋体" w:hAnsi="宋体" w:eastAsia="宋体" w:cs="宋体"/>
          <w:szCs w:val="30"/>
          <w:highlight w:val="none"/>
          <w:lang w:val="en-US" w:eastAsia="zh-CN"/>
        </w:rPr>
        <w:t>四</w:t>
      </w:r>
      <w:r>
        <w:rPr>
          <w:rFonts w:hint="eastAsia" w:ascii="宋体" w:hAnsi="宋体" w:eastAsia="宋体" w:cs="宋体"/>
          <w:szCs w:val="30"/>
          <w:highlight w:val="none"/>
        </w:rPr>
        <w:t xml:space="preserve">章 </w:t>
      </w:r>
      <w:r>
        <w:rPr>
          <w:rFonts w:hint="eastAsia" w:ascii="宋体" w:hAnsi="宋体" w:eastAsia="宋体" w:cs="宋体"/>
          <w:szCs w:val="30"/>
          <w:highlight w:val="none"/>
          <w:lang w:val="en-US" w:eastAsia="zh-CN"/>
        </w:rPr>
        <w:t xml:space="preserve"> </w:t>
      </w:r>
      <w:r>
        <w:rPr>
          <w:rFonts w:hint="eastAsia" w:ascii="宋体" w:hAnsi="宋体" w:eastAsia="宋体" w:cs="宋体"/>
          <w:szCs w:val="30"/>
          <w:highlight w:val="none"/>
        </w:rPr>
        <w:t>合同条款（参考）</w:t>
      </w:r>
      <w:r>
        <w:tab/>
      </w:r>
      <w:r>
        <w:fldChar w:fldCharType="begin"/>
      </w:r>
      <w:r>
        <w:instrText xml:space="preserve"> PAGEREF _Toc25366 \h </w:instrText>
      </w:r>
      <w:r>
        <w:fldChar w:fldCharType="separate"/>
      </w:r>
      <w:r>
        <w:t>25</w:t>
      </w:r>
      <w:r>
        <w:fldChar w:fldCharType="end"/>
      </w:r>
      <w:r>
        <w:rPr>
          <w:rFonts w:hint="eastAsia" w:ascii="宋体" w:hAnsi="宋体" w:cs="宋体"/>
          <w:color w:val="auto"/>
          <w:szCs w:val="28"/>
          <w:highlight w:val="none"/>
        </w:rPr>
        <w:fldChar w:fldCharType="end"/>
      </w:r>
    </w:p>
    <w:p w14:paraId="34CDF789">
      <w:pPr>
        <w:pStyle w:val="34"/>
        <w:tabs>
          <w:tab w:val="right" w:leader="dot" w:pos="9541"/>
          <w:tab w:val="clear" w:pos="8296"/>
        </w:tabs>
      </w:pPr>
      <w:r>
        <w:rPr>
          <w:rFonts w:hint="eastAsia" w:ascii="宋体" w:hAnsi="宋体" w:cs="宋体"/>
          <w:color w:val="auto"/>
          <w:szCs w:val="28"/>
          <w:highlight w:val="none"/>
        </w:rPr>
        <w:fldChar w:fldCharType="begin"/>
      </w:r>
      <w:r>
        <w:rPr>
          <w:rFonts w:hint="eastAsia" w:ascii="宋体" w:hAnsi="宋体" w:cs="宋体"/>
          <w:szCs w:val="28"/>
          <w:highlight w:val="none"/>
        </w:rPr>
        <w:instrText xml:space="preserve"> HYPERLINK \l _Toc18018 </w:instrText>
      </w:r>
      <w:r>
        <w:rPr>
          <w:rFonts w:hint="eastAsia" w:ascii="宋体" w:hAnsi="宋体" w:cs="宋体"/>
          <w:szCs w:val="28"/>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五</w:t>
      </w:r>
      <w:r>
        <w:rPr>
          <w:rFonts w:hint="eastAsia" w:ascii="宋体" w:hAnsi="宋体" w:eastAsia="宋体" w:cs="宋体"/>
          <w:highlight w:val="none"/>
        </w:rPr>
        <w:t xml:space="preserve">章 </w:t>
      </w:r>
      <w:r>
        <w:rPr>
          <w:rFonts w:hint="eastAsia" w:ascii="宋体" w:hAnsi="宋体" w:eastAsia="宋体" w:cs="宋体"/>
          <w:highlight w:val="none"/>
          <w:lang w:val="en-US" w:eastAsia="zh-CN"/>
        </w:rPr>
        <w:t xml:space="preserve"> </w:t>
      </w:r>
      <w:r>
        <w:rPr>
          <w:rFonts w:hint="eastAsia" w:ascii="宋体" w:hAnsi="宋体" w:eastAsia="宋体" w:cs="宋体"/>
          <w:highlight w:val="none"/>
        </w:rPr>
        <w:t>投标文件格式</w:t>
      </w:r>
      <w:r>
        <w:tab/>
      </w:r>
      <w:r>
        <w:fldChar w:fldCharType="begin"/>
      </w:r>
      <w:r>
        <w:instrText xml:space="preserve"> PAGEREF _Toc18018 \h </w:instrText>
      </w:r>
      <w:r>
        <w:fldChar w:fldCharType="separate"/>
      </w:r>
      <w:r>
        <w:t>30</w:t>
      </w:r>
      <w:r>
        <w:fldChar w:fldCharType="end"/>
      </w:r>
      <w:r>
        <w:rPr>
          <w:rFonts w:hint="eastAsia" w:ascii="宋体" w:hAnsi="宋体" w:cs="宋体"/>
          <w:color w:val="auto"/>
          <w:szCs w:val="28"/>
          <w:highlight w:val="none"/>
        </w:rPr>
        <w:fldChar w:fldCharType="end"/>
      </w:r>
    </w:p>
    <w:p w14:paraId="23F8AAFA">
      <w:pPr>
        <w:pStyle w:val="34"/>
        <w:tabs>
          <w:tab w:val="right" w:leader="dot" w:pos="9541"/>
          <w:tab w:val="clear" w:pos="8296"/>
        </w:tabs>
      </w:pPr>
      <w:r>
        <w:rPr>
          <w:rFonts w:hint="eastAsia" w:ascii="宋体" w:hAnsi="宋体" w:cs="宋体"/>
          <w:color w:val="auto"/>
          <w:szCs w:val="28"/>
          <w:highlight w:val="none"/>
        </w:rPr>
        <w:fldChar w:fldCharType="begin"/>
      </w:r>
      <w:r>
        <w:rPr>
          <w:rFonts w:hint="eastAsia" w:ascii="宋体" w:hAnsi="宋体" w:cs="宋体"/>
          <w:szCs w:val="28"/>
          <w:highlight w:val="none"/>
        </w:rPr>
        <w:instrText xml:space="preserve"> HYPERLINK \l _Toc15134 </w:instrText>
      </w:r>
      <w:r>
        <w:rPr>
          <w:rFonts w:hint="eastAsia" w:ascii="宋体" w:hAnsi="宋体" w:cs="宋体"/>
          <w:szCs w:val="28"/>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六</w:t>
      </w:r>
      <w:r>
        <w:rPr>
          <w:rFonts w:hint="eastAsia" w:ascii="宋体" w:hAnsi="宋体" w:eastAsia="宋体" w:cs="宋体"/>
          <w:highlight w:val="none"/>
        </w:rPr>
        <w:t xml:space="preserve">章 </w:t>
      </w:r>
      <w:r>
        <w:rPr>
          <w:rFonts w:hint="eastAsia" w:ascii="宋体" w:hAnsi="宋体" w:eastAsia="宋体" w:cs="宋体"/>
          <w:highlight w:val="none"/>
          <w:lang w:val="en-US" w:eastAsia="zh-CN"/>
        </w:rPr>
        <w:t xml:space="preserve"> </w:t>
      </w:r>
      <w:r>
        <w:rPr>
          <w:rFonts w:hint="eastAsia" w:ascii="宋体" w:hAnsi="宋体" w:eastAsia="宋体" w:cs="宋体"/>
          <w:highlight w:val="none"/>
        </w:rPr>
        <w:t>招标单位、招标代理机构对本招标文件的确认</w:t>
      </w:r>
      <w:r>
        <w:tab/>
      </w:r>
      <w:r>
        <w:fldChar w:fldCharType="begin"/>
      </w:r>
      <w:r>
        <w:instrText xml:space="preserve"> PAGEREF _Toc15134 \h </w:instrText>
      </w:r>
      <w:r>
        <w:fldChar w:fldCharType="separate"/>
      </w:r>
      <w:r>
        <w:t>38</w:t>
      </w:r>
      <w:r>
        <w:fldChar w:fldCharType="end"/>
      </w:r>
      <w:r>
        <w:rPr>
          <w:rFonts w:hint="eastAsia" w:ascii="宋体" w:hAnsi="宋体" w:cs="宋体"/>
          <w:color w:val="auto"/>
          <w:szCs w:val="28"/>
          <w:highlight w:val="none"/>
        </w:rPr>
        <w:fldChar w:fldCharType="end"/>
      </w:r>
    </w:p>
    <w:p w14:paraId="01495D52">
      <w:pPr>
        <w:shd w:val="clear"/>
        <w:kinsoku/>
        <w:overflowPunct/>
        <w:topLinePunct w:val="0"/>
        <w:bidi w:val="0"/>
        <w:rPr>
          <w:color w:val="auto"/>
          <w:highlight w:val="none"/>
        </w:rPr>
      </w:pPr>
      <w:r>
        <w:rPr>
          <w:rFonts w:hint="eastAsia" w:ascii="宋体" w:hAnsi="宋体" w:cs="宋体"/>
          <w:color w:val="auto"/>
          <w:szCs w:val="28"/>
          <w:highlight w:val="none"/>
        </w:rPr>
        <w:fldChar w:fldCharType="end"/>
      </w:r>
    </w:p>
    <w:p w14:paraId="6A1119A1">
      <w:pPr>
        <w:pStyle w:val="6"/>
        <w:shd w:val="clear"/>
        <w:kinsoku/>
        <w:overflowPunct/>
        <w:topLinePunct w:val="0"/>
        <w:bidi w:val="0"/>
        <w:spacing w:before="0" w:after="0" w:line="480" w:lineRule="auto"/>
        <w:jc w:val="both"/>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p>
    <w:p w14:paraId="54DDB4E8">
      <w:pPr>
        <w:shd w:val="clear"/>
        <w:kinsoku/>
        <w:overflowPunct/>
        <w:topLinePunct w:val="0"/>
        <w:bidi w:val="0"/>
        <w:rPr>
          <w:rFonts w:ascii="宋体" w:hAnsi="宋体" w:cs="宋体"/>
          <w:color w:val="auto"/>
          <w:highlight w:val="none"/>
        </w:rPr>
        <w:sectPr>
          <w:footerReference r:id="rId5" w:type="first"/>
          <w:headerReference r:id="rId3" w:type="default"/>
          <w:footerReference r:id="rId4" w:type="default"/>
          <w:pgSz w:w="11906" w:h="16838"/>
          <w:pgMar w:top="1134" w:right="1106" w:bottom="1134" w:left="1259" w:header="680" w:footer="680" w:gutter="0"/>
          <w:pgNumType w:start="1"/>
          <w:cols w:space="0" w:num="1"/>
          <w:docGrid w:type="lines" w:linePitch="318" w:charSpace="0"/>
        </w:sectPr>
      </w:pPr>
      <w:r>
        <w:rPr>
          <w:rFonts w:hint="eastAsia" w:ascii="宋体" w:hAnsi="宋体" w:cs="宋体"/>
          <w:color w:val="auto"/>
          <w:sz w:val="24"/>
          <w:szCs w:val="24"/>
          <w:highlight w:val="none"/>
        </w:rPr>
        <w:tab/>
      </w:r>
    </w:p>
    <w:p w14:paraId="400BE82E">
      <w:pPr>
        <w:pStyle w:val="6"/>
        <w:numPr>
          <w:ilvl w:val="0"/>
          <w:numId w:val="0"/>
        </w:numPr>
        <w:shd w:val="clear"/>
        <w:kinsoku/>
        <w:overflowPunct/>
        <w:topLinePunct w:val="0"/>
        <w:bidi w:val="0"/>
        <w:spacing w:before="0" w:after="0" w:line="500" w:lineRule="exact"/>
        <w:rPr>
          <w:rFonts w:ascii="宋体" w:hAnsi="宋体" w:eastAsia="宋体" w:cs="宋体"/>
          <w:color w:val="auto"/>
          <w:highlight w:val="none"/>
        </w:rPr>
      </w:pPr>
      <w:bookmarkStart w:id="0" w:name="_Toc398"/>
      <w:bookmarkStart w:id="1" w:name="_Toc16309"/>
      <w:r>
        <w:rPr>
          <w:rFonts w:hint="eastAsia" w:ascii="宋体" w:hAnsi="宋体" w:eastAsia="宋体" w:cs="宋体"/>
          <w:b/>
          <w:bCs/>
          <w:color w:val="auto"/>
          <w:kern w:val="44"/>
          <w:sz w:val="30"/>
          <w:szCs w:val="44"/>
          <w:lang w:val="en-US" w:eastAsia="zh-CN" w:bidi="ar-SA"/>
        </w:rPr>
        <w:t xml:space="preserve">第一章  </w:t>
      </w:r>
      <w:r>
        <w:rPr>
          <w:rFonts w:hint="eastAsia" w:ascii="宋体" w:hAnsi="宋体" w:eastAsia="宋体" w:cs="宋体"/>
          <w:color w:val="auto"/>
          <w:highlight w:val="none"/>
        </w:rPr>
        <w:t>招标公告</w:t>
      </w:r>
      <w:bookmarkEnd w:id="0"/>
    </w:p>
    <w:p w14:paraId="491DF993">
      <w:pPr>
        <w:widowControl/>
        <w:shd w:val="clear" w:color="auto"/>
        <w:kinsoku/>
        <w:overflowPunct/>
        <w:topLinePunct w:val="0"/>
        <w:bidi w:val="0"/>
        <w:spacing w:line="440" w:lineRule="exact"/>
        <w:ind w:firstLine="420" w:firstLineChars="200"/>
        <w:jc w:val="left"/>
        <w:rPr>
          <w:rFonts w:hint="eastAsia" w:ascii="宋体" w:hAnsi="宋体" w:cs="宋体"/>
          <w:color w:val="auto"/>
          <w:kern w:val="0"/>
          <w:highlight w:val="none"/>
          <w:shd w:val="clear" w:color="auto" w:fill="FFFFFF"/>
          <w:lang w:bidi="ar"/>
        </w:rPr>
      </w:pPr>
      <w:r>
        <w:rPr>
          <w:rFonts w:hint="eastAsia" w:ascii="宋体" w:hAnsi="宋体" w:cs="宋体"/>
          <w:color w:val="auto"/>
          <w:kern w:val="0"/>
          <w:highlight w:val="none"/>
          <w:shd w:val="clear" w:color="auto" w:fill="FFFFFF"/>
          <w:lang w:bidi="ar"/>
        </w:rPr>
        <w:t>项目概况</w:t>
      </w:r>
    </w:p>
    <w:p w14:paraId="05CE152E">
      <w:pPr>
        <w:keepNext w:val="0"/>
        <w:keepLines w:val="0"/>
        <w:pageBreakBefore w:val="0"/>
        <w:widowControl/>
        <w:shd w:val="clear" w:color="auto"/>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kern w:val="0"/>
          <w:highlight w:val="none"/>
          <w:shd w:val="clear" w:color="auto" w:fill="FFFFFF"/>
          <w:lang w:bidi="ar"/>
        </w:rPr>
      </w:pPr>
      <w:r>
        <w:rPr>
          <w:rFonts w:hint="eastAsia" w:ascii="宋体" w:hAnsi="宋体" w:cs="宋体"/>
          <w:color w:val="auto"/>
          <w:kern w:val="0"/>
          <w:highlight w:val="none"/>
          <w:u w:val="single"/>
          <w:shd w:val="clear" w:color="auto" w:fill="FFFFFF"/>
          <w:lang w:bidi="ar"/>
        </w:rPr>
        <w:t>琅琊山欧阳修家风家训文旅综合体项目造价复审</w:t>
      </w:r>
      <w:r>
        <w:rPr>
          <w:rFonts w:hint="eastAsia" w:ascii="宋体" w:hAnsi="宋体" w:cs="宋体"/>
          <w:color w:val="auto"/>
          <w:kern w:val="0"/>
          <w:highlight w:val="none"/>
          <w:shd w:val="clear" w:color="auto" w:fill="FFFFFF"/>
          <w:lang w:bidi="ar"/>
        </w:rPr>
        <w:t>的潜在投标人应在</w:t>
      </w:r>
      <w:r>
        <w:rPr>
          <w:rFonts w:hint="eastAsia" w:ascii="宋体" w:hAnsi="宋体" w:cs="宋体"/>
          <w:color w:val="auto"/>
          <w:kern w:val="0"/>
          <w:highlight w:val="none"/>
          <w:u w:val="single"/>
          <w:shd w:val="clear" w:color="auto" w:fill="FFFFFF"/>
          <w:lang w:bidi="ar"/>
        </w:rPr>
        <w:t>安徽省琅琊山旅游发展有限公司（https://www.lysfjq.cn/）或滁州市城投工程咨询管理有限公司（https://www.czctgczx.com/）网站</w:t>
      </w:r>
      <w:r>
        <w:rPr>
          <w:rFonts w:hint="eastAsia" w:ascii="宋体" w:hAnsi="宋体" w:cs="宋体"/>
          <w:color w:val="auto"/>
          <w:kern w:val="0"/>
          <w:highlight w:val="none"/>
          <w:shd w:val="clear" w:color="auto" w:fill="FFFFFF"/>
          <w:lang w:bidi="ar"/>
        </w:rPr>
        <w:t>获取招标文件，并于</w:t>
      </w:r>
      <w:r>
        <w:rPr>
          <w:rFonts w:hint="eastAsia" w:ascii="宋体" w:hAnsi="宋体" w:cs="宋体"/>
          <w:color w:val="auto"/>
          <w:kern w:val="0"/>
          <w:highlight w:val="none"/>
          <w:u w:val="single"/>
          <w:shd w:val="clear" w:color="auto" w:fill="FFFFFF"/>
          <w:lang w:bidi="ar"/>
        </w:rPr>
        <w:t>2026年9月</w:t>
      </w:r>
      <w:r>
        <w:rPr>
          <w:rFonts w:hint="eastAsia" w:ascii="宋体" w:hAnsi="宋体" w:cs="宋体"/>
          <w:color w:val="auto"/>
          <w:kern w:val="0"/>
          <w:highlight w:val="none"/>
          <w:u w:val="single"/>
          <w:shd w:val="clear" w:color="auto" w:fill="FFFFFF"/>
          <w:lang w:val="en-US" w:eastAsia="zh-CN" w:bidi="ar"/>
        </w:rPr>
        <w:t>11</w:t>
      </w:r>
      <w:r>
        <w:rPr>
          <w:rFonts w:hint="eastAsia" w:ascii="宋体" w:hAnsi="宋体" w:cs="宋体"/>
          <w:color w:val="auto"/>
          <w:kern w:val="0"/>
          <w:highlight w:val="none"/>
          <w:u w:val="single"/>
          <w:shd w:val="clear" w:color="auto" w:fill="FFFFFF"/>
          <w:lang w:bidi="ar"/>
        </w:rPr>
        <w:t>日</w:t>
      </w:r>
      <w:r>
        <w:rPr>
          <w:rFonts w:hint="eastAsia" w:ascii="宋体" w:hAnsi="宋体" w:cs="宋体"/>
          <w:color w:val="auto"/>
          <w:kern w:val="0"/>
          <w:highlight w:val="none"/>
          <w:u w:val="single"/>
          <w:shd w:val="clear" w:color="auto" w:fill="FFFFFF"/>
          <w:lang w:val="en-US" w:eastAsia="zh-CN" w:bidi="ar"/>
        </w:rPr>
        <w:t>9</w:t>
      </w:r>
      <w:r>
        <w:rPr>
          <w:rFonts w:hint="eastAsia" w:ascii="宋体" w:hAnsi="宋体" w:cs="宋体"/>
          <w:color w:val="auto"/>
          <w:kern w:val="0"/>
          <w:highlight w:val="none"/>
          <w:u w:val="single"/>
          <w:shd w:val="clear" w:color="auto" w:fill="FFFFFF"/>
          <w:lang w:bidi="ar"/>
        </w:rPr>
        <w:t>点</w:t>
      </w:r>
      <w:r>
        <w:rPr>
          <w:rFonts w:hint="eastAsia" w:ascii="宋体" w:hAnsi="宋体" w:cs="宋体"/>
          <w:color w:val="auto"/>
          <w:kern w:val="0"/>
          <w:highlight w:val="none"/>
          <w:u w:val="single"/>
          <w:shd w:val="clear" w:color="auto" w:fill="FFFFFF"/>
          <w:lang w:val="en-US" w:eastAsia="zh-CN" w:bidi="ar"/>
        </w:rPr>
        <w:t>0</w:t>
      </w:r>
      <w:r>
        <w:rPr>
          <w:rFonts w:hint="eastAsia" w:ascii="宋体" w:hAnsi="宋体" w:cs="宋体"/>
          <w:color w:val="auto"/>
          <w:kern w:val="0"/>
          <w:highlight w:val="none"/>
          <w:u w:val="single"/>
          <w:shd w:val="clear" w:color="auto" w:fill="FFFFFF"/>
          <w:lang w:bidi="ar"/>
        </w:rPr>
        <w:t>0分</w:t>
      </w:r>
      <w:r>
        <w:rPr>
          <w:rFonts w:hint="eastAsia" w:ascii="宋体" w:hAnsi="宋体" w:cs="宋体"/>
          <w:color w:val="auto"/>
          <w:kern w:val="0"/>
          <w:highlight w:val="none"/>
          <w:shd w:val="clear" w:color="auto" w:fill="FFFFFF"/>
          <w:lang w:bidi="ar"/>
        </w:rPr>
        <w:t>（北京时间）前递交投标文件。</w:t>
      </w:r>
    </w:p>
    <w:p w14:paraId="6D4AF6A4">
      <w:pPr>
        <w:keepNext/>
        <w:keepLines/>
        <w:shd w:val="clear"/>
        <w:kinsoku/>
        <w:overflowPunct/>
        <w:topLinePunct w:val="0"/>
        <w:bidi w:val="0"/>
        <w:spacing w:before="100" w:after="100" w:line="440" w:lineRule="exact"/>
        <w:ind w:firstLine="422" w:firstLineChars="200"/>
        <w:rPr>
          <w:rFonts w:ascii="宋体" w:hAnsi="宋体" w:cs="宋体"/>
          <w:color w:val="auto"/>
          <w:highlight w:val="none"/>
        </w:rPr>
      </w:pPr>
      <w:bookmarkStart w:id="2" w:name="_Toc31215"/>
      <w:bookmarkStart w:id="3" w:name="_Toc11704"/>
      <w:bookmarkStart w:id="4" w:name="_Toc28359002"/>
      <w:bookmarkStart w:id="5" w:name="_Toc35393621"/>
      <w:bookmarkStart w:id="6" w:name="_Toc28359079"/>
      <w:bookmarkStart w:id="7" w:name="_Toc23993"/>
      <w:bookmarkStart w:id="8" w:name="_Toc35393790"/>
      <w:bookmarkStart w:id="9" w:name="_Hlk24379207"/>
      <w:r>
        <w:rPr>
          <w:rFonts w:hint="eastAsia" w:ascii="宋体" w:hAnsi="宋体" w:cs="宋体"/>
          <w:b/>
          <w:bCs/>
          <w:color w:val="auto"/>
          <w:highlight w:val="none"/>
        </w:rPr>
        <w:t>一、项目基本情况</w:t>
      </w:r>
      <w:bookmarkEnd w:id="2"/>
      <w:bookmarkEnd w:id="3"/>
      <w:bookmarkEnd w:id="4"/>
      <w:bookmarkEnd w:id="5"/>
      <w:bookmarkEnd w:id="6"/>
      <w:bookmarkEnd w:id="7"/>
      <w:bookmarkEnd w:id="8"/>
    </w:p>
    <w:bookmarkEnd w:id="9"/>
    <w:p w14:paraId="0DDEE218">
      <w:pPr>
        <w:widowControl/>
        <w:shd w:val="clear" w:color="auto"/>
        <w:kinsoku/>
        <w:overflowPunct/>
        <w:topLinePunct w:val="0"/>
        <w:bidi w:val="0"/>
        <w:spacing w:line="440" w:lineRule="exact"/>
        <w:ind w:firstLine="420" w:firstLineChars="200"/>
        <w:jc w:val="left"/>
        <w:rPr>
          <w:rFonts w:ascii="宋体" w:hAnsi="宋体" w:cs="宋体"/>
          <w:color w:val="auto"/>
          <w:kern w:val="0"/>
          <w:highlight w:val="none"/>
          <w:shd w:val="clear" w:color="auto" w:fill="FFFFFF"/>
          <w:lang w:bidi="ar"/>
        </w:rPr>
      </w:pPr>
      <w:bookmarkStart w:id="10" w:name="_Toc28359003"/>
      <w:bookmarkStart w:id="11" w:name="_Toc28004"/>
      <w:bookmarkStart w:id="12" w:name="_Toc35393791"/>
      <w:bookmarkStart w:id="13" w:name="_Toc35393622"/>
      <w:bookmarkStart w:id="14" w:name="_Toc28359080"/>
      <w:bookmarkStart w:id="15" w:name="_Toc4879"/>
      <w:r>
        <w:rPr>
          <w:rFonts w:hint="eastAsia" w:ascii="宋体" w:hAnsi="宋体" w:cs="宋体"/>
          <w:color w:val="auto"/>
          <w:kern w:val="0"/>
          <w:highlight w:val="none"/>
          <w:shd w:val="clear" w:color="auto" w:fill="FFFFFF"/>
          <w:lang w:bidi="ar"/>
        </w:rPr>
        <w:t>项目编号：HXJY1110001062895001</w:t>
      </w:r>
    </w:p>
    <w:p w14:paraId="385CCFA0">
      <w:pPr>
        <w:widowControl/>
        <w:shd w:val="clear" w:color="auto"/>
        <w:kinsoku/>
        <w:overflowPunct/>
        <w:topLinePunct w:val="0"/>
        <w:bidi w:val="0"/>
        <w:spacing w:line="440" w:lineRule="exact"/>
        <w:ind w:firstLine="420" w:firstLineChars="200"/>
        <w:jc w:val="left"/>
        <w:rPr>
          <w:rFonts w:ascii="宋体" w:hAnsi="宋体" w:cs="宋体"/>
          <w:color w:val="auto"/>
          <w:kern w:val="0"/>
          <w:highlight w:val="none"/>
          <w:shd w:val="clear" w:color="auto" w:fill="FFFFFF"/>
          <w:lang w:bidi="ar"/>
        </w:rPr>
      </w:pPr>
      <w:r>
        <w:rPr>
          <w:rFonts w:hint="eastAsia" w:ascii="宋体" w:hAnsi="宋体" w:cs="宋体"/>
          <w:color w:val="auto"/>
          <w:kern w:val="0"/>
          <w:highlight w:val="none"/>
          <w:shd w:val="clear" w:color="auto" w:fill="FFFFFF"/>
          <w:lang w:bidi="ar"/>
        </w:rPr>
        <w:t>项目名称：</w:t>
      </w:r>
      <w:r>
        <w:rPr>
          <w:rFonts w:hint="eastAsia" w:ascii="宋体" w:hAnsi="宋体" w:cs="宋体"/>
          <w:color w:val="auto"/>
          <w:kern w:val="0"/>
          <w:highlight w:val="none"/>
          <w:shd w:val="clear" w:color="auto" w:fill="FFFFFF"/>
          <w:lang w:eastAsia="zh-CN" w:bidi="ar"/>
        </w:rPr>
        <w:t>琅琊山欧阳修家风家训文旅综合体项目造价复审</w:t>
      </w:r>
    </w:p>
    <w:p w14:paraId="6FB1A908">
      <w:pPr>
        <w:widowControl/>
        <w:shd w:val="clear" w:color="auto"/>
        <w:kinsoku/>
        <w:overflowPunct/>
        <w:topLinePunct w:val="0"/>
        <w:bidi w:val="0"/>
        <w:spacing w:line="440" w:lineRule="exact"/>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kern w:val="0"/>
          <w:highlight w:val="none"/>
          <w:shd w:val="clear" w:color="auto" w:fill="FFFFFF"/>
          <w:lang w:bidi="ar"/>
        </w:rPr>
        <w:t>预算金额：</w:t>
      </w:r>
      <w:r>
        <w:rPr>
          <w:rFonts w:hint="eastAsia" w:ascii="宋体" w:hAnsi="宋体" w:cs="宋体"/>
          <w:color w:val="auto"/>
          <w:kern w:val="0"/>
          <w:highlight w:val="none"/>
          <w:shd w:val="clear" w:color="auto" w:fill="FFFFFF"/>
          <w:lang w:val="en-US" w:eastAsia="zh-CN" w:bidi="ar"/>
        </w:rPr>
        <w:t>按造价编制单位成果收费的10%计取，约264</w:t>
      </w:r>
      <w:r>
        <w:rPr>
          <w:rFonts w:hint="eastAsia" w:ascii="宋体" w:hAnsi="宋体" w:cs="宋体"/>
          <w:color w:val="auto"/>
          <w:kern w:val="0"/>
          <w:highlight w:val="none"/>
          <w:shd w:val="clear" w:color="auto" w:fill="FFFFFF"/>
          <w:lang w:eastAsia="zh-CN" w:bidi="ar"/>
        </w:rPr>
        <w:t>0元</w:t>
      </w:r>
    </w:p>
    <w:p w14:paraId="1F47716B">
      <w:pPr>
        <w:widowControl/>
        <w:shd w:val="clear" w:color="auto"/>
        <w:kinsoku/>
        <w:overflowPunct/>
        <w:topLinePunct w:val="0"/>
        <w:bidi w:val="0"/>
        <w:spacing w:line="440" w:lineRule="exact"/>
        <w:ind w:firstLine="420" w:firstLineChars="200"/>
        <w:jc w:val="left"/>
        <w:rPr>
          <w:rFonts w:hint="eastAsia" w:ascii="宋体" w:hAnsi="宋体" w:eastAsia="宋体" w:cs="宋体"/>
          <w:color w:val="auto"/>
          <w:kern w:val="0"/>
          <w:highlight w:val="none"/>
          <w:shd w:val="clear" w:color="auto" w:fill="FFFFFF"/>
          <w:lang w:eastAsia="zh-CN" w:bidi="ar"/>
        </w:rPr>
      </w:pPr>
      <w:r>
        <w:rPr>
          <w:rFonts w:hint="eastAsia" w:ascii="宋体" w:hAnsi="宋体" w:cs="宋体"/>
          <w:color w:val="auto"/>
          <w:kern w:val="0"/>
          <w:highlight w:val="none"/>
          <w:shd w:val="clear" w:color="auto" w:fill="FFFFFF"/>
          <w:lang w:bidi="ar"/>
        </w:rPr>
        <w:t>最高限价（费率）：</w:t>
      </w:r>
      <w:r>
        <w:rPr>
          <w:rFonts w:hint="eastAsia" w:ascii="宋体" w:hAnsi="宋体" w:cs="宋体"/>
          <w:color w:val="auto"/>
          <w:kern w:val="0"/>
          <w:highlight w:val="none"/>
          <w:shd w:val="clear" w:color="auto" w:fill="FFFFFF"/>
          <w:lang w:eastAsia="zh-CN" w:bidi="ar"/>
        </w:rPr>
        <w:t>本项目投标报价采用百分比费率报价，最高限价为100.00%（百分数小数点后最多保留两位小数，否则第三位将四舍五入），投标报价（费率）不得高于最高限价，否则，按无效标处理。</w:t>
      </w:r>
    </w:p>
    <w:p w14:paraId="0D6A1023">
      <w:pPr>
        <w:widowControl/>
        <w:shd w:val="clear" w:color="auto"/>
        <w:kinsoku/>
        <w:overflowPunct/>
        <w:topLinePunct w:val="0"/>
        <w:bidi w:val="0"/>
        <w:spacing w:line="440" w:lineRule="exact"/>
        <w:ind w:firstLine="420" w:firstLineChars="200"/>
        <w:jc w:val="left"/>
        <w:rPr>
          <w:rFonts w:hint="eastAsia" w:ascii="宋体" w:hAnsi="宋体" w:cs="宋体"/>
          <w:color w:val="auto"/>
          <w:kern w:val="0"/>
          <w:highlight w:val="none"/>
          <w:shd w:val="clear" w:color="auto" w:fill="FFFFFF"/>
          <w:lang w:bidi="ar"/>
        </w:rPr>
      </w:pPr>
      <w:r>
        <w:rPr>
          <w:rFonts w:hint="eastAsia" w:ascii="宋体" w:hAnsi="宋体" w:cs="宋体"/>
          <w:color w:val="auto"/>
          <w:kern w:val="0"/>
          <w:highlight w:val="none"/>
          <w:shd w:val="clear" w:color="auto" w:fill="FFFFFF"/>
          <w:lang w:bidi="ar"/>
        </w:rPr>
        <w:t>服务需求：</w:t>
      </w:r>
      <w:r>
        <w:rPr>
          <w:rFonts w:hint="eastAsia" w:ascii="宋体" w:hAnsi="宋体" w:cs="宋体"/>
          <w:color w:val="auto"/>
          <w:kern w:val="0"/>
          <w:highlight w:val="none"/>
          <w:shd w:val="clear" w:color="auto" w:fill="FFFFFF"/>
          <w:lang w:val="en-US" w:eastAsia="zh-CN" w:bidi="ar"/>
        </w:rPr>
        <w:t>施工</w:t>
      </w:r>
      <w:r>
        <w:rPr>
          <w:rFonts w:hint="eastAsia" w:ascii="宋体" w:hAnsi="宋体" w:cs="宋体"/>
          <w:color w:val="auto"/>
          <w:kern w:val="0"/>
          <w:highlight w:val="none"/>
          <w:shd w:val="clear" w:color="auto" w:fill="FFFFFF"/>
          <w:lang w:eastAsia="zh-CN" w:bidi="ar"/>
        </w:rPr>
        <w:t>项目的</w:t>
      </w:r>
      <w:r>
        <w:rPr>
          <w:rFonts w:hint="eastAsia" w:ascii="宋体" w:hAnsi="宋体" w:cs="宋体"/>
          <w:color w:val="auto"/>
          <w:kern w:val="0"/>
          <w:highlight w:val="none"/>
          <w:shd w:val="clear" w:color="auto" w:fill="FFFFFF"/>
          <w:lang w:bidi="ar"/>
        </w:rPr>
        <w:t>工程量清单及</w:t>
      </w:r>
      <w:r>
        <w:rPr>
          <w:rFonts w:hint="eastAsia" w:ascii="宋体" w:hAnsi="宋体" w:cs="宋体"/>
          <w:color w:val="auto"/>
          <w:kern w:val="0"/>
          <w:highlight w:val="none"/>
          <w:shd w:val="clear" w:color="auto" w:fill="FFFFFF"/>
          <w:lang w:eastAsia="zh-CN" w:bidi="ar"/>
        </w:rPr>
        <w:t>控制价</w:t>
      </w:r>
      <w:r>
        <w:rPr>
          <w:rFonts w:hint="eastAsia" w:ascii="宋体" w:hAnsi="宋体" w:cs="宋体"/>
          <w:color w:val="auto"/>
          <w:kern w:val="0"/>
          <w:highlight w:val="none"/>
          <w:shd w:val="clear" w:color="auto" w:fill="FFFFFF"/>
          <w:lang w:bidi="ar"/>
        </w:rPr>
        <w:t>复审，主要包括但不限于以下内容：（1）合规性复查：核对编制范围、计价依据、税率及编制说明是否符合批复文件、计价规范与合同约定；（2）清单质量复核：检查项目特征描述是否准确完整，工程量是否存在重算、漏算等偏差；（3）组价与定价核验：分析综合单价是否畸高畸低，核查定额套用是否错误，确认材料设备价格是否有据可依。（4）措施及费用审核：复核安全文明施工费等取费基数与费率是否正确，暂列金额、暂估价设置是否合理。</w:t>
      </w:r>
    </w:p>
    <w:p w14:paraId="44AEBE9C">
      <w:pPr>
        <w:widowControl/>
        <w:shd w:val="clear" w:color="auto"/>
        <w:kinsoku/>
        <w:overflowPunct/>
        <w:topLinePunct w:val="0"/>
        <w:bidi w:val="0"/>
        <w:spacing w:line="440" w:lineRule="exact"/>
        <w:ind w:firstLine="420" w:firstLineChars="200"/>
        <w:jc w:val="left"/>
        <w:rPr>
          <w:rFonts w:hint="eastAsia" w:ascii="宋体" w:hAnsi="宋体" w:eastAsia="宋体" w:cs="宋体"/>
          <w:color w:val="auto"/>
          <w:kern w:val="0"/>
          <w:highlight w:val="none"/>
          <w:shd w:val="clear" w:color="auto" w:fill="FFFFFF"/>
          <w:lang w:eastAsia="zh-CN" w:bidi="ar"/>
        </w:rPr>
      </w:pPr>
      <w:r>
        <w:rPr>
          <w:rFonts w:hint="eastAsia" w:ascii="宋体" w:hAnsi="宋体" w:cs="宋体"/>
          <w:color w:val="auto"/>
          <w:kern w:val="0"/>
          <w:highlight w:val="none"/>
          <w:shd w:val="clear" w:color="auto" w:fill="FFFFFF"/>
          <w:lang w:bidi="ar"/>
        </w:rPr>
        <w:t>合同履行期限：</w:t>
      </w:r>
      <w:r>
        <w:rPr>
          <w:rFonts w:hint="eastAsia" w:ascii="宋体" w:hAnsi="宋体" w:cs="宋体"/>
          <w:color w:val="auto"/>
          <w:kern w:val="0"/>
          <w:highlight w:val="none"/>
          <w:shd w:val="clear" w:color="auto" w:fill="FFFFFF"/>
          <w:lang w:eastAsia="zh-CN" w:bidi="ar"/>
        </w:rPr>
        <w:t>自</w:t>
      </w:r>
      <w:r>
        <w:rPr>
          <w:rFonts w:hint="eastAsia" w:ascii="宋体" w:hAnsi="宋体" w:cs="宋体"/>
          <w:color w:val="auto"/>
          <w:kern w:val="0"/>
          <w:highlight w:val="none"/>
          <w:shd w:val="clear" w:color="auto" w:fill="FFFFFF"/>
          <w:lang w:val="en-US" w:eastAsia="zh-CN" w:bidi="ar"/>
        </w:rPr>
        <w:t>收到造价编制成果文件之日</w:t>
      </w:r>
      <w:r>
        <w:rPr>
          <w:rFonts w:hint="eastAsia" w:ascii="宋体" w:hAnsi="宋体" w:cs="宋体"/>
          <w:color w:val="auto"/>
          <w:kern w:val="0"/>
          <w:highlight w:val="none"/>
          <w:shd w:val="clear" w:color="auto" w:fill="FFFFFF"/>
          <w:lang w:eastAsia="zh-CN" w:bidi="ar"/>
        </w:rPr>
        <w:t>起</w:t>
      </w:r>
      <w:r>
        <w:rPr>
          <w:rFonts w:hint="eastAsia" w:ascii="宋体" w:hAnsi="宋体" w:cs="宋体"/>
          <w:color w:val="auto"/>
          <w:kern w:val="0"/>
          <w:highlight w:val="none"/>
          <w:shd w:val="clear" w:color="auto" w:fill="FFFFFF"/>
          <w:lang w:val="en-US" w:eastAsia="zh-CN" w:bidi="ar"/>
        </w:rPr>
        <w:t>10</w:t>
      </w:r>
      <w:r>
        <w:rPr>
          <w:rFonts w:hint="eastAsia" w:ascii="宋体" w:hAnsi="宋体" w:cs="宋体"/>
          <w:color w:val="auto"/>
          <w:kern w:val="0"/>
          <w:highlight w:val="none"/>
          <w:shd w:val="clear" w:color="auto" w:fill="FFFFFF"/>
          <w:lang w:eastAsia="zh-CN" w:bidi="ar"/>
        </w:rPr>
        <w:t>日内</w:t>
      </w:r>
      <w:r>
        <w:rPr>
          <w:rFonts w:hint="eastAsia" w:ascii="宋体" w:hAnsi="宋体" w:cs="宋体"/>
          <w:color w:val="auto"/>
          <w:kern w:val="0"/>
          <w:highlight w:val="none"/>
          <w:shd w:val="clear" w:color="auto" w:fill="FFFFFF"/>
          <w:lang w:val="en-US" w:eastAsia="zh-CN" w:bidi="ar"/>
        </w:rPr>
        <w:t>完成复审</w:t>
      </w:r>
      <w:r>
        <w:rPr>
          <w:rFonts w:hint="eastAsia" w:ascii="宋体" w:hAnsi="宋体" w:cs="宋体"/>
          <w:color w:val="auto"/>
          <w:kern w:val="0"/>
          <w:highlight w:val="none"/>
          <w:shd w:val="clear" w:color="auto" w:fill="FFFFFF"/>
          <w:lang w:eastAsia="zh-CN" w:bidi="ar"/>
        </w:rPr>
        <w:t>。</w:t>
      </w:r>
    </w:p>
    <w:p w14:paraId="55F58EBC">
      <w:pPr>
        <w:widowControl/>
        <w:shd w:val="clear" w:color="auto"/>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kern w:val="0"/>
          <w:highlight w:val="none"/>
          <w:shd w:val="clear" w:color="auto" w:fill="FFFFFF"/>
          <w:lang w:bidi="ar"/>
        </w:rPr>
        <w:t>本项目不接受联合体</w:t>
      </w:r>
      <w:r>
        <w:rPr>
          <w:rFonts w:hint="eastAsia" w:ascii="宋体" w:hAnsi="宋体" w:cs="宋体"/>
          <w:color w:val="auto"/>
          <w:kern w:val="0"/>
          <w:highlight w:val="none"/>
          <w:shd w:val="clear" w:color="auto" w:fill="FFFFFF"/>
          <w:lang w:val="en-US" w:eastAsia="zh-CN" w:bidi="ar"/>
        </w:rPr>
        <w:t>投标</w:t>
      </w:r>
      <w:r>
        <w:rPr>
          <w:rFonts w:hint="eastAsia" w:ascii="宋体" w:hAnsi="宋体" w:cs="宋体"/>
          <w:color w:val="auto"/>
          <w:kern w:val="0"/>
          <w:highlight w:val="none"/>
          <w:shd w:val="clear" w:color="auto" w:fill="FFFFFF"/>
          <w:lang w:bidi="ar"/>
        </w:rPr>
        <w:t>。</w:t>
      </w:r>
    </w:p>
    <w:p w14:paraId="5C041ACC">
      <w:pPr>
        <w:keepNext/>
        <w:keepLines/>
        <w:shd w:val="clear"/>
        <w:kinsoku/>
        <w:overflowPunct/>
        <w:topLinePunct w:val="0"/>
        <w:bidi w:val="0"/>
        <w:spacing w:before="100" w:after="100" w:line="440" w:lineRule="exact"/>
        <w:ind w:firstLine="422" w:firstLineChars="200"/>
        <w:rPr>
          <w:rFonts w:ascii="宋体" w:hAnsi="宋体" w:cs="宋体"/>
          <w:b/>
          <w:bCs/>
          <w:color w:val="auto"/>
          <w:highlight w:val="none"/>
        </w:rPr>
      </w:pPr>
      <w:bookmarkStart w:id="16" w:name="_Toc30013"/>
      <w:r>
        <w:rPr>
          <w:rFonts w:hint="eastAsia" w:ascii="宋体" w:hAnsi="宋体" w:cs="宋体"/>
          <w:b/>
          <w:bCs/>
          <w:color w:val="auto"/>
          <w:highlight w:val="none"/>
        </w:rPr>
        <w:t>二、申请人的资格要求</w:t>
      </w:r>
      <w:bookmarkEnd w:id="10"/>
      <w:bookmarkEnd w:id="11"/>
      <w:bookmarkEnd w:id="12"/>
      <w:bookmarkEnd w:id="13"/>
      <w:bookmarkEnd w:id="14"/>
      <w:bookmarkEnd w:id="15"/>
      <w:bookmarkEnd w:id="16"/>
    </w:p>
    <w:p w14:paraId="73BF1FBA">
      <w:pPr>
        <w:shd w:val="clear"/>
        <w:kinsoku/>
        <w:overflowPunct/>
        <w:topLinePunct w:val="0"/>
        <w:bidi w:val="0"/>
        <w:spacing w:line="440" w:lineRule="exact"/>
        <w:ind w:firstLine="420" w:firstLineChars="200"/>
        <w:rPr>
          <w:rFonts w:ascii="宋体" w:hAnsi="宋体" w:cs="宋体"/>
          <w:color w:val="auto"/>
          <w:highlight w:val="none"/>
        </w:rPr>
      </w:pPr>
      <w:bookmarkStart w:id="17" w:name="_Toc28359081"/>
      <w:bookmarkStart w:id="18" w:name="_Toc35393792"/>
      <w:bookmarkStart w:id="19" w:name="_Toc28359004"/>
      <w:bookmarkStart w:id="20" w:name="_Toc35393623"/>
      <w:bookmarkStart w:id="21" w:name="_Toc7189"/>
      <w:bookmarkStart w:id="22" w:name="_Toc2689"/>
      <w:bookmarkStart w:id="23" w:name="_Toc28172"/>
      <w:r>
        <w:rPr>
          <w:rFonts w:hint="eastAsia" w:ascii="宋体" w:hAnsi="宋体" w:cs="宋体"/>
          <w:color w:val="auto"/>
          <w:highlight w:val="none"/>
        </w:rPr>
        <w:t>1.投标人要求：</w:t>
      </w:r>
      <w:r>
        <w:rPr>
          <w:rFonts w:hint="eastAsia" w:ascii="宋体" w:hAnsi="宋体" w:cs="宋体"/>
          <w:color w:val="auto"/>
          <w:kern w:val="0"/>
          <w:highlight w:val="none"/>
          <w:shd w:val="clear" w:color="auto" w:fill="FFFFFF"/>
          <w:lang w:bidi="ar"/>
        </w:rPr>
        <w:t>须具有独立承担民事责任的能力；</w:t>
      </w:r>
    </w:p>
    <w:p w14:paraId="26943B66">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2.项目负责人要求：须具有注册在</w:t>
      </w:r>
      <w:r>
        <w:rPr>
          <w:rFonts w:hint="eastAsia" w:ascii="宋体" w:hAnsi="宋体" w:cs="宋体"/>
          <w:color w:val="auto"/>
          <w:highlight w:val="none"/>
          <w:lang w:val="en-US" w:eastAsia="zh-CN"/>
        </w:rPr>
        <w:t>投标</w:t>
      </w:r>
      <w:r>
        <w:rPr>
          <w:rFonts w:hint="eastAsia" w:ascii="宋体" w:hAnsi="宋体" w:cs="宋体"/>
          <w:color w:val="auto"/>
          <w:highlight w:val="none"/>
        </w:rPr>
        <w:t>单位的土木建筑工程专业一级注册造价工程师（或原注册造价工程师）；</w:t>
      </w:r>
    </w:p>
    <w:p w14:paraId="2F22D712">
      <w:pPr>
        <w:shd w:val="clear"/>
        <w:kinsoku/>
        <w:overflowPunct/>
        <w:topLinePunct w:val="0"/>
        <w:bidi w:val="0"/>
        <w:spacing w:line="440" w:lineRule="exact"/>
        <w:ind w:firstLine="420" w:firstLineChars="200"/>
        <w:rPr>
          <w:rFonts w:ascii="宋体" w:hAnsi="宋体" w:cs="宋体"/>
          <w:b/>
          <w:bCs/>
          <w:color w:val="auto"/>
          <w:highlight w:val="none"/>
        </w:rPr>
      </w:pPr>
      <w:r>
        <w:rPr>
          <w:rFonts w:hint="eastAsia" w:ascii="宋体" w:hAnsi="宋体" w:cs="宋体"/>
          <w:color w:val="auto"/>
          <w:highlight w:val="none"/>
        </w:rPr>
        <w:t>3.其他要求：项目组其他成员（不含项目负责人）要求：不少于2名注册</w:t>
      </w:r>
      <w:r>
        <w:rPr>
          <w:rFonts w:hint="eastAsia" w:ascii="宋体" w:hAnsi="宋体" w:cs="宋体"/>
          <w:color w:val="auto"/>
          <w:highlight w:val="none"/>
          <w:lang w:val="en-US" w:eastAsia="zh-CN"/>
        </w:rPr>
        <w:t>在投标单位</w:t>
      </w:r>
      <w:r>
        <w:rPr>
          <w:rFonts w:hint="eastAsia" w:ascii="宋体" w:hAnsi="宋体" w:cs="宋体"/>
          <w:color w:val="auto"/>
          <w:highlight w:val="none"/>
        </w:rPr>
        <w:t>的二级及以上造价工程师（</w:t>
      </w:r>
      <w:r>
        <w:rPr>
          <w:rFonts w:hint="eastAsia" w:ascii="宋体" w:hAnsi="宋体" w:cs="宋体"/>
          <w:color w:val="auto"/>
          <w:highlight w:val="none"/>
          <w:lang w:val="en-US" w:eastAsia="zh-CN"/>
        </w:rPr>
        <w:t>其中</w:t>
      </w:r>
      <w:r>
        <w:rPr>
          <w:rFonts w:hint="eastAsia" w:ascii="宋体" w:hAnsi="宋体" w:cs="宋体"/>
          <w:color w:val="auto"/>
          <w:highlight w:val="none"/>
        </w:rPr>
        <w:t>土木建筑工程专业</w:t>
      </w:r>
      <w:r>
        <w:rPr>
          <w:rFonts w:hint="eastAsia" w:ascii="宋体" w:hAnsi="宋体" w:cs="宋体"/>
          <w:color w:val="auto"/>
          <w:highlight w:val="none"/>
          <w:lang w:val="en-US" w:eastAsia="zh-CN"/>
        </w:rPr>
        <w:t>不少于</w:t>
      </w:r>
      <w:r>
        <w:rPr>
          <w:rFonts w:hint="eastAsia" w:ascii="宋体" w:hAnsi="宋体" w:cs="宋体"/>
          <w:color w:val="auto"/>
          <w:highlight w:val="none"/>
        </w:rPr>
        <w:t>1名、安装工程专业至少1名）。</w:t>
      </w:r>
    </w:p>
    <w:p w14:paraId="5B725961">
      <w:pPr>
        <w:keepNext/>
        <w:keepLines/>
        <w:shd w:val="clear"/>
        <w:kinsoku/>
        <w:overflowPunct/>
        <w:topLinePunct w:val="0"/>
        <w:bidi w:val="0"/>
        <w:spacing w:before="100" w:after="100" w:line="440" w:lineRule="exact"/>
        <w:ind w:firstLine="422" w:firstLineChars="200"/>
        <w:rPr>
          <w:rFonts w:ascii="宋体" w:hAnsi="宋体" w:cs="宋体"/>
          <w:b/>
          <w:bCs/>
          <w:color w:val="auto"/>
          <w:highlight w:val="none"/>
        </w:rPr>
      </w:pPr>
      <w:r>
        <w:rPr>
          <w:rFonts w:hint="eastAsia" w:ascii="宋体" w:hAnsi="宋体" w:cs="宋体"/>
          <w:b/>
          <w:bCs/>
          <w:color w:val="auto"/>
          <w:highlight w:val="none"/>
        </w:rPr>
        <w:t>三、获取</w:t>
      </w:r>
      <w:bookmarkEnd w:id="17"/>
      <w:bookmarkEnd w:id="18"/>
      <w:bookmarkEnd w:id="19"/>
      <w:bookmarkEnd w:id="20"/>
      <w:bookmarkEnd w:id="21"/>
      <w:bookmarkEnd w:id="22"/>
      <w:bookmarkEnd w:id="23"/>
      <w:r>
        <w:rPr>
          <w:rFonts w:hint="eastAsia" w:ascii="宋体" w:hAnsi="宋体" w:cs="宋体"/>
          <w:b/>
          <w:bCs/>
          <w:color w:val="auto"/>
          <w:highlight w:val="none"/>
        </w:rPr>
        <w:t>招标文件</w:t>
      </w:r>
    </w:p>
    <w:p w14:paraId="08E195EC">
      <w:pPr>
        <w:widowControl/>
        <w:shd w:val="clear" w:color="auto"/>
        <w:kinsoku/>
        <w:wordWrap w:val="0"/>
        <w:overflowPunct/>
        <w:topLinePunct w:val="0"/>
        <w:bidi w:val="0"/>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时间：2026年9月</w:t>
      </w:r>
      <w:r>
        <w:rPr>
          <w:rFonts w:hint="eastAsia" w:ascii="宋体" w:hAnsi="宋体" w:cs="宋体"/>
          <w:color w:val="auto"/>
          <w:highlight w:val="none"/>
          <w:lang w:val="en-US" w:eastAsia="zh-CN"/>
        </w:rPr>
        <w:t>4</w:t>
      </w:r>
      <w:r>
        <w:rPr>
          <w:rFonts w:hint="eastAsia" w:ascii="宋体" w:hAnsi="宋体" w:cs="宋体"/>
          <w:color w:val="auto"/>
          <w:highlight w:val="none"/>
        </w:rPr>
        <w:t>日至 2026年9月</w:t>
      </w:r>
      <w:r>
        <w:rPr>
          <w:rFonts w:hint="eastAsia" w:ascii="宋体" w:hAnsi="宋体" w:cs="宋体"/>
          <w:color w:val="auto"/>
          <w:highlight w:val="none"/>
          <w:lang w:val="en-US" w:eastAsia="zh-CN"/>
        </w:rPr>
        <w:t>11</w:t>
      </w:r>
      <w:r>
        <w:rPr>
          <w:rFonts w:hint="eastAsia" w:ascii="宋体" w:hAnsi="宋体" w:cs="宋体"/>
          <w:color w:val="auto"/>
          <w:highlight w:val="none"/>
        </w:rPr>
        <w:t>日</w:t>
      </w:r>
    </w:p>
    <w:p w14:paraId="49508A92">
      <w:pPr>
        <w:widowControl/>
        <w:shd w:val="clear" w:color="auto"/>
        <w:kinsoku/>
        <w:wordWrap w:val="0"/>
        <w:overflowPunct/>
        <w:topLinePunct w:val="0"/>
        <w:bidi w:val="0"/>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方式：网上下载</w:t>
      </w:r>
    </w:p>
    <w:p w14:paraId="41D6E3E5">
      <w:pPr>
        <w:widowControl/>
        <w:shd w:val="clear" w:color="auto"/>
        <w:kinsoku/>
        <w:wordWrap w:val="0"/>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售价：0元</w:t>
      </w:r>
    </w:p>
    <w:p w14:paraId="398B991F">
      <w:pPr>
        <w:keepNext/>
        <w:keepLines/>
        <w:shd w:val="clear"/>
        <w:kinsoku/>
        <w:overflowPunct/>
        <w:topLinePunct w:val="0"/>
        <w:bidi w:val="0"/>
        <w:spacing w:before="100" w:after="100" w:line="440" w:lineRule="exact"/>
        <w:ind w:firstLine="422" w:firstLineChars="200"/>
        <w:rPr>
          <w:rFonts w:ascii="宋体" w:hAnsi="宋体" w:cs="宋体"/>
          <w:b/>
          <w:bCs/>
          <w:color w:val="auto"/>
          <w:highlight w:val="none"/>
        </w:rPr>
      </w:pPr>
      <w:bookmarkStart w:id="24" w:name="_Toc28359082"/>
      <w:bookmarkStart w:id="25" w:name="_Toc28359005"/>
      <w:bookmarkStart w:id="26" w:name="_Toc35393624"/>
      <w:bookmarkStart w:id="27" w:name="_Toc23486"/>
      <w:bookmarkStart w:id="28" w:name="_Toc35393793"/>
      <w:bookmarkStart w:id="29" w:name="_Toc19139"/>
      <w:bookmarkStart w:id="30" w:name="_Toc6135"/>
      <w:r>
        <w:rPr>
          <w:rFonts w:hint="eastAsia" w:ascii="宋体" w:hAnsi="宋体" w:cs="宋体"/>
          <w:b/>
          <w:bCs/>
          <w:color w:val="auto"/>
          <w:highlight w:val="none"/>
        </w:rPr>
        <w:t>四、提交投标文件</w:t>
      </w:r>
      <w:bookmarkEnd w:id="24"/>
      <w:bookmarkEnd w:id="25"/>
      <w:r>
        <w:rPr>
          <w:rFonts w:hint="eastAsia" w:ascii="宋体" w:hAnsi="宋体" w:cs="宋体"/>
          <w:b/>
          <w:bCs/>
          <w:color w:val="auto"/>
          <w:highlight w:val="none"/>
        </w:rPr>
        <w:t>截止时间、开标时间和地点</w:t>
      </w:r>
      <w:bookmarkEnd w:id="26"/>
      <w:bookmarkEnd w:id="27"/>
      <w:bookmarkEnd w:id="28"/>
      <w:bookmarkEnd w:id="29"/>
      <w:bookmarkEnd w:id="30"/>
    </w:p>
    <w:p w14:paraId="1EBD56AC">
      <w:pPr>
        <w:keepNext w:val="0"/>
        <w:keepLines w:val="0"/>
        <w:pageBreakBefore w:val="0"/>
        <w:widowControl/>
        <w:shd w:val="clear" w:color="auto"/>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kern w:val="0"/>
          <w:highlight w:val="none"/>
          <w:shd w:val="clear" w:color="auto" w:fill="FFFFFF"/>
          <w:lang w:bidi="ar"/>
        </w:rPr>
      </w:pPr>
      <w:bookmarkStart w:id="31" w:name="_Toc28359007"/>
      <w:bookmarkStart w:id="32" w:name="_Toc19623"/>
      <w:bookmarkStart w:id="33" w:name="_Toc35393625"/>
      <w:bookmarkStart w:id="34" w:name="_Toc35393794"/>
      <w:bookmarkStart w:id="35" w:name="_Toc5602"/>
      <w:bookmarkStart w:id="36" w:name="_Toc28359084"/>
      <w:bookmarkStart w:id="37" w:name="_Toc1913"/>
      <w:r>
        <w:rPr>
          <w:rFonts w:hint="eastAsia" w:ascii="宋体" w:hAnsi="宋体" w:cs="宋体"/>
          <w:color w:val="auto"/>
          <w:kern w:val="0"/>
          <w:highlight w:val="none"/>
          <w:shd w:val="clear" w:color="auto" w:fill="FFFFFF"/>
          <w:lang w:bidi="ar"/>
        </w:rPr>
        <w:t>时间：2026年9月</w:t>
      </w:r>
      <w:r>
        <w:rPr>
          <w:rFonts w:hint="eastAsia" w:ascii="宋体" w:hAnsi="宋体" w:cs="宋体"/>
          <w:color w:val="auto"/>
          <w:kern w:val="0"/>
          <w:highlight w:val="none"/>
          <w:shd w:val="clear" w:color="auto" w:fill="FFFFFF"/>
          <w:lang w:val="en-US" w:eastAsia="zh-CN" w:bidi="ar"/>
        </w:rPr>
        <w:t>11</w:t>
      </w:r>
      <w:r>
        <w:rPr>
          <w:rFonts w:hint="eastAsia" w:ascii="宋体" w:hAnsi="宋体" w:cs="宋体"/>
          <w:color w:val="auto"/>
          <w:kern w:val="0"/>
          <w:highlight w:val="none"/>
          <w:shd w:val="clear" w:color="auto" w:fill="FFFFFF"/>
          <w:lang w:bidi="ar"/>
        </w:rPr>
        <w:t>日</w:t>
      </w:r>
      <w:r>
        <w:rPr>
          <w:rFonts w:hint="eastAsia" w:ascii="宋体" w:hAnsi="宋体" w:cs="宋体"/>
          <w:color w:val="auto"/>
          <w:kern w:val="0"/>
          <w:highlight w:val="none"/>
          <w:shd w:val="clear" w:color="auto" w:fill="FFFFFF"/>
          <w:lang w:val="en-US" w:eastAsia="zh-CN" w:bidi="ar"/>
        </w:rPr>
        <w:t>9</w:t>
      </w:r>
      <w:r>
        <w:rPr>
          <w:rFonts w:hint="eastAsia" w:ascii="宋体" w:hAnsi="宋体" w:cs="宋体"/>
          <w:color w:val="auto"/>
          <w:kern w:val="0"/>
          <w:highlight w:val="none"/>
          <w:shd w:val="clear" w:color="auto" w:fill="FFFFFF"/>
          <w:lang w:bidi="ar"/>
        </w:rPr>
        <w:t>时</w:t>
      </w:r>
      <w:r>
        <w:rPr>
          <w:rFonts w:hint="eastAsia" w:ascii="宋体" w:hAnsi="宋体" w:cs="宋体"/>
          <w:color w:val="auto"/>
          <w:kern w:val="0"/>
          <w:highlight w:val="none"/>
          <w:shd w:val="clear" w:color="auto" w:fill="FFFFFF"/>
          <w:lang w:val="en-US" w:eastAsia="zh-CN" w:bidi="ar"/>
        </w:rPr>
        <w:t>0</w:t>
      </w:r>
      <w:r>
        <w:rPr>
          <w:rFonts w:hint="eastAsia" w:ascii="宋体" w:hAnsi="宋体" w:cs="宋体"/>
          <w:color w:val="auto"/>
          <w:kern w:val="0"/>
          <w:highlight w:val="none"/>
          <w:shd w:val="clear" w:color="auto" w:fill="FFFFFF"/>
          <w:lang w:bidi="ar"/>
        </w:rPr>
        <w:t>0分；</w:t>
      </w:r>
    </w:p>
    <w:p w14:paraId="2747C1E0">
      <w:pPr>
        <w:keepNext w:val="0"/>
        <w:keepLines w:val="0"/>
        <w:pageBreakBefore w:val="0"/>
        <w:widowControl/>
        <w:shd w:val="clear" w:color="auto"/>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kern w:val="0"/>
          <w:highlight w:val="none"/>
          <w:shd w:val="clear" w:color="auto" w:fill="FFFFFF"/>
          <w:lang w:bidi="ar"/>
        </w:rPr>
      </w:pPr>
      <w:r>
        <w:rPr>
          <w:rFonts w:hint="eastAsia" w:ascii="宋体" w:hAnsi="宋体" w:cs="宋体"/>
          <w:color w:val="auto"/>
          <w:kern w:val="0"/>
          <w:highlight w:val="none"/>
          <w:shd w:val="clear" w:color="auto" w:fill="FFFFFF"/>
          <w:lang w:bidi="ar"/>
        </w:rPr>
        <w:t>地点：网上开标，投标人登录滁州市城投工程咨询管理有限公司不见面开标系统参与网上开标（网址：http://js.etrading.cn/EpointBidOpening/bidopeninghallaction/hall/login）。</w:t>
      </w:r>
    </w:p>
    <w:p w14:paraId="5AE21D50">
      <w:pPr>
        <w:keepNext/>
        <w:keepLines/>
        <w:shd w:val="clear"/>
        <w:kinsoku/>
        <w:overflowPunct/>
        <w:topLinePunct w:val="0"/>
        <w:bidi w:val="0"/>
        <w:spacing w:before="100" w:after="100" w:line="440" w:lineRule="exact"/>
        <w:ind w:firstLine="422" w:firstLineChars="200"/>
        <w:rPr>
          <w:rFonts w:ascii="宋体" w:hAnsi="宋体" w:cs="宋体"/>
          <w:b/>
          <w:bCs/>
          <w:color w:val="auto"/>
          <w:highlight w:val="none"/>
        </w:rPr>
      </w:pPr>
      <w:r>
        <w:rPr>
          <w:rFonts w:hint="eastAsia" w:ascii="宋体" w:hAnsi="宋体" w:cs="宋体"/>
          <w:b/>
          <w:bCs/>
          <w:color w:val="auto"/>
          <w:highlight w:val="none"/>
        </w:rPr>
        <w:t>五、</w:t>
      </w:r>
      <w:bookmarkEnd w:id="31"/>
      <w:bookmarkEnd w:id="32"/>
      <w:bookmarkEnd w:id="33"/>
      <w:bookmarkEnd w:id="34"/>
      <w:bookmarkEnd w:id="35"/>
      <w:bookmarkEnd w:id="36"/>
      <w:bookmarkEnd w:id="37"/>
      <w:r>
        <w:rPr>
          <w:rFonts w:hint="eastAsia" w:ascii="宋体" w:hAnsi="宋体" w:cs="宋体"/>
          <w:b/>
          <w:bCs/>
          <w:color w:val="auto"/>
          <w:highlight w:val="none"/>
        </w:rPr>
        <w:t>投标保证金金额及缴纳账户</w:t>
      </w:r>
    </w:p>
    <w:p w14:paraId="61F2B45A">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是否要求投标人提交投标保证金：不要求。</w:t>
      </w:r>
    </w:p>
    <w:p w14:paraId="598D0BF9">
      <w:pPr>
        <w:keepNext/>
        <w:keepLines/>
        <w:shd w:val="clear"/>
        <w:kinsoku/>
        <w:overflowPunct/>
        <w:topLinePunct w:val="0"/>
        <w:bidi w:val="0"/>
        <w:spacing w:before="100" w:after="100" w:line="440" w:lineRule="exact"/>
        <w:ind w:firstLine="422" w:firstLineChars="200"/>
        <w:rPr>
          <w:rFonts w:ascii="宋体" w:hAnsi="宋体" w:cs="宋体"/>
          <w:b/>
          <w:bCs/>
          <w:color w:val="auto"/>
          <w:highlight w:val="none"/>
        </w:rPr>
      </w:pPr>
      <w:r>
        <w:rPr>
          <w:rFonts w:hint="eastAsia" w:ascii="宋体" w:hAnsi="宋体" w:cs="宋体"/>
          <w:b/>
          <w:bCs/>
          <w:color w:val="auto"/>
          <w:highlight w:val="none"/>
        </w:rPr>
        <w:t>六、其他补充事宜</w:t>
      </w:r>
    </w:p>
    <w:p w14:paraId="7A101E06">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21C3412D">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highlight w:val="none"/>
        </w:rPr>
      </w:pPr>
      <w:r>
        <w:rPr>
          <w:rFonts w:hint="eastAsia" w:ascii="宋体" w:hAnsi="宋体" w:cs="宋体"/>
          <w:color w:val="auto"/>
          <w:highlight w:val="none"/>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5F902AD7">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highlight w:val="none"/>
        </w:rPr>
      </w:pPr>
      <w:r>
        <w:rPr>
          <w:rFonts w:hint="eastAsia" w:ascii="宋体" w:hAnsi="宋体" w:cs="宋体"/>
          <w:color w:val="auto"/>
          <w:highlight w:val="none"/>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0B6F9E7C">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highlight w:val="none"/>
        </w:rPr>
      </w:pPr>
      <w:r>
        <w:rPr>
          <w:rFonts w:hint="eastAsia" w:ascii="宋体" w:hAnsi="宋体" w:cs="宋体"/>
          <w:color w:val="auto"/>
          <w:highlight w:val="none"/>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16B2E46B">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highlight w:val="none"/>
        </w:rPr>
      </w:pPr>
      <w:r>
        <w:rPr>
          <w:rFonts w:hint="eastAsia" w:ascii="宋体" w:hAnsi="宋体" w:cs="宋体"/>
          <w:color w:val="auto"/>
          <w:highlight w:val="none"/>
        </w:rPr>
        <w:t>5.本项目采用不见面开标，投标人登录滁州市城投工程咨询管理有限公司不见面开标系统参与网上开标（网址：http://js.etrading.cn/EpointBidOpening/bidopeninghallaction/hall/login）。</w:t>
      </w:r>
    </w:p>
    <w:p w14:paraId="610FC8DD">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highlight w:val="none"/>
        </w:rPr>
      </w:pPr>
      <w:r>
        <w:rPr>
          <w:rFonts w:hint="eastAsia" w:ascii="宋体" w:hAnsi="宋体" w:cs="宋体"/>
          <w:color w:val="auto"/>
          <w:highlight w:val="none"/>
        </w:rPr>
        <w:t>6.投标人应在投标截止时间之前，登录新点电子交易平台【滁州专区】上传投标文件。投标人逾期上传投标文件的，电子系统不予受理。</w:t>
      </w:r>
    </w:p>
    <w:p w14:paraId="051C205E">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highlight w:val="none"/>
        </w:rPr>
      </w:pPr>
      <w:r>
        <w:rPr>
          <w:rFonts w:hint="eastAsia" w:ascii="宋体" w:hAnsi="宋体" w:cs="宋体"/>
          <w:color w:val="auto"/>
          <w:highlight w:val="none"/>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176796C7">
      <w:pPr>
        <w:keepNext w:val="0"/>
        <w:keepLines w:val="0"/>
        <w:pageBreakBefore w:val="0"/>
        <w:widowControl w:val="0"/>
        <w:shd w:val="clear"/>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8.投标人的联系人电话(手机)、电子邮箱等通讯方式在开标过程中必须保持畅通，否则因上述原因造成的后果，责任自负。</w:t>
      </w:r>
    </w:p>
    <w:p w14:paraId="0E65A9E6">
      <w:pPr>
        <w:keepNext/>
        <w:keepLines/>
        <w:shd w:val="clear"/>
        <w:kinsoku/>
        <w:overflowPunct/>
        <w:topLinePunct w:val="0"/>
        <w:bidi w:val="0"/>
        <w:spacing w:before="100" w:after="100" w:line="440" w:lineRule="exact"/>
        <w:ind w:firstLine="422" w:firstLineChars="200"/>
        <w:rPr>
          <w:rFonts w:ascii="宋体" w:hAnsi="宋体" w:cs="宋体"/>
          <w:b/>
          <w:bCs/>
          <w:color w:val="auto"/>
          <w:highlight w:val="none"/>
        </w:rPr>
      </w:pPr>
      <w:r>
        <w:rPr>
          <w:rFonts w:hint="eastAsia" w:ascii="宋体" w:hAnsi="宋体" w:cs="宋体"/>
          <w:b/>
          <w:bCs/>
          <w:color w:val="auto"/>
          <w:highlight w:val="none"/>
          <w:lang w:val="en-US" w:eastAsia="zh-CN"/>
        </w:rPr>
        <w:t>七</w:t>
      </w:r>
      <w:r>
        <w:rPr>
          <w:rFonts w:hint="eastAsia" w:ascii="宋体" w:hAnsi="宋体" w:cs="宋体"/>
          <w:b/>
          <w:bCs/>
          <w:color w:val="auto"/>
          <w:highlight w:val="none"/>
        </w:rPr>
        <w:t>、对本次招标提出询问，请按以下方式联系</w:t>
      </w:r>
    </w:p>
    <w:p w14:paraId="75F7C4E8">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1.招标人信息</w:t>
      </w:r>
    </w:p>
    <w:p w14:paraId="64C62BDC">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 xml:space="preserve">名    称：安徽省琅琊山旅游发展有限公司 </w:t>
      </w:r>
    </w:p>
    <w:p w14:paraId="1850A6E8">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地    址：安徽省滁州市西涧中路4306号</w:t>
      </w:r>
    </w:p>
    <w:p w14:paraId="26DEDF94">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联 系 人：代工</w:t>
      </w:r>
    </w:p>
    <w:p w14:paraId="4A98FD5E">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联系方式：0550-3525595</w:t>
      </w:r>
    </w:p>
    <w:p w14:paraId="33F1120F">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2.代理机构信息</w:t>
      </w:r>
    </w:p>
    <w:p w14:paraId="7BF4DC32">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名    称：滁州市城投工程咨询管理有限公司</w:t>
      </w:r>
    </w:p>
    <w:p w14:paraId="344E5765">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地　　址：滁州市龙蟠大道109号房产</w:t>
      </w:r>
      <w:r>
        <w:rPr>
          <w:rFonts w:hint="eastAsia" w:ascii="宋体" w:hAnsi="宋体" w:cs="宋体"/>
          <w:color w:val="auto"/>
          <w:highlight w:val="none"/>
          <w:lang w:val="en-US" w:eastAsia="zh-CN" w:bidi="ar"/>
        </w:rPr>
        <w:t>商务</w:t>
      </w:r>
      <w:r>
        <w:rPr>
          <w:rFonts w:hint="eastAsia" w:ascii="宋体" w:hAnsi="宋体" w:cs="宋体"/>
          <w:color w:val="auto"/>
          <w:highlight w:val="none"/>
          <w:lang w:bidi="ar"/>
        </w:rPr>
        <w:t>大厦6楼</w:t>
      </w:r>
    </w:p>
    <w:p w14:paraId="19B95269">
      <w:pPr>
        <w:shd w:val="clear"/>
        <w:kinsoku/>
        <w:overflowPunct/>
        <w:topLinePunct w:val="0"/>
        <w:autoSpaceDE w:val="0"/>
        <w:bidi w:val="0"/>
        <w:spacing w:line="44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联 系 人：胡国庆</w:t>
      </w:r>
    </w:p>
    <w:p w14:paraId="4731092C">
      <w:pPr>
        <w:shd w:val="clear"/>
        <w:kinsoku/>
        <w:overflowPunct/>
        <w:topLinePunct w:val="0"/>
        <w:autoSpaceDE w:val="0"/>
        <w:bidi w:val="0"/>
        <w:spacing w:line="440" w:lineRule="exact"/>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lang w:bidi="ar"/>
        </w:rPr>
        <w:t>联系方式：0550-3519517、1800550095</w:t>
      </w:r>
      <w:r>
        <w:rPr>
          <w:rFonts w:hint="eastAsia" w:ascii="宋体" w:hAnsi="宋体" w:cs="宋体"/>
          <w:color w:val="auto"/>
          <w:highlight w:val="none"/>
          <w:lang w:val="en-US" w:eastAsia="zh-CN" w:bidi="ar"/>
        </w:rPr>
        <w:t>0</w:t>
      </w:r>
    </w:p>
    <w:p w14:paraId="07E7E5A6">
      <w:pPr>
        <w:shd w:val="clear"/>
        <w:kinsoku/>
        <w:overflowPunct/>
        <w:topLinePunct w:val="0"/>
        <w:bidi w:val="0"/>
        <w:spacing w:line="440" w:lineRule="exact"/>
        <w:ind w:firstLine="420" w:firstLineChars="200"/>
        <w:jc w:val="left"/>
        <w:rPr>
          <w:rFonts w:ascii="宋体" w:hAnsi="宋体" w:cs="宋体"/>
          <w:color w:val="auto"/>
          <w:highlight w:val="none"/>
        </w:rPr>
      </w:pPr>
    </w:p>
    <w:p w14:paraId="51088797">
      <w:pPr>
        <w:pStyle w:val="6"/>
        <w:pageBreakBefore/>
        <w:shd w:val="clear"/>
        <w:kinsoku/>
        <w:overflowPunct/>
        <w:topLinePunct w:val="0"/>
        <w:bidi w:val="0"/>
        <w:spacing w:before="0" w:after="0" w:line="440" w:lineRule="exact"/>
        <w:rPr>
          <w:rFonts w:ascii="宋体" w:hAnsi="宋体" w:eastAsia="宋体" w:cs="宋体"/>
          <w:color w:val="auto"/>
          <w:highlight w:val="none"/>
        </w:rPr>
      </w:pPr>
      <w:bookmarkStart w:id="38" w:name="_Toc2525"/>
      <w:bookmarkStart w:id="39" w:name="_Toc9486"/>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 xml:space="preserve">章 </w:t>
      </w:r>
      <w:bookmarkEnd w:id="38"/>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投标人须知</w:t>
      </w:r>
      <w:bookmarkEnd w:id="39"/>
    </w:p>
    <w:p w14:paraId="02EC65A3">
      <w:pPr>
        <w:pStyle w:val="6"/>
        <w:shd w:val="clear"/>
        <w:kinsoku/>
        <w:overflowPunct/>
        <w:topLinePunct w:val="0"/>
        <w:bidi w:val="0"/>
        <w:spacing w:before="0" w:after="0" w:line="440" w:lineRule="exact"/>
        <w:rPr>
          <w:rFonts w:ascii="宋体" w:hAnsi="宋体" w:eastAsia="宋体" w:cs="宋体"/>
          <w:color w:val="auto"/>
          <w:highlight w:val="none"/>
        </w:rPr>
      </w:pPr>
      <w:bookmarkStart w:id="40" w:name="_Toc15200"/>
      <w:bookmarkStart w:id="41" w:name="_Toc7392"/>
      <w:r>
        <w:rPr>
          <w:rFonts w:hint="eastAsia" w:ascii="宋体" w:hAnsi="宋体" w:eastAsia="宋体" w:cs="宋体"/>
          <w:color w:val="auto"/>
          <w:highlight w:val="none"/>
        </w:rPr>
        <w:t>投标人须知前附表</w:t>
      </w:r>
      <w:bookmarkEnd w:id="1"/>
      <w:bookmarkEnd w:id="40"/>
      <w:bookmarkEnd w:id="41"/>
    </w:p>
    <w:tbl>
      <w:tblPr>
        <w:tblStyle w:val="47"/>
        <w:tblW w:w="9538" w:type="dxa"/>
        <w:tblInd w:w="2" w:type="dxa"/>
        <w:tblLayout w:type="fixed"/>
        <w:tblCellMar>
          <w:top w:w="0" w:type="dxa"/>
          <w:left w:w="0" w:type="dxa"/>
          <w:bottom w:w="0" w:type="dxa"/>
          <w:right w:w="0" w:type="dxa"/>
        </w:tblCellMar>
      </w:tblPr>
      <w:tblGrid>
        <w:gridCol w:w="727"/>
        <w:gridCol w:w="1645"/>
        <w:gridCol w:w="7166"/>
      </w:tblGrid>
      <w:tr w14:paraId="4F23A3BB">
        <w:tblPrEx>
          <w:tblCellMar>
            <w:top w:w="0" w:type="dxa"/>
            <w:left w:w="0" w:type="dxa"/>
            <w:bottom w:w="0" w:type="dxa"/>
            <w:right w:w="0" w:type="dxa"/>
          </w:tblCellMar>
        </w:tblPrEx>
        <w:trPr>
          <w:trHeight w:val="164" w:hRule="atLeast"/>
        </w:trPr>
        <w:tc>
          <w:tcPr>
            <w:tcW w:w="727" w:type="dxa"/>
            <w:tcBorders>
              <w:top w:val="single" w:color="auto" w:sz="8" w:space="0"/>
              <w:left w:val="single" w:color="auto" w:sz="8" w:space="0"/>
              <w:bottom w:val="single" w:color="auto" w:sz="8" w:space="0"/>
              <w:right w:val="single" w:color="auto" w:sz="8" w:space="0"/>
            </w:tcBorders>
            <w:vAlign w:val="center"/>
          </w:tcPr>
          <w:p w14:paraId="38394449">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编号</w:t>
            </w:r>
          </w:p>
        </w:tc>
        <w:tc>
          <w:tcPr>
            <w:tcW w:w="1645" w:type="dxa"/>
            <w:tcBorders>
              <w:top w:val="single" w:color="auto" w:sz="8" w:space="0"/>
              <w:left w:val="single" w:color="auto" w:sz="4" w:space="0"/>
              <w:bottom w:val="single" w:color="auto" w:sz="8" w:space="0"/>
              <w:right w:val="single" w:color="auto" w:sz="4" w:space="0"/>
            </w:tcBorders>
            <w:vAlign w:val="center"/>
          </w:tcPr>
          <w:p w14:paraId="4B0D2D86">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内容</w:t>
            </w:r>
          </w:p>
        </w:tc>
        <w:tc>
          <w:tcPr>
            <w:tcW w:w="7166" w:type="dxa"/>
            <w:tcBorders>
              <w:top w:val="single" w:color="auto" w:sz="8" w:space="0"/>
              <w:left w:val="single" w:color="auto" w:sz="4" w:space="0"/>
              <w:bottom w:val="single" w:color="auto" w:sz="8" w:space="0"/>
              <w:right w:val="single" w:color="auto" w:sz="8" w:space="0"/>
            </w:tcBorders>
            <w:vAlign w:val="center"/>
          </w:tcPr>
          <w:p w14:paraId="3A6BB8B2">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说明与要求</w:t>
            </w:r>
          </w:p>
        </w:tc>
      </w:tr>
      <w:tr w14:paraId="697C28A1">
        <w:tblPrEx>
          <w:tblCellMar>
            <w:top w:w="0" w:type="dxa"/>
            <w:left w:w="0" w:type="dxa"/>
            <w:bottom w:w="0" w:type="dxa"/>
            <w:right w:w="0" w:type="dxa"/>
          </w:tblCellMar>
        </w:tblPrEx>
        <w:trPr>
          <w:trHeight w:val="0" w:hRule="atLeast"/>
        </w:trPr>
        <w:tc>
          <w:tcPr>
            <w:tcW w:w="727" w:type="dxa"/>
            <w:tcBorders>
              <w:top w:val="single" w:color="auto" w:sz="8" w:space="0"/>
              <w:left w:val="single" w:color="auto" w:sz="8" w:space="0"/>
              <w:bottom w:val="single" w:color="auto" w:sz="8" w:space="0"/>
              <w:right w:val="single" w:color="auto" w:sz="8" w:space="0"/>
            </w:tcBorders>
            <w:vAlign w:val="center"/>
          </w:tcPr>
          <w:p w14:paraId="35243DDC">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w:t>
            </w:r>
          </w:p>
        </w:tc>
        <w:tc>
          <w:tcPr>
            <w:tcW w:w="1645" w:type="dxa"/>
            <w:tcBorders>
              <w:top w:val="single" w:color="auto" w:sz="8" w:space="0"/>
              <w:left w:val="single" w:color="auto" w:sz="4" w:space="0"/>
              <w:bottom w:val="single" w:color="auto" w:sz="8" w:space="0"/>
              <w:right w:val="single" w:color="auto" w:sz="4" w:space="0"/>
            </w:tcBorders>
            <w:vAlign w:val="center"/>
          </w:tcPr>
          <w:p w14:paraId="6EE349F1">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项目概况</w:t>
            </w:r>
          </w:p>
        </w:tc>
        <w:tc>
          <w:tcPr>
            <w:tcW w:w="7166" w:type="dxa"/>
            <w:tcBorders>
              <w:top w:val="single" w:color="auto" w:sz="8" w:space="0"/>
              <w:left w:val="single" w:color="auto" w:sz="4" w:space="0"/>
              <w:bottom w:val="single" w:color="auto" w:sz="8" w:space="0"/>
              <w:right w:val="single" w:color="auto" w:sz="8" w:space="0"/>
            </w:tcBorders>
            <w:vAlign w:val="center"/>
          </w:tcPr>
          <w:p w14:paraId="3A997718">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kern w:val="0"/>
                <w:highlight w:val="none"/>
              </w:rPr>
            </w:pPr>
            <w:r>
              <w:rPr>
                <w:rFonts w:hint="eastAsia" w:ascii="宋体" w:hAnsi="宋体" w:cs="宋体"/>
                <w:color w:val="auto"/>
                <w:kern w:val="0"/>
                <w:highlight w:val="none"/>
              </w:rPr>
              <w:t>项目名称：</w:t>
            </w:r>
            <w:r>
              <w:rPr>
                <w:rFonts w:hint="eastAsia" w:ascii="宋体" w:hAnsi="宋体" w:cs="宋体"/>
                <w:color w:val="auto"/>
                <w:kern w:val="0"/>
                <w:highlight w:val="none"/>
                <w:lang w:eastAsia="zh-CN"/>
              </w:rPr>
              <w:t>琅琊山欧阳修家风家训文旅综合体项目造价复审</w:t>
            </w:r>
          </w:p>
          <w:p w14:paraId="1AAE1213">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eastAsia" w:eastAsia="宋体"/>
                <w:color w:val="auto"/>
                <w:highlight w:val="none"/>
                <w:lang w:val="en-US" w:eastAsia="zh-CN"/>
              </w:rPr>
            </w:pPr>
            <w:r>
              <w:rPr>
                <w:rFonts w:hint="eastAsia" w:ascii="宋体" w:hAnsi="宋体" w:cs="宋体"/>
                <w:color w:val="auto"/>
                <w:kern w:val="0"/>
                <w:highlight w:val="none"/>
              </w:rPr>
              <w:t>建设地点：滁州市内</w:t>
            </w:r>
          </w:p>
        </w:tc>
      </w:tr>
      <w:tr w14:paraId="5B9F09DB">
        <w:tblPrEx>
          <w:tblCellMar>
            <w:top w:w="0" w:type="dxa"/>
            <w:left w:w="0" w:type="dxa"/>
            <w:bottom w:w="0" w:type="dxa"/>
            <w:right w:w="0" w:type="dxa"/>
          </w:tblCellMar>
        </w:tblPrEx>
        <w:trPr>
          <w:trHeight w:val="525" w:hRule="atLeast"/>
        </w:trPr>
        <w:tc>
          <w:tcPr>
            <w:tcW w:w="727" w:type="dxa"/>
            <w:tcBorders>
              <w:top w:val="single" w:color="auto" w:sz="8" w:space="0"/>
              <w:left w:val="single" w:color="auto" w:sz="8" w:space="0"/>
              <w:bottom w:val="single" w:color="auto" w:sz="8" w:space="0"/>
              <w:right w:val="single" w:color="auto" w:sz="8" w:space="0"/>
            </w:tcBorders>
            <w:vAlign w:val="center"/>
          </w:tcPr>
          <w:p w14:paraId="2D6A3A9E">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2</w:t>
            </w:r>
          </w:p>
        </w:tc>
        <w:tc>
          <w:tcPr>
            <w:tcW w:w="1645" w:type="dxa"/>
            <w:tcBorders>
              <w:top w:val="single" w:color="auto" w:sz="8" w:space="0"/>
              <w:left w:val="single" w:color="auto" w:sz="4" w:space="0"/>
              <w:bottom w:val="single" w:color="auto" w:sz="8" w:space="0"/>
              <w:right w:val="single" w:color="auto" w:sz="4" w:space="0"/>
            </w:tcBorders>
            <w:vAlign w:val="center"/>
          </w:tcPr>
          <w:p w14:paraId="6046BF5C">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服务需求</w:t>
            </w:r>
          </w:p>
        </w:tc>
        <w:tc>
          <w:tcPr>
            <w:tcW w:w="7166" w:type="dxa"/>
            <w:tcBorders>
              <w:top w:val="single" w:color="auto" w:sz="8" w:space="0"/>
              <w:left w:val="single" w:color="auto" w:sz="4" w:space="0"/>
              <w:bottom w:val="single" w:color="auto" w:sz="8" w:space="0"/>
              <w:right w:val="single" w:color="auto" w:sz="8" w:space="0"/>
            </w:tcBorders>
            <w:vAlign w:val="center"/>
          </w:tcPr>
          <w:p w14:paraId="2D7376DC">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kern w:val="0"/>
                <w:highlight w:val="none"/>
              </w:rPr>
            </w:pPr>
            <w:r>
              <w:rPr>
                <w:rFonts w:hint="eastAsia" w:ascii="宋体" w:hAnsi="宋体" w:cs="宋体"/>
                <w:color w:val="auto"/>
                <w:kern w:val="0"/>
                <w:highlight w:val="none"/>
              </w:rPr>
              <w:t>见招标公告</w:t>
            </w:r>
          </w:p>
        </w:tc>
      </w:tr>
      <w:tr w14:paraId="03E60CB2">
        <w:tblPrEx>
          <w:tblCellMar>
            <w:top w:w="0" w:type="dxa"/>
            <w:left w:w="0" w:type="dxa"/>
            <w:bottom w:w="0" w:type="dxa"/>
            <w:right w:w="0" w:type="dxa"/>
          </w:tblCellMar>
        </w:tblPrEx>
        <w:trPr>
          <w:trHeight w:val="711" w:hRule="atLeast"/>
        </w:trPr>
        <w:tc>
          <w:tcPr>
            <w:tcW w:w="727" w:type="dxa"/>
            <w:tcBorders>
              <w:top w:val="single" w:color="auto" w:sz="8" w:space="0"/>
              <w:left w:val="single" w:color="auto" w:sz="8" w:space="0"/>
              <w:bottom w:val="single" w:color="auto" w:sz="8" w:space="0"/>
              <w:right w:val="single" w:color="auto" w:sz="8" w:space="0"/>
            </w:tcBorders>
            <w:vAlign w:val="center"/>
          </w:tcPr>
          <w:p w14:paraId="76A66790">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3</w:t>
            </w:r>
          </w:p>
        </w:tc>
        <w:tc>
          <w:tcPr>
            <w:tcW w:w="1645" w:type="dxa"/>
            <w:tcBorders>
              <w:top w:val="single" w:color="auto" w:sz="8" w:space="0"/>
              <w:left w:val="single" w:color="auto" w:sz="4" w:space="0"/>
              <w:bottom w:val="single" w:color="auto" w:sz="8" w:space="0"/>
              <w:right w:val="single" w:color="auto" w:sz="4" w:space="0"/>
            </w:tcBorders>
            <w:vAlign w:val="center"/>
          </w:tcPr>
          <w:p w14:paraId="2FB11613">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服务期要求</w:t>
            </w:r>
          </w:p>
        </w:tc>
        <w:tc>
          <w:tcPr>
            <w:tcW w:w="7166" w:type="dxa"/>
            <w:tcBorders>
              <w:top w:val="single" w:color="auto" w:sz="8" w:space="0"/>
              <w:left w:val="single" w:color="auto" w:sz="4" w:space="0"/>
              <w:bottom w:val="single" w:color="auto" w:sz="8" w:space="0"/>
              <w:right w:val="single" w:color="auto" w:sz="8" w:space="0"/>
            </w:tcBorders>
            <w:vAlign w:val="center"/>
          </w:tcPr>
          <w:p w14:paraId="4B6EEEDF">
            <w:pPr>
              <w:pStyle w:val="2"/>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0" w:right="0" w:firstLine="0" w:firstLineChars="0"/>
              <w:textAlignment w:val="auto"/>
              <w:rPr>
                <w:rFonts w:hint="eastAsia" w:eastAsia="宋体"/>
                <w:color w:val="auto"/>
                <w:highlight w:val="none"/>
                <w:lang w:eastAsia="zh-CN"/>
              </w:rPr>
            </w:pPr>
            <w:r>
              <w:rPr>
                <w:rFonts w:hint="eastAsia" w:ascii="宋体" w:hAnsi="宋体" w:cs="宋体"/>
                <w:color w:val="auto"/>
                <w:kern w:val="0"/>
                <w:sz w:val="21"/>
                <w:szCs w:val="21"/>
                <w:highlight w:val="none"/>
                <w:lang w:val="en-US" w:eastAsia="zh-CN" w:bidi="ar-SA"/>
              </w:rPr>
              <w:t>自收到造价编制成果文件之日起10日内完成复审。</w:t>
            </w:r>
          </w:p>
        </w:tc>
      </w:tr>
      <w:tr w14:paraId="2EF421BA">
        <w:tblPrEx>
          <w:tblCellMar>
            <w:top w:w="0" w:type="dxa"/>
            <w:left w:w="0" w:type="dxa"/>
            <w:bottom w:w="0" w:type="dxa"/>
            <w:right w:w="0" w:type="dxa"/>
          </w:tblCellMar>
        </w:tblPrEx>
        <w:trPr>
          <w:trHeight w:val="320" w:hRule="atLeast"/>
        </w:trPr>
        <w:tc>
          <w:tcPr>
            <w:tcW w:w="727" w:type="dxa"/>
            <w:tcBorders>
              <w:top w:val="single" w:color="auto" w:sz="8" w:space="0"/>
              <w:left w:val="single" w:color="auto" w:sz="8" w:space="0"/>
              <w:bottom w:val="single" w:color="auto" w:sz="8" w:space="0"/>
              <w:right w:val="single" w:color="auto" w:sz="8" w:space="0"/>
            </w:tcBorders>
            <w:vAlign w:val="center"/>
          </w:tcPr>
          <w:p w14:paraId="2E214035">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4</w:t>
            </w:r>
          </w:p>
        </w:tc>
        <w:tc>
          <w:tcPr>
            <w:tcW w:w="1645" w:type="dxa"/>
            <w:tcBorders>
              <w:top w:val="single" w:color="auto" w:sz="8" w:space="0"/>
              <w:left w:val="single" w:color="auto" w:sz="4" w:space="0"/>
              <w:bottom w:val="single" w:color="auto" w:sz="8" w:space="0"/>
              <w:right w:val="single" w:color="auto" w:sz="4" w:space="0"/>
            </w:tcBorders>
            <w:vAlign w:val="center"/>
          </w:tcPr>
          <w:p w14:paraId="571F1332">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质量标准</w:t>
            </w:r>
          </w:p>
        </w:tc>
        <w:tc>
          <w:tcPr>
            <w:tcW w:w="7166" w:type="dxa"/>
            <w:tcBorders>
              <w:top w:val="single" w:color="auto" w:sz="8" w:space="0"/>
              <w:left w:val="single" w:color="auto" w:sz="4" w:space="0"/>
              <w:bottom w:val="single" w:color="auto" w:sz="8" w:space="0"/>
              <w:right w:val="single" w:color="auto" w:sz="8" w:space="0"/>
            </w:tcBorders>
            <w:vAlign w:val="center"/>
          </w:tcPr>
          <w:p w14:paraId="5DF91B90">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default" w:ascii="宋体" w:hAnsi="宋体" w:cs="宋体"/>
                <w:color w:val="auto"/>
                <w:kern w:val="0"/>
                <w:highlight w:val="none"/>
              </w:rPr>
            </w:pPr>
            <w:r>
              <w:rPr>
                <w:rFonts w:hint="eastAsia" w:ascii="宋体" w:hAnsi="宋体" w:cs="宋体"/>
                <w:color w:val="auto"/>
                <w:kern w:val="0"/>
                <w:highlight w:val="none"/>
              </w:rPr>
              <w:t>符合《建设工程造价咨询成果文件质量标准》（CECA/GCF2012）</w:t>
            </w:r>
          </w:p>
        </w:tc>
      </w:tr>
      <w:tr w14:paraId="70BC8EDD">
        <w:tblPrEx>
          <w:tblCellMar>
            <w:top w:w="0" w:type="dxa"/>
            <w:left w:w="0" w:type="dxa"/>
            <w:bottom w:w="0" w:type="dxa"/>
            <w:right w:w="0" w:type="dxa"/>
          </w:tblCellMar>
        </w:tblPrEx>
        <w:trPr>
          <w:trHeight w:val="320" w:hRule="atLeast"/>
        </w:trPr>
        <w:tc>
          <w:tcPr>
            <w:tcW w:w="727" w:type="dxa"/>
            <w:tcBorders>
              <w:top w:val="single" w:color="auto" w:sz="8" w:space="0"/>
              <w:left w:val="single" w:color="auto" w:sz="8" w:space="0"/>
              <w:bottom w:val="single" w:color="auto" w:sz="8" w:space="0"/>
              <w:right w:val="single" w:color="auto" w:sz="8" w:space="0"/>
            </w:tcBorders>
            <w:vAlign w:val="center"/>
          </w:tcPr>
          <w:p w14:paraId="5F9BB7FD">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5</w:t>
            </w:r>
          </w:p>
        </w:tc>
        <w:tc>
          <w:tcPr>
            <w:tcW w:w="1645" w:type="dxa"/>
            <w:tcBorders>
              <w:top w:val="single" w:color="auto" w:sz="8" w:space="0"/>
              <w:left w:val="single" w:color="auto" w:sz="4" w:space="0"/>
              <w:bottom w:val="single" w:color="auto" w:sz="8" w:space="0"/>
              <w:right w:val="single" w:color="auto" w:sz="4" w:space="0"/>
            </w:tcBorders>
            <w:vAlign w:val="center"/>
          </w:tcPr>
          <w:p w14:paraId="1E7C132A">
            <w:pPr>
              <w:keepNext w:val="0"/>
              <w:keepLines w:val="0"/>
              <w:suppressLineNumbers w:val="0"/>
              <w:shd w:val="clear"/>
              <w:kinsoku/>
              <w:overflowPunct/>
              <w:topLinePunct w:val="0"/>
              <w:bidi w:val="0"/>
              <w:spacing w:before="0" w:beforeAutospacing="0" w:after="0" w:afterAutospacing="0" w:line="440" w:lineRule="exact"/>
              <w:ind w:left="1470" w:right="0" w:hanging="1470" w:hangingChars="700"/>
              <w:jc w:val="center"/>
              <w:rPr>
                <w:rFonts w:hint="default" w:ascii="宋体" w:hAnsi="宋体" w:cs="宋体"/>
                <w:color w:val="auto"/>
                <w:kern w:val="0"/>
                <w:highlight w:val="none"/>
              </w:rPr>
            </w:pPr>
            <w:r>
              <w:rPr>
                <w:rFonts w:hint="eastAsia" w:ascii="宋体" w:hAnsi="宋体" w:cs="宋体"/>
                <w:color w:val="auto"/>
                <w:kern w:val="0"/>
                <w:highlight w:val="none"/>
              </w:rPr>
              <w:t>投标人资质</w:t>
            </w:r>
          </w:p>
          <w:p w14:paraId="09457D38">
            <w:pPr>
              <w:keepNext w:val="0"/>
              <w:keepLines w:val="0"/>
              <w:suppressLineNumbers w:val="0"/>
              <w:shd w:val="clear"/>
              <w:kinsoku/>
              <w:overflowPunct/>
              <w:topLinePunct w:val="0"/>
              <w:bidi w:val="0"/>
              <w:spacing w:before="0" w:beforeAutospacing="0" w:after="0" w:afterAutospacing="0" w:line="440" w:lineRule="exact"/>
              <w:ind w:left="1470" w:right="0" w:hanging="1470" w:hangingChars="700"/>
              <w:jc w:val="center"/>
              <w:rPr>
                <w:rFonts w:hint="default" w:ascii="宋体" w:hAnsi="宋体" w:cs="宋体"/>
                <w:color w:val="auto"/>
                <w:kern w:val="0"/>
                <w:highlight w:val="none"/>
              </w:rPr>
            </w:pPr>
            <w:r>
              <w:rPr>
                <w:rFonts w:hint="eastAsia" w:ascii="宋体" w:hAnsi="宋体" w:cs="宋体"/>
                <w:color w:val="auto"/>
                <w:kern w:val="0"/>
                <w:highlight w:val="none"/>
              </w:rPr>
              <w:t>等级要求</w:t>
            </w:r>
          </w:p>
        </w:tc>
        <w:tc>
          <w:tcPr>
            <w:tcW w:w="7166" w:type="dxa"/>
            <w:tcBorders>
              <w:top w:val="single" w:color="auto" w:sz="8" w:space="0"/>
              <w:left w:val="single" w:color="auto" w:sz="4" w:space="0"/>
              <w:bottom w:val="single" w:color="auto" w:sz="8" w:space="0"/>
              <w:right w:val="single" w:color="auto" w:sz="8" w:space="0"/>
            </w:tcBorders>
            <w:vAlign w:val="center"/>
          </w:tcPr>
          <w:p w14:paraId="643190AC">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kern w:val="0"/>
                <w:highlight w:val="none"/>
              </w:rPr>
            </w:pPr>
            <w:r>
              <w:rPr>
                <w:rFonts w:hint="eastAsia" w:ascii="宋体" w:hAnsi="宋体" w:cs="宋体"/>
                <w:color w:val="auto"/>
                <w:kern w:val="0"/>
                <w:highlight w:val="none"/>
              </w:rPr>
              <w:t>见招标公告</w:t>
            </w:r>
          </w:p>
        </w:tc>
      </w:tr>
      <w:tr w14:paraId="60EE3443">
        <w:tblPrEx>
          <w:tblCellMar>
            <w:top w:w="0" w:type="dxa"/>
            <w:left w:w="0" w:type="dxa"/>
            <w:bottom w:w="0" w:type="dxa"/>
            <w:right w:w="0" w:type="dxa"/>
          </w:tblCellMar>
        </w:tblPrEx>
        <w:trPr>
          <w:trHeight w:val="320" w:hRule="atLeast"/>
        </w:trPr>
        <w:tc>
          <w:tcPr>
            <w:tcW w:w="727" w:type="dxa"/>
            <w:tcBorders>
              <w:top w:val="single" w:color="auto" w:sz="8" w:space="0"/>
              <w:left w:val="single" w:color="auto" w:sz="8" w:space="0"/>
              <w:bottom w:val="single" w:color="auto" w:sz="8" w:space="0"/>
              <w:right w:val="single" w:color="auto" w:sz="8" w:space="0"/>
            </w:tcBorders>
            <w:vAlign w:val="center"/>
          </w:tcPr>
          <w:p w14:paraId="3790E61F">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6</w:t>
            </w:r>
          </w:p>
        </w:tc>
        <w:tc>
          <w:tcPr>
            <w:tcW w:w="1645" w:type="dxa"/>
            <w:tcBorders>
              <w:top w:val="single" w:color="auto" w:sz="8" w:space="0"/>
              <w:left w:val="single" w:color="auto" w:sz="4" w:space="0"/>
              <w:bottom w:val="single" w:color="auto" w:sz="8" w:space="0"/>
              <w:right w:val="single" w:color="auto" w:sz="4" w:space="0"/>
            </w:tcBorders>
            <w:vAlign w:val="center"/>
          </w:tcPr>
          <w:p w14:paraId="5B70269A">
            <w:pPr>
              <w:keepNext w:val="0"/>
              <w:keepLines w:val="0"/>
              <w:widowControl/>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勘察现场及投标预备会</w:t>
            </w:r>
          </w:p>
        </w:tc>
        <w:tc>
          <w:tcPr>
            <w:tcW w:w="7166" w:type="dxa"/>
            <w:tcBorders>
              <w:top w:val="single" w:color="auto" w:sz="8" w:space="0"/>
              <w:left w:val="single" w:color="auto" w:sz="4" w:space="0"/>
              <w:bottom w:val="single" w:color="auto" w:sz="8" w:space="0"/>
              <w:right w:val="single" w:color="auto" w:sz="8" w:space="0"/>
            </w:tcBorders>
            <w:vAlign w:val="center"/>
          </w:tcPr>
          <w:p w14:paraId="2413774D">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default" w:ascii="宋体" w:hAnsi="宋体" w:cs="宋体"/>
                <w:color w:val="auto"/>
                <w:kern w:val="0"/>
                <w:highlight w:val="none"/>
              </w:rPr>
            </w:pPr>
            <w:r>
              <w:rPr>
                <w:rFonts w:hint="eastAsia" w:ascii="宋体" w:hAnsi="宋体" w:cs="宋体"/>
                <w:color w:val="auto"/>
                <w:kern w:val="0"/>
                <w:highlight w:val="none"/>
              </w:rPr>
              <w:t>不再集中召开招标答疑会；投标人自行组织勘察现场。</w:t>
            </w:r>
          </w:p>
        </w:tc>
      </w:tr>
      <w:tr w14:paraId="2EB1D52A">
        <w:tblPrEx>
          <w:tblCellMar>
            <w:top w:w="0" w:type="dxa"/>
            <w:left w:w="0" w:type="dxa"/>
            <w:bottom w:w="0" w:type="dxa"/>
            <w:right w:w="0" w:type="dxa"/>
          </w:tblCellMar>
        </w:tblPrEx>
        <w:trPr>
          <w:trHeight w:val="164" w:hRule="atLeast"/>
        </w:trPr>
        <w:tc>
          <w:tcPr>
            <w:tcW w:w="727" w:type="dxa"/>
            <w:tcBorders>
              <w:top w:val="single" w:color="auto" w:sz="8" w:space="0"/>
              <w:left w:val="single" w:color="auto" w:sz="8" w:space="0"/>
              <w:bottom w:val="single" w:color="auto" w:sz="8" w:space="0"/>
              <w:right w:val="single" w:color="auto" w:sz="8" w:space="0"/>
            </w:tcBorders>
            <w:vAlign w:val="center"/>
          </w:tcPr>
          <w:p w14:paraId="5AF638C6">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7</w:t>
            </w:r>
          </w:p>
        </w:tc>
        <w:tc>
          <w:tcPr>
            <w:tcW w:w="1645" w:type="dxa"/>
            <w:tcBorders>
              <w:top w:val="single" w:color="auto" w:sz="8" w:space="0"/>
              <w:left w:val="single" w:color="auto" w:sz="4" w:space="0"/>
              <w:bottom w:val="single" w:color="auto" w:sz="8" w:space="0"/>
              <w:right w:val="single" w:color="auto" w:sz="4" w:space="0"/>
            </w:tcBorders>
            <w:vAlign w:val="center"/>
          </w:tcPr>
          <w:p w14:paraId="1F230740">
            <w:pPr>
              <w:pStyle w:val="27"/>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hAnsi="宋体"/>
                <w:color w:val="auto"/>
                <w:kern w:val="0"/>
                <w:highlight w:val="none"/>
              </w:rPr>
            </w:pPr>
            <w:r>
              <w:rPr>
                <w:rFonts w:hint="eastAsia" w:hAnsi="宋体"/>
                <w:color w:val="auto"/>
                <w:highlight w:val="none"/>
              </w:rPr>
              <w:t>招标方式</w:t>
            </w:r>
          </w:p>
        </w:tc>
        <w:tc>
          <w:tcPr>
            <w:tcW w:w="7166" w:type="dxa"/>
            <w:tcBorders>
              <w:top w:val="single" w:color="auto" w:sz="8" w:space="0"/>
              <w:left w:val="single" w:color="auto" w:sz="4" w:space="0"/>
              <w:bottom w:val="single" w:color="auto" w:sz="8" w:space="0"/>
              <w:right w:val="single" w:color="auto" w:sz="8" w:space="0"/>
            </w:tcBorders>
            <w:vAlign w:val="center"/>
          </w:tcPr>
          <w:p w14:paraId="1AA18263">
            <w:pPr>
              <w:pStyle w:val="27"/>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hAnsi="宋体"/>
                <w:color w:val="auto"/>
                <w:kern w:val="0"/>
                <w:highlight w:val="none"/>
              </w:rPr>
            </w:pPr>
            <w:r>
              <w:rPr>
                <w:rFonts w:hint="eastAsia" w:hAnsi="宋体"/>
                <w:b/>
                <w:color w:val="auto"/>
                <w:highlight w:val="none"/>
              </w:rPr>
              <w:t xml:space="preserve">公开招标(本项目采用网上电子招投标) </w:t>
            </w:r>
          </w:p>
        </w:tc>
      </w:tr>
      <w:tr w14:paraId="58A22EBC">
        <w:tblPrEx>
          <w:tblCellMar>
            <w:top w:w="0" w:type="dxa"/>
            <w:left w:w="0" w:type="dxa"/>
            <w:bottom w:w="0" w:type="dxa"/>
            <w:right w:w="0" w:type="dxa"/>
          </w:tblCellMar>
        </w:tblPrEx>
        <w:trPr>
          <w:trHeight w:val="0" w:hRule="atLeast"/>
        </w:trPr>
        <w:tc>
          <w:tcPr>
            <w:tcW w:w="727" w:type="dxa"/>
            <w:tcBorders>
              <w:top w:val="single" w:color="auto" w:sz="8" w:space="0"/>
              <w:left w:val="single" w:color="auto" w:sz="8" w:space="0"/>
              <w:bottom w:val="single" w:color="auto" w:sz="8" w:space="0"/>
              <w:right w:val="single" w:color="auto" w:sz="8" w:space="0"/>
            </w:tcBorders>
            <w:vAlign w:val="center"/>
          </w:tcPr>
          <w:p w14:paraId="796A4E7A">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8</w:t>
            </w:r>
          </w:p>
        </w:tc>
        <w:tc>
          <w:tcPr>
            <w:tcW w:w="1645" w:type="dxa"/>
            <w:tcBorders>
              <w:top w:val="single" w:color="auto" w:sz="8" w:space="0"/>
              <w:left w:val="single" w:color="auto" w:sz="4" w:space="0"/>
              <w:bottom w:val="single" w:color="auto" w:sz="8" w:space="0"/>
              <w:right w:val="single" w:color="auto" w:sz="4" w:space="0"/>
            </w:tcBorders>
            <w:vAlign w:val="center"/>
          </w:tcPr>
          <w:p w14:paraId="7D6CD2FE">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最高限价</w:t>
            </w:r>
          </w:p>
        </w:tc>
        <w:tc>
          <w:tcPr>
            <w:tcW w:w="7166" w:type="dxa"/>
            <w:tcBorders>
              <w:top w:val="single" w:color="auto" w:sz="8" w:space="0"/>
              <w:left w:val="single" w:color="auto" w:sz="4" w:space="0"/>
              <w:bottom w:val="single" w:color="auto" w:sz="8" w:space="0"/>
              <w:right w:val="single" w:color="auto" w:sz="8" w:space="0"/>
            </w:tcBorders>
            <w:vAlign w:val="center"/>
          </w:tcPr>
          <w:p w14:paraId="0523EAD3">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1.本项目投标报价采用百分比费率报价，最高限价为100.00%（百分数小数点后最多保留两位小数，否则第三位将四舍五入），投标报价（费率）不得高于最高限价，否则，按无效标处理</w:t>
            </w:r>
            <w:r>
              <w:rPr>
                <w:rFonts w:hint="eastAsia" w:ascii="宋体" w:hAnsi="宋体" w:cs="宋体"/>
                <w:b/>
                <w:bCs/>
                <w:color w:val="auto"/>
                <w:sz w:val="21"/>
                <w:szCs w:val="21"/>
                <w:highlight w:val="none"/>
                <w:lang w:val="en-US" w:eastAsia="zh-CN"/>
              </w:rPr>
              <w:t>。</w:t>
            </w:r>
          </w:p>
          <w:p w14:paraId="6D237B2E">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2.本项目服务费用=造价编制单位成果收费的10%×中标费率，结算时中标费率不予调整。</w:t>
            </w:r>
          </w:p>
        </w:tc>
      </w:tr>
      <w:tr w14:paraId="4EE5D3AA">
        <w:tblPrEx>
          <w:tblCellMar>
            <w:top w:w="0" w:type="dxa"/>
            <w:left w:w="0" w:type="dxa"/>
            <w:bottom w:w="0" w:type="dxa"/>
            <w:right w:w="0" w:type="dxa"/>
          </w:tblCellMar>
        </w:tblPrEx>
        <w:trPr>
          <w:trHeight w:val="0" w:hRule="atLeast"/>
        </w:trPr>
        <w:tc>
          <w:tcPr>
            <w:tcW w:w="727" w:type="dxa"/>
            <w:tcBorders>
              <w:top w:val="single" w:color="auto" w:sz="8" w:space="0"/>
              <w:left w:val="single" w:color="auto" w:sz="8" w:space="0"/>
              <w:bottom w:val="single" w:color="auto" w:sz="8" w:space="0"/>
              <w:right w:val="single" w:color="auto" w:sz="8" w:space="0"/>
            </w:tcBorders>
            <w:vAlign w:val="center"/>
          </w:tcPr>
          <w:p w14:paraId="61CCE991">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9</w:t>
            </w:r>
          </w:p>
        </w:tc>
        <w:tc>
          <w:tcPr>
            <w:tcW w:w="1645" w:type="dxa"/>
            <w:tcBorders>
              <w:top w:val="single" w:color="auto" w:sz="8" w:space="0"/>
              <w:left w:val="single" w:color="auto" w:sz="4" w:space="0"/>
              <w:bottom w:val="single" w:color="auto" w:sz="8" w:space="0"/>
              <w:right w:val="single" w:color="auto" w:sz="4" w:space="0"/>
            </w:tcBorders>
            <w:vAlign w:val="center"/>
          </w:tcPr>
          <w:p w14:paraId="1CAB1808">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highlight w:val="none"/>
              </w:rPr>
            </w:pPr>
            <w:r>
              <w:rPr>
                <w:rFonts w:hint="eastAsia" w:ascii="宋体" w:hAnsi="宋体" w:cs="宋体"/>
                <w:color w:val="auto"/>
                <w:highlight w:val="none"/>
              </w:rPr>
              <w:t>投标人提出问题的截止时间</w:t>
            </w:r>
          </w:p>
          <w:p w14:paraId="08D40C50">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highlight w:val="none"/>
              </w:rPr>
            </w:pPr>
            <w:r>
              <w:rPr>
                <w:rFonts w:hint="eastAsia" w:ascii="宋体" w:hAnsi="宋体" w:cs="宋体"/>
                <w:color w:val="auto"/>
                <w:highlight w:val="none"/>
              </w:rPr>
              <w:t>及方式</w:t>
            </w:r>
          </w:p>
        </w:tc>
        <w:tc>
          <w:tcPr>
            <w:tcW w:w="7166" w:type="dxa"/>
            <w:tcBorders>
              <w:top w:val="single" w:color="auto" w:sz="8" w:space="0"/>
              <w:left w:val="single" w:color="auto" w:sz="4" w:space="0"/>
              <w:bottom w:val="single" w:color="auto" w:sz="8" w:space="0"/>
              <w:right w:val="single" w:color="auto" w:sz="8" w:space="0"/>
            </w:tcBorders>
            <w:vAlign w:val="center"/>
          </w:tcPr>
          <w:p w14:paraId="3BC2BEBD">
            <w:pPr>
              <w:keepNext w:val="0"/>
              <w:keepLines w:val="0"/>
              <w:pageBreakBefore w:val="0"/>
              <w:suppressLineNumbers w:val="0"/>
              <w:shd w:val="clear"/>
              <w:kinsoku/>
              <w:wordWrap w:val="0"/>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default" w:ascii="宋体" w:hAnsi="宋体" w:cs="宋体"/>
                <w:color w:val="auto"/>
                <w:highlight w:val="none"/>
              </w:rPr>
            </w:pPr>
            <w:r>
              <w:rPr>
                <w:rFonts w:hint="eastAsia" w:ascii="宋体" w:hAnsi="宋体" w:cs="宋体"/>
                <w:color w:val="auto"/>
                <w:spacing w:val="-4"/>
                <w:kern w:val="0"/>
                <w:highlight w:val="none"/>
              </w:rPr>
              <w:t>如投标人对招标文件有疑问，请于</w:t>
            </w:r>
            <w:r>
              <w:rPr>
                <w:rFonts w:hint="eastAsia" w:ascii="宋体" w:hAnsi="宋体" w:cs="宋体"/>
                <w:color w:val="auto"/>
                <w:spacing w:val="-4"/>
                <w:kern w:val="0"/>
                <w:highlight w:val="none"/>
                <w:lang w:eastAsia="zh-CN"/>
              </w:rPr>
              <w:t>2026年</w:t>
            </w:r>
            <w:r>
              <w:rPr>
                <w:rFonts w:hint="eastAsia" w:ascii="宋体" w:hAnsi="宋体" w:cs="宋体"/>
                <w:color w:val="auto"/>
                <w:spacing w:val="-4"/>
                <w:kern w:val="0"/>
                <w:highlight w:val="none"/>
                <w:lang w:val="en-US" w:eastAsia="zh-CN"/>
              </w:rPr>
              <w:t>9</w:t>
            </w:r>
            <w:r>
              <w:rPr>
                <w:rFonts w:hint="eastAsia" w:ascii="宋体" w:hAnsi="宋体" w:cs="宋体"/>
                <w:color w:val="auto"/>
                <w:spacing w:val="-4"/>
                <w:kern w:val="0"/>
                <w:highlight w:val="none"/>
                <w:lang w:eastAsia="zh-CN"/>
              </w:rPr>
              <w:t>月</w:t>
            </w:r>
            <w:r>
              <w:rPr>
                <w:rFonts w:hint="eastAsia" w:ascii="宋体" w:hAnsi="宋体" w:cs="宋体"/>
                <w:color w:val="auto"/>
                <w:spacing w:val="-4"/>
                <w:kern w:val="0"/>
                <w:highlight w:val="none"/>
                <w:lang w:val="en-US" w:eastAsia="zh-CN"/>
              </w:rPr>
              <w:t>8</w:t>
            </w:r>
            <w:r>
              <w:rPr>
                <w:rFonts w:hint="eastAsia" w:ascii="宋体" w:hAnsi="宋体" w:cs="宋体"/>
                <w:color w:val="auto"/>
                <w:spacing w:val="-4"/>
                <w:kern w:val="0"/>
                <w:highlight w:val="none"/>
                <w:u w:val="none"/>
              </w:rPr>
              <w:t>日</w:t>
            </w:r>
            <w:r>
              <w:rPr>
                <w:rFonts w:hint="eastAsia" w:ascii="宋体" w:hAnsi="宋体" w:cs="宋体"/>
                <w:color w:val="auto"/>
                <w:spacing w:val="-4"/>
                <w:kern w:val="0"/>
                <w:highlight w:val="none"/>
                <w:u w:val="none"/>
                <w:lang w:val="en-US" w:eastAsia="zh-CN"/>
              </w:rPr>
              <w:t>8</w:t>
            </w:r>
            <w:r>
              <w:rPr>
                <w:rFonts w:hint="eastAsia" w:ascii="宋体" w:hAnsi="宋体" w:cs="宋体"/>
                <w:color w:val="auto"/>
                <w:spacing w:val="-4"/>
                <w:kern w:val="0"/>
                <w:highlight w:val="none"/>
                <w:u w:val="none"/>
              </w:rPr>
              <w:t>时前</w:t>
            </w:r>
            <w:r>
              <w:rPr>
                <w:rFonts w:hint="eastAsia" w:ascii="宋体" w:hAnsi="宋体" w:cs="宋体"/>
                <w:color w:val="auto"/>
                <w:kern w:val="0"/>
                <w:highlight w:val="none"/>
                <w:u w:val="none"/>
              </w:rPr>
              <w:t>通过新点电子交易平台【滁州专区】对招标文件提出澄清（质疑）</w:t>
            </w:r>
            <w:r>
              <w:rPr>
                <w:rFonts w:hint="eastAsia" w:ascii="宋体" w:hAnsi="宋体" w:cs="宋体"/>
                <w:color w:val="auto"/>
                <w:spacing w:val="-4"/>
                <w:kern w:val="0"/>
                <w:highlight w:val="none"/>
                <w:u w:val="none"/>
              </w:rPr>
              <w:t>，招标人将在</w:t>
            </w:r>
            <w:r>
              <w:rPr>
                <w:rFonts w:hint="eastAsia" w:ascii="宋体" w:hAnsi="宋体" w:cs="宋体"/>
                <w:color w:val="auto"/>
                <w:spacing w:val="-4"/>
                <w:kern w:val="0"/>
                <w:highlight w:val="none"/>
                <w:u w:val="none"/>
                <w:lang w:eastAsia="zh-CN"/>
              </w:rPr>
              <w:t>2026年</w:t>
            </w:r>
            <w:r>
              <w:rPr>
                <w:rFonts w:hint="eastAsia" w:ascii="宋体" w:hAnsi="宋体" w:cs="宋体"/>
                <w:color w:val="auto"/>
                <w:spacing w:val="-4"/>
                <w:kern w:val="0"/>
                <w:highlight w:val="none"/>
                <w:u w:val="none"/>
                <w:lang w:val="en-US" w:eastAsia="zh-CN"/>
              </w:rPr>
              <w:t>9</w:t>
            </w:r>
            <w:r>
              <w:rPr>
                <w:rFonts w:hint="eastAsia" w:ascii="宋体" w:hAnsi="宋体" w:cs="宋体"/>
                <w:color w:val="auto"/>
                <w:spacing w:val="-4"/>
                <w:kern w:val="0"/>
                <w:highlight w:val="none"/>
                <w:u w:val="none"/>
                <w:lang w:eastAsia="zh-CN"/>
              </w:rPr>
              <w:t>月</w:t>
            </w:r>
            <w:r>
              <w:rPr>
                <w:rFonts w:hint="eastAsia" w:ascii="宋体" w:hAnsi="宋体" w:cs="宋体"/>
                <w:color w:val="auto"/>
                <w:spacing w:val="-4"/>
                <w:kern w:val="0"/>
                <w:highlight w:val="none"/>
                <w:lang w:val="en-US" w:eastAsia="zh-CN"/>
              </w:rPr>
              <w:t>8</w:t>
            </w:r>
            <w:r>
              <w:rPr>
                <w:rFonts w:hint="eastAsia" w:ascii="宋体" w:hAnsi="宋体" w:cs="宋体"/>
                <w:color w:val="auto"/>
                <w:spacing w:val="-4"/>
                <w:kern w:val="0"/>
                <w:highlight w:val="none"/>
              </w:rPr>
              <w:t>日17时后在</w:t>
            </w:r>
            <w:r>
              <w:rPr>
                <w:rFonts w:hint="eastAsia" w:ascii="宋体" w:hAnsi="宋体" w:cs="宋体"/>
                <w:color w:val="auto"/>
                <w:highlight w:val="none"/>
              </w:rPr>
              <w:t>滁州市城投工程咨询管理有限公司（https://www.czctgczx.com/）等网站发布</w:t>
            </w:r>
            <w:r>
              <w:rPr>
                <w:rFonts w:hint="eastAsia" w:ascii="宋体" w:hAnsi="宋体" w:cs="宋体"/>
                <w:color w:val="auto"/>
                <w:spacing w:val="-4"/>
                <w:kern w:val="0"/>
                <w:highlight w:val="none"/>
              </w:rPr>
              <w:t>，请各位投标人注意查看有关澄清内容，如不及时查看造成后果由投标人自负。</w:t>
            </w:r>
          </w:p>
        </w:tc>
      </w:tr>
      <w:tr w14:paraId="706E5FDD">
        <w:tblPrEx>
          <w:tblCellMar>
            <w:top w:w="0" w:type="dxa"/>
            <w:left w:w="0" w:type="dxa"/>
            <w:bottom w:w="0" w:type="dxa"/>
            <w:right w:w="0" w:type="dxa"/>
          </w:tblCellMar>
        </w:tblPrEx>
        <w:trPr>
          <w:trHeight w:val="320" w:hRule="atLeast"/>
        </w:trPr>
        <w:tc>
          <w:tcPr>
            <w:tcW w:w="727" w:type="dxa"/>
            <w:tcBorders>
              <w:top w:val="single" w:color="auto" w:sz="8" w:space="0"/>
              <w:left w:val="single" w:color="auto" w:sz="8" w:space="0"/>
              <w:bottom w:val="single" w:color="auto" w:sz="8" w:space="0"/>
              <w:right w:val="single" w:color="auto" w:sz="8" w:space="0"/>
            </w:tcBorders>
            <w:vAlign w:val="center"/>
          </w:tcPr>
          <w:p w14:paraId="2D620F73">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10</w:t>
            </w:r>
          </w:p>
        </w:tc>
        <w:tc>
          <w:tcPr>
            <w:tcW w:w="1645" w:type="dxa"/>
            <w:tcBorders>
              <w:top w:val="single" w:color="auto" w:sz="8" w:space="0"/>
              <w:left w:val="single" w:color="auto" w:sz="4" w:space="0"/>
              <w:bottom w:val="single" w:color="auto" w:sz="8" w:space="0"/>
              <w:right w:val="single" w:color="auto" w:sz="4" w:space="0"/>
            </w:tcBorders>
            <w:vAlign w:val="center"/>
          </w:tcPr>
          <w:p w14:paraId="318B8985">
            <w:pPr>
              <w:pStyle w:val="27"/>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hAnsi="宋体"/>
                <w:color w:val="auto"/>
                <w:highlight w:val="none"/>
              </w:rPr>
            </w:pPr>
            <w:r>
              <w:rPr>
                <w:rFonts w:hint="eastAsia" w:hAnsi="宋体"/>
                <w:color w:val="auto"/>
                <w:highlight w:val="none"/>
              </w:rPr>
              <w:t>投标有效期</w:t>
            </w:r>
          </w:p>
        </w:tc>
        <w:tc>
          <w:tcPr>
            <w:tcW w:w="7166" w:type="dxa"/>
            <w:tcBorders>
              <w:top w:val="single" w:color="auto" w:sz="8" w:space="0"/>
              <w:left w:val="single" w:color="auto" w:sz="4" w:space="0"/>
              <w:bottom w:val="single" w:color="auto" w:sz="8" w:space="0"/>
              <w:right w:val="single" w:color="auto" w:sz="8" w:space="0"/>
            </w:tcBorders>
            <w:vAlign w:val="center"/>
          </w:tcPr>
          <w:p w14:paraId="05C240FE">
            <w:pPr>
              <w:pStyle w:val="27"/>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hAnsi="宋体"/>
                <w:color w:val="auto"/>
                <w:highlight w:val="none"/>
              </w:rPr>
            </w:pPr>
            <w:r>
              <w:rPr>
                <w:rFonts w:hint="eastAsia" w:hAnsi="宋体"/>
                <w:color w:val="auto"/>
                <w:highlight w:val="none"/>
              </w:rPr>
              <w:t>投标有效期为</w:t>
            </w:r>
            <w:r>
              <w:rPr>
                <w:rFonts w:hint="eastAsia" w:hAnsi="宋体"/>
                <w:color w:val="auto"/>
                <w:highlight w:val="none"/>
                <w:u w:val="single"/>
                <w:lang w:val="en-US" w:eastAsia="zh-CN"/>
              </w:rPr>
              <w:t>9</w:t>
            </w:r>
            <w:r>
              <w:rPr>
                <w:rFonts w:hint="eastAsia" w:hAnsi="宋体"/>
                <w:color w:val="auto"/>
                <w:highlight w:val="none"/>
                <w:u w:val="single"/>
              </w:rPr>
              <w:t>0</w:t>
            </w:r>
            <w:r>
              <w:rPr>
                <w:rFonts w:hint="eastAsia" w:hAnsi="宋体"/>
                <w:color w:val="auto"/>
                <w:highlight w:val="none"/>
              </w:rPr>
              <w:t>日历天（从投标截止之日算起）。在此期限内，凡符合本招标文件要求的投标文件均保持有效。</w:t>
            </w:r>
          </w:p>
        </w:tc>
      </w:tr>
      <w:tr w14:paraId="3C7CF5D2">
        <w:tblPrEx>
          <w:tblCellMar>
            <w:top w:w="0" w:type="dxa"/>
            <w:left w:w="0" w:type="dxa"/>
            <w:bottom w:w="0" w:type="dxa"/>
            <w:right w:w="0" w:type="dxa"/>
          </w:tblCellMar>
        </w:tblPrEx>
        <w:trPr>
          <w:trHeight w:val="946" w:hRule="atLeast"/>
        </w:trPr>
        <w:tc>
          <w:tcPr>
            <w:tcW w:w="727" w:type="dxa"/>
            <w:tcBorders>
              <w:top w:val="single" w:color="auto" w:sz="8" w:space="0"/>
              <w:left w:val="single" w:color="auto" w:sz="8" w:space="0"/>
              <w:bottom w:val="single" w:color="auto" w:sz="8" w:space="0"/>
              <w:right w:val="single" w:color="auto" w:sz="8" w:space="0"/>
            </w:tcBorders>
            <w:vAlign w:val="center"/>
          </w:tcPr>
          <w:p w14:paraId="230843B7">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11</w:t>
            </w:r>
          </w:p>
        </w:tc>
        <w:tc>
          <w:tcPr>
            <w:tcW w:w="1645" w:type="dxa"/>
            <w:tcBorders>
              <w:top w:val="single" w:color="auto" w:sz="8" w:space="0"/>
              <w:left w:val="single" w:color="auto" w:sz="4" w:space="0"/>
              <w:bottom w:val="single" w:color="auto" w:sz="8" w:space="0"/>
              <w:right w:val="single" w:color="auto" w:sz="4" w:space="0"/>
            </w:tcBorders>
            <w:vAlign w:val="center"/>
          </w:tcPr>
          <w:p w14:paraId="4520D365">
            <w:pPr>
              <w:pStyle w:val="27"/>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hAnsi="宋体"/>
                <w:color w:val="auto"/>
                <w:highlight w:val="none"/>
              </w:rPr>
            </w:pPr>
            <w:r>
              <w:rPr>
                <w:rFonts w:hint="eastAsia" w:hAnsi="宋体"/>
                <w:color w:val="auto"/>
                <w:highlight w:val="none"/>
              </w:rPr>
              <w:t>投标文件递交</w:t>
            </w:r>
          </w:p>
        </w:tc>
        <w:tc>
          <w:tcPr>
            <w:tcW w:w="7166" w:type="dxa"/>
            <w:tcBorders>
              <w:top w:val="single" w:color="auto" w:sz="8" w:space="0"/>
              <w:left w:val="single" w:color="auto" w:sz="4" w:space="0"/>
              <w:bottom w:val="single" w:color="auto" w:sz="8" w:space="0"/>
              <w:right w:val="single" w:color="auto" w:sz="8" w:space="0"/>
            </w:tcBorders>
            <w:vAlign w:val="center"/>
          </w:tcPr>
          <w:p w14:paraId="59C5C1C6">
            <w:pPr>
              <w:keepNext w:val="0"/>
              <w:keepLines w:val="0"/>
              <w:pageBreakBefore w:val="0"/>
              <w:suppressLineNumbers w:val="0"/>
              <w:shd w:val="clear"/>
              <w:kinsoku/>
              <w:wordWrap w:val="0"/>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highlight w:val="none"/>
              </w:rPr>
            </w:pPr>
            <w:r>
              <w:rPr>
                <w:rFonts w:hint="eastAsia" w:ascii="宋体" w:hAnsi="宋体" w:cs="宋体"/>
                <w:color w:val="auto"/>
                <w:highlight w:val="none"/>
              </w:rPr>
              <w:t>加密电子投标文件投标人应在投标截止时间前通过新点电子交易平台后在【滁州专区】（https://www.etrading.cn/BREpointSSO/login/oauth2login?regioncode=DQ_ChuZhou）交易系统递交电子投标文件。</w:t>
            </w:r>
          </w:p>
          <w:p w14:paraId="5BD0B7E3">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63" w:leftChars="30" w:right="0" w:firstLine="89" w:firstLineChars="42"/>
              <w:jc w:val="left"/>
              <w:textAlignment w:val="auto"/>
              <w:rPr>
                <w:rFonts w:hint="default" w:ascii="宋体" w:hAnsi="宋体" w:cs="宋体"/>
                <w:color w:val="auto"/>
                <w:highlight w:val="none"/>
              </w:rPr>
            </w:pPr>
            <w:r>
              <w:rPr>
                <w:rFonts w:hint="eastAsia" w:ascii="宋体" w:hAnsi="宋体" w:cs="宋体"/>
                <w:b/>
                <w:color w:val="auto"/>
                <w:kern w:val="0"/>
                <w:highlight w:val="none"/>
              </w:rPr>
              <w:t>（投标人中标后须递交与网上电子投标文件完全一致的纸质版投标文件，并按要求加盖单位章；份数：正本</w:t>
            </w:r>
            <w:r>
              <w:rPr>
                <w:rFonts w:hint="eastAsia" w:ascii="宋体" w:hAnsi="宋体" w:cs="宋体"/>
                <w:b/>
                <w:color w:val="auto"/>
                <w:kern w:val="0"/>
                <w:highlight w:val="none"/>
                <w:u w:val="single"/>
              </w:rPr>
              <w:t xml:space="preserve"> 1 </w:t>
            </w:r>
            <w:r>
              <w:rPr>
                <w:rFonts w:hint="eastAsia" w:ascii="宋体" w:hAnsi="宋体" w:cs="宋体"/>
                <w:b/>
                <w:color w:val="auto"/>
                <w:kern w:val="0"/>
                <w:highlight w:val="none"/>
              </w:rPr>
              <w:t>份，副本</w:t>
            </w:r>
            <w:r>
              <w:rPr>
                <w:rFonts w:hint="eastAsia" w:ascii="宋体" w:hAnsi="宋体" w:cs="宋体"/>
                <w:b/>
                <w:color w:val="auto"/>
                <w:kern w:val="0"/>
                <w:highlight w:val="none"/>
                <w:u w:val="single"/>
              </w:rPr>
              <w:t xml:space="preserve"> 1 </w:t>
            </w:r>
            <w:r>
              <w:rPr>
                <w:rFonts w:hint="eastAsia" w:ascii="宋体" w:hAnsi="宋体" w:cs="宋体"/>
                <w:b/>
                <w:color w:val="auto"/>
                <w:kern w:val="0"/>
                <w:highlight w:val="none"/>
              </w:rPr>
              <w:t>份；中标人领取中标通知书时，一并递交给招标代理机构）。</w:t>
            </w:r>
          </w:p>
        </w:tc>
      </w:tr>
      <w:tr w14:paraId="0EEF3D84">
        <w:tblPrEx>
          <w:tblCellMar>
            <w:top w:w="0" w:type="dxa"/>
            <w:left w:w="0" w:type="dxa"/>
            <w:bottom w:w="0" w:type="dxa"/>
            <w:right w:w="0" w:type="dxa"/>
          </w:tblCellMar>
        </w:tblPrEx>
        <w:trPr>
          <w:trHeight w:val="816" w:hRule="atLeast"/>
        </w:trPr>
        <w:tc>
          <w:tcPr>
            <w:tcW w:w="727" w:type="dxa"/>
            <w:tcBorders>
              <w:top w:val="single" w:color="auto" w:sz="8" w:space="0"/>
              <w:left w:val="single" w:color="auto" w:sz="8" w:space="0"/>
              <w:bottom w:val="single" w:color="auto" w:sz="8" w:space="0"/>
              <w:right w:val="single" w:color="auto" w:sz="8" w:space="0"/>
            </w:tcBorders>
            <w:vAlign w:val="center"/>
          </w:tcPr>
          <w:p w14:paraId="0947A32D">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12</w:t>
            </w:r>
          </w:p>
        </w:tc>
        <w:tc>
          <w:tcPr>
            <w:tcW w:w="1645" w:type="dxa"/>
            <w:tcBorders>
              <w:top w:val="single" w:color="auto" w:sz="8" w:space="0"/>
              <w:left w:val="single" w:color="auto" w:sz="4" w:space="0"/>
              <w:bottom w:val="single" w:color="auto" w:sz="8" w:space="0"/>
              <w:right w:val="single" w:color="auto" w:sz="4" w:space="0"/>
            </w:tcBorders>
            <w:vAlign w:val="center"/>
          </w:tcPr>
          <w:p w14:paraId="1AFE8057">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highlight w:val="none"/>
              </w:rPr>
            </w:pPr>
            <w:r>
              <w:rPr>
                <w:rFonts w:hint="eastAsia" w:ascii="宋体" w:hAnsi="宋体" w:cs="宋体"/>
                <w:color w:val="auto"/>
                <w:highlight w:val="none"/>
              </w:rPr>
              <w:t>签字或盖章要求</w:t>
            </w:r>
          </w:p>
        </w:tc>
        <w:tc>
          <w:tcPr>
            <w:tcW w:w="7166" w:type="dxa"/>
            <w:tcBorders>
              <w:top w:val="single" w:color="auto" w:sz="8" w:space="0"/>
              <w:left w:val="single" w:color="auto" w:sz="4" w:space="0"/>
              <w:bottom w:val="single" w:color="auto" w:sz="8" w:space="0"/>
              <w:right w:val="single" w:color="auto" w:sz="8" w:space="0"/>
            </w:tcBorders>
            <w:vAlign w:val="center"/>
          </w:tcPr>
          <w:p w14:paraId="6AAD6A81">
            <w:pPr>
              <w:pStyle w:val="2"/>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firstLine="0" w:firstLineChars="0"/>
              <w:textAlignment w:val="auto"/>
              <w:rPr>
                <w:rFonts w:hint="default" w:ascii="宋体" w:hAnsi="宋体" w:cs="宋体"/>
                <w:b/>
                <w:color w:val="auto"/>
                <w:kern w:val="0"/>
                <w:sz w:val="21"/>
                <w:szCs w:val="21"/>
                <w:highlight w:val="none"/>
              </w:rPr>
            </w:pPr>
            <w:r>
              <w:rPr>
                <w:rFonts w:hint="eastAsia" w:ascii="宋体" w:hAnsi="宋体" w:cs="宋体"/>
                <w:b/>
                <w:color w:val="auto"/>
                <w:kern w:val="0"/>
                <w:sz w:val="21"/>
                <w:szCs w:val="21"/>
                <w:highlight w:val="none"/>
              </w:rPr>
              <w:t>招标文件中“签章”是指签字或盖章。在“投标文件格式”中要求单位签章的，投标人应加盖投标人单位电子印章或直接上传加盖投标人单位印章原件彩色扫描件。要求个人签章的，加盖相应人员印章（或电子印章）或相应人员签字均可。</w:t>
            </w:r>
          </w:p>
          <w:p w14:paraId="5A3C9419">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63" w:leftChars="30" w:right="0" w:firstLine="89" w:firstLineChars="42"/>
              <w:jc w:val="left"/>
              <w:textAlignment w:val="auto"/>
              <w:rPr>
                <w:rFonts w:hint="default" w:ascii="宋体" w:hAnsi="宋体" w:cs="宋体"/>
                <w:b/>
                <w:color w:val="auto"/>
                <w:kern w:val="0"/>
                <w:highlight w:val="none"/>
              </w:rPr>
            </w:pPr>
            <w:r>
              <w:rPr>
                <w:rFonts w:hint="eastAsia" w:ascii="宋体" w:hAnsi="宋体" w:cs="宋体"/>
                <w:b/>
                <w:color w:val="auto"/>
                <w:kern w:val="0"/>
                <w:highlight w:val="none"/>
              </w:rPr>
              <w:t>否则经评委会一致认定后，按照无效投标处理。</w:t>
            </w:r>
          </w:p>
        </w:tc>
      </w:tr>
      <w:tr w14:paraId="56B2FDB6">
        <w:tblPrEx>
          <w:tblCellMar>
            <w:top w:w="0" w:type="dxa"/>
            <w:left w:w="0" w:type="dxa"/>
            <w:bottom w:w="0" w:type="dxa"/>
            <w:right w:w="0" w:type="dxa"/>
          </w:tblCellMar>
        </w:tblPrEx>
        <w:trPr>
          <w:trHeight w:val="1339" w:hRule="atLeast"/>
        </w:trPr>
        <w:tc>
          <w:tcPr>
            <w:tcW w:w="727" w:type="dxa"/>
            <w:tcBorders>
              <w:top w:val="single" w:color="auto" w:sz="8" w:space="0"/>
              <w:left w:val="single" w:color="auto" w:sz="8" w:space="0"/>
              <w:bottom w:val="single" w:color="auto" w:sz="8" w:space="0"/>
              <w:right w:val="single" w:color="auto" w:sz="8" w:space="0"/>
            </w:tcBorders>
            <w:vAlign w:val="center"/>
          </w:tcPr>
          <w:p w14:paraId="320DD169">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13</w:t>
            </w:r>
          </w:p>
        </w:tc>
        <w:tc>
          <w:tcPr>
            <w:tcW w:w="1645" w:type="dxa"/>
            <w:tcBorders>
              <w:top w:val="single" w:color="auto" w:sz="8" w:space="0"/>
              <w:left w:val="single" w:color="auto" w:sz="4" w:space="0"/>
              <w:bottom w:val="single" w:color="auto" w:sz="8" w:space="0"/>
              <w:right w:val="single" w:color="auto" w:sz="4" w:space="0"/>
            </w:tcBorders>
            <w:vAlign w:val="center"/>
          </w:tcPr>
          <w:p w14:paraId="424B5C1F">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highlight w:val="none"/>
              </w:rPr>
              <w:t>投标文件提交截止时间</w:t>
            </w:r>
          </w:p>
        </w:tc>
        <w:tc>
          <w:tcPr>
            <w:tcW w:w="7166" w:type="dxa"/>
            <w:tcBorders>
              <w:top w:val="single" w:color="auto" w:sz="8" w:space="0"/>
              <w:left w:val="single" w:color="auto" w:sz="4" w:space="0"/>
              <w:bottom w:val="single" w:color="auto" w:sz="8" w:space="0"/>
              <w:right w:val="single" w:color="auto" w:sz="8" w:space="0"/>
            </w:tcBorders>
            <w:vAlign w:val="center"/>
          </w:tcPr>
          <w:p w14:paraId="64F0C682">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highlight w:val="none"/>
              </w:rPr>
            </w:pPr>
            <w:r>
              <w:rPr>
                <w:rFonts w:hint="eastAsia" w:ascii="宋体" w:hAnsi="宋体" w:cs="宋体"/>
                <w:color w:val="auto"/>
                <w:highlight w:val="none"/>
              </w:rPr>
              <w:t>网上递交投标文件截止时间：</w:t>
            </w:r>
            <w:r>
              <w:rPr>
                <w:rFonts w:hint="eastAsia" w:ascii="宋体" w:hAnsi="宋体" w:cs="宋体"/>
                <w:b/>
                <w:bCs/>
                <w:color w:val="auto"/>
                <w:highlight w:val="none"/>
                <w:lang w:eastAsia="zh-CN"/>
              </w:rPr>
              <w:t>2026年</w:t>
            </w:r>
            <w:r>
              <w:rPr>
                <w:rFonts w:hint="eastAsia" w:ascii="宋体" w:hAnsi="宋体" w:cs="宋体"/>
                <w:b/>
                <w:bCs/>
                <w:color w:val="auto"/>
                <w:highlight w:val="none"/>
                <w:lang w:val="en-US" w:eastAsia="zh-CN"/>
              </w:rPr>
              <w:t>9</w:t>
            </w:r>
            <w:r>
              <w:rPr>
                <w:rFonts w:hint="eastAsia" w:ascii="宋体" w:hAnsi="宋体" w:cs="宋体"/>
                <w:b/>
                <w:bCs/>
                <w:color w:val="auto"/>
                <w:highlight w:val="none"/>
                <w:lang w:eastAsia="zh-CN"/>
              </w:rPr>
              <w:t>月</w:t>
            </w:r>
            <w:r>
              <w:rPr>
                <w:rFonts w:hint="eastAsia" w:ascii="宋体" w:hAnsi="宋体" w:cs="宋体"/>
                <w:b/>
                <w:bCs/>
                <w:color w:val="auto"/>
                <w:highlight w:val="none"/>
                <w:lang w:val="en-US" w:eastAsia="zh-CN"/>
              </w:rPr>
              <w:t>11</w:t>
            </w:r>
            <w:r>
              <w:rPr>
                <w:rFonts w:hint="eastAsia" w:ascii="宋体" w:hAnsi="宋体" w:cs="宋体"/>
                <w:b/>
                <w:bCs/>
                <w:color w:val="auto"/>
                <w:highlight w:val="none"/>
                <w:lang w:eastAsia="zh-CN"/>
              </w:rPr>
              <w:t>日</w:t>
            </w:r>
            <w:r>
              <w:rPr>
                <w:rFonts w:hint="eastAsia" w:ascii="宋体" w:hAnsi="宋体" w:cs="宋体"/>
                <w:b/>
                <w:bCs/>
                <w:color w:val="auto"/>
                <w:highlight w:val="none"/>
                <w:lang w:val="en-US" w:eastAsia="zh-CN"/>
              </w:rPr>
              <w:t>9</w:t>
            </w:r>
            <w:r>
              <w:rPr>
                <w:rFonts w:hint="eastAsia" w:ascii="宋体" w:hAnsi="宋体" w:cs="宋体"/>
                <w:b/>
                <w:bCs/>
                <w:color w:val="auto"/>
                <w:highlight w:val="none"/>
                <w:lang w:eastAsia="zh-CN"/>
              </w:rPr>
              <w:t>时</w:t>
            </w:r>
            <w:r>
              <w:rPr>
                <w:rFonts w:hint="eastAsia" w:ascii="宋体" w:hAnsi="宋体" w:cs="宋体"/>
                <w:b/>
                <w:bCs/>
                <w:color w:val="auto"/>
                <w:highlight w:val="none"/>
                <w:lang w:val="en-US" w:eastAsia="zh-CN"/>
              </w:rPr>
              <w:t>0</w:t>
            </w:r>
            <w:r>
              <w:rPr>
                <w:rFonts w:hint="eastAsia" w:ascii="宋体" w:hAnsi="宋体" w:cs="宋体"/>
                <w:b/>
                <w:bCs/>
                <w:color w:val="auto"/>
                <w:highlight w:val="none"/>
                <w:lang w:eastAsia="zh-CN"/>
              </w:rPr>
              <w:t>0分</w:t>
            </w:r>
            <w:r>
              <w:rPr>
                <w:rFonts w:hint="eastAsia" w:ascii="宋体" w:hAnsi="宋体" w:cs="宋体"/>
                <w:b/>
                <w:bCs/>
                <w:color w:val="auto"/>
                <w:highlight w:val="none"/>
              </w:rPr>
              <w:t>（北京时间）</w:t>
            </w:r>
          </w:p>
          <w:p w14:paraId="771E94CC">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bCs/>
                <w:color w:val="auto"/>
                <w:highlight w:val="none"/>
              </w:rPr>
            </w:pPr>
            <w:r>
              <w:rPr>
                <w:rFonts w:hint="eastAsia" w:ascii="宋体" w:hAnsi="宋体" w:cs="宋体"/>
                <w:b/>
                <w:color w:val="auto"/>
                <w:highlight w:val="none"/>
              </w:rPr>
              <w:t>注：以投标人在投标截止时间前网上递交的电子投标文件为准，逾期提交的，投标文件将被拒绝。</w:t>
            </w:r>
          </w:p>
          <w:p w14:paraId="4664C5EC">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highlight w:val="none"/>
              </w:rPr>
            </w:pPr>
            <w:r>
              <w:rPr>
                <w:rFonts w:hint="eastAsia" w:ascii="宋体" w:hAnsi="宋体" w:cs="宋体"/>
                <w:bCs/>
                <w:color w:val="auto"/>
                <w:highlight w:val="none"/>
              </w:rPr>
              <w:t>1.解密程序开始后30分钟内（以本项目网上招投标系统解密倒计时为准）。</w:t>
            </w:r>
          </w:p>
        </w:tc>
      </w:tr>
      <w:tr w14:paraId="66BCAC8A">
        <w:tblPrEx>
          <w:tblCellMar>
            <w:top w:w="0" w:type="dxa"/>
            <w:left w:w="0" w:type="dxa"/>
            <w:bottom w:w="0" w:type="dxa"/>
            <w:right w:w="0" w:type="dxa"/>
          </w:tblCellMar>
        </w:tblPrEx>
        <w:trPr>
          <w:trHeight w:val="320" w:hRule="atLeast"/>
        </w:trPr>
        <w:tc>
          <w:tcPr>
            <w:tcW w:w="727" w:type="dxa"/>
            <w:tcBorders>
              <w:top w:val="single" w:color="auto" w:sz="8" w:space="0"/>
              <w:left w:val="single" w:color="auto" w:sz="8" w:space="0"/>
              <w:bottom w:val="single" w:color="auto" w:sz="8" w:space="0"/>
              <w:right w:val="single" w:color="auto" w:sz="8" w:space="0"/>
            </w:tcBorders>
            <w:vAlign w:val="center"/>
          </w:tcPr>
          <w:p w14:paraId="1F73A703">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14</w:t>
            </w:r>
          </w:p>
        </w:tc>
        <w:tc>
          <w:tcPr>
            <w:tcW w:w="1645" w:type="dxa"/>
            <w:tcBorders>
              <w:top w:val="single" w:color="auto" w:sz="8" w:space="0"/>
              <w:left w:val="single" w:color="auto" w:sz="4" w:space="0"/>
              <w:bottom w:val="single" w:color="auto" w:sz="8" w:space="0"/>
              <w:right w:val="single" w:color="auto" w:sz="4" w:space="0"/>
            </w:tcBorders>
            <w:vAlign w:val="center"/>
          </w:tcPr>
          <w:p w14:paraId="1EE5CD73">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highlight w:val="none"/>
              </w:rPr>
            </w:pPr>
            <w:r>
              <w:rPr>
                <w:rFonts w:hint="eastAsia" w:ascii="宋体" w:hAnsi="宋体" w:cs="宋体"/>
                <w:color w:val="auto"/>
                <w:highlight w:val="none"/>
              </w:rPr>
              <w:t>是否退还投标文件</w:t>
            </w:r>
          </w:p>
        </w:tc>
        <w:tc>
          <w:tcPr>
            <w:tcW w:w="7166" w:type="dxa"/>
            <w:tcBorders>
              <w:top w:val="single" w:color="auto" w:sz="8" w:space="0"/>
              <w:left w:val="single" w:color="auto" w:sz="4" w:space="0"/>
              <w:bottom w:val="single" w:color="auto" w:sz="8" w:space="0"/>
              <w:right w:val="single" w:color="auto" w:sz="8" w:space="0"/>
            </w:tcBorders>
            <w:vAlign w:val="center"/>
          </w:tcPr>
          <w:p w14:paraId="69C87132">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highlight w:val="none"/>
              </w:rPr>
            </w:pPr>
            <w:r>
              <w:rPr>
                <w:rFonts w:hint="eastAsia" w:ascii="宋体" w:hAnsi="宋体" w:cs="宋体"/>
                <w:color w:val="auto"/>
                <w:highlight w:val="none"/>
              </w:rPr>
              <w:t>否</w:t>
            </w:r>
          </w:p>
        </w:tc>
      </w:tr>
      <w:tr w14:paraId="746328D8">
        <w:tblPrEx>
          <w:tblCellMar>
            <w:top w:w="0" w:type="dxa"/>
            <w:left w:w="0" w:type="dxa"/>
            <w:bottom w:w="0" w:type="dxa"/>
            <w:right w:w="0" w:type="dxa"/>
          </w:tblCellMar>
        </w:tblPrEx>
        <w:trPr>
          <w:trHeight w:val="164" w:hRule="atLeast"/>
        </w:trPr>
        <w:tc>
          <w:tcPr>
            <w:tcW w:w="727" w:type="dxa"/>
            <w:tcBorders>
              <w:top w:val="single" w:color="auto" w:sz="8" w:space="0"/>
              <w:left w:val="single" w:color="auto" w:sz="8" w:space="0"/>
              <w:bottom w:val="single" w:color="auto" w:sz="8" w:space="0"/>
              <w:right w:val="single" w:color="auto" w:sz="8" w:space="0"/>
            </w:tcBorders>
            <w:vAlign w:val="center"/>
          </w:tcPr>
          <w:p w14:paraId="6B25B496">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15</w:t>
            </w:r>
          </w:p>
        </w:tc>
        <w:tc>
          <w:tcPr>
            <w:tcW w:w="1645" w:type="dxa"/>
            <w:tcBorders>
              <w:top w:val="single" w:color="auto" w:sz="8" w:space="0"/>
              <w:left w:val="single" w:color="auto" w:sz="4" w:space="0"/>
              <w:bottom w:val="single" w:color="auto" w:sz="8" w:space="0"/>
              <w:right w:val="single" w:color="auto" w:sz="4" w:space="0"/>
            </w:tcBorders>
            <w:vAlign w:val="center"/>
          </w:tcPr>
          <w:p w14:paraId="01160863">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highlight w:val="none"/>
              </w:rPr>
              <w:t>开标时间及地点</w:t>
            </w:r>
          </w:p>
        </w:tc>
        <w:tc>
          <w:tcPr>
            <w:tcW w:w="7166" w:type="dxa"/>
            <w:tcBorders>
              <w:top w:val="single" w:color="auto" w:sz="8" w:space="0"/>
              <w:left w:val="single" w:color="auto" w:sz="4" w:space="0"/>
              <w:bottom w:val="single" w:color="auto" w:sz="8" w:space="0"/>
              <w:right w:val="single" w:color="auto" w:sz="8" w:space="0"/>
            </w:tcBorders>
            <w:vAlign w:val="center"/>
          </w:tcPr>
          <w:p w14:paraId="681DC371">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highlight w:val="none"/>
              </w:rPr>
            </w:pPr>
            <w:r>
              <w:rPr>
                <w:rFonts w:hint="eastAsia" w:ascii="宋体" w:hAnsi="宋体" w:cs="宋体"/>
                <w:color w:val="auto"/>
                <w:highlight w:val="none"/>
              </w:rPr>
              <w:t>详见招标公告。</w:t>
            </w:r>
          </w:p>
        </w:tc>
      </w:tr>
      <w:tr w14:paraId="433CAB5C">
        <w:tblPrEx>
          <w:tblCellMar>
            <w:top w:w="0" w:type="dxa"/>
            <w:left w:w="0" w:type="dxa"/>
            <w:bottom w:w="0" w:type="dxa"/>
            <w:right w:w="0" w:type="dxa"/>
          </w:tblCellMar>
        </w:tblPrEx>
        <w:trPr>
          <w:trHeight w:val="164" w:hRule="atLeast"/>
        </w:trPr>
        <w:tc>
          <w:tcPr>
            <w:tcW w:w="727" w:type="dxa"/>
            <w:tcBorders>
              <w:top w:val="single" w:color="auto" w:sz="8" w:space="0"/>
              <w:left w:val="single" w:color="auto" w:sz="8" w:space="0"/>
              <w:bottom w:val="single" w:color="auto" w:sz="8" w:space="0"/>
              <w:right w:val="single" w:color="auto" w:sz="8" w:space="0"/>
            </w:tcBorders>
            <w:vAlign w:val="center"/>
          </w:tcPr>
          <w:p w14:paraId="720383C5">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16</w:t>
            </w:r>
          </w:p>
        </w:tc>
        <w:tc>
          <w:tcPr>
            <w:tcW w:w="1645" w:type="dxa"/>
            <w:tcBorders>
              <w:top w:val="single" w:color="auto" w:sz="8" w:space="0"/>
              <w:left w:val="single" w:color="auto" w:sz="4" w:space="0"/>
              <w:bottom w:val="single" w:color="auto" w:sz="8" w:space="0"/>
              <w:right w:val="single" w:color="auto" w:sz="4" w:space="0"/>
            </w:tcBorders>
            <w:vAlign w:val="center"/>
          </w:tcPr>
          <w:p w14:paraId="2FC29927">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highlight w:val="none"/>
              </w:rPr>
              <w:t>开标程序</w:t>
            </w:r>
          </w:p>
        </w:tc>
        <w:tc>
          <w:tcPr>
            <w:tcW w:w="7166" w:type="dxa"/>
            <w:tcBorders>
              <w:top w:val="single" w:color="auto" w:sz="8" w:space="0"/>
              <w:left w:val="single" w:color="auto" w:sz="4" w:space="0"/>
              <w:bottom w:val="single" w:color="auto" w:sz="8" w:space="0"/>
              <w:right w:val="single" w:color="auto" w:sz="8" w:space="0"/>
            </w:tcBorders>
            <w:vAlign w:val="center"/>
          </w:tcPr>
          <w:p w14:paraId="5EDE736A">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highlight w:val="none"/>
              </w:rPr>
            </w:pPr>
            <w:r>
              <w:rPr>
                <w:rFonts w:hint="eastAsia" w:ascii="宋体" w:hAnsi="宋体" w:cs="宋体"/>
                <w:color w:val="auto"/>
                <w:highlight w:val="none"/>
              </w:rPr>
              <w:t>开标顺序：解密电子投标文件后，由评标委员会评审。</w:t>
            </w:r>
          </w:p>
        </w:tc>
      </w:tr>
      <w:tr w14:paraId="1E88477A">
        <w:tblPrEx>
          <w:tblCellMar>
            <w:top w:w="0" w:type="dxa"/>
            <w:left w:w="0" w:type="dxa"/>
            <w:bottom w:w="0" w:type="dxa"/>
            <w:right w:w="0" w:type="dxa"/>
          </w:tblCellMar>
        </w:tblPrEx>
        <w:trPr>
          <w:trHeight w:val="320" w:hRule="atLeast"/>
        </w:trPr>
        <w:tc>
          <w:tcPr>
            <w:tcW w:w="727" w:type="dxa"/>
            <w:tcBorders>
              <w:top w:val="single" w:color="auto" w:sz="8" w:space="0"/>
              <w:left w:val="single" w:color="auto" w:sz="8" w:space="0"/>
              <w:bottom w:val="single" w:color="auto" w:sz="8" w:space="0"/>
              <w:right w:val="single" w:color="auto" w:sz="8" w:space="0"/>
            </w:tcBorders>
            <w:vAlign w:val="center"/>
          </w:tcPr>
          <w:p w14:paraId="68E93AE6">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17</w:t>
            </w:r>
          </w:p>
        </w:tc>
        <w:tc>
          <w:tcPr>
            <w:tcW w:w="1645" w:type="dxa"/>
            <w:tcBorders>
              <w:top w:val="single" w:color="auto" w:sz="8" w:space="0"/>
              <w:left w:val="single" w:color="auto" w:sz="4" w:space="0"/>
              <w:bottom w:val="single" w:color="auto" w:sz="8" w:space="0"/>
              <w:right w:val="single" w:color="auto" w:sz="4" w:space="0"/>
            </w:tcBorders>
            <w:vAlign w:val="center"/>
          </w:tcPr>
          <w:p w14:paraId="66D18803">
            <w:pPr>
              <w:pStyle w:val="27"/>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hAnsi="宋体"/>
                <w:color w:val="auto"/>
                <w:highlight w:val="none"/>
              </w:rPr>
            </w:pPr>
            <w:r>
              <w:rPr>
                <w:rFonts w:hint="eastAsia" w:hAnsi="宋体"/>
                <w:color w:val="auto"/>
                <w:highlight w:val="none"/>
              </w:rPr>
              <w:t>评标委员会的组建</w:t>
            </w:r>
          </w:p>
        </w:tc>
        <w:tc>
          <w:tcPr>
            <w:tcW w:w="7166" w:type="dxa"/>
            <w:tcBorders>
              <w:top w:val="single" w:color="auto" w:sz="8" w:space="0"/>
              <w:left w:val="single" w:color="auto" w:sz="4" w:space="0"/>
              <w:bottom w:val="single" w:color="auto" w:sz="8" w:space="0"/>
              <w:right w:val="single" w:color="auto" w:sz="8" w:space="0"/>
            </w:tcBorders>
            <w:vAlign w:val="center"/>
          </w:tcPr>
          <w:p w14:paraId="031F999F">
            <w:pPr>
              <w:pStyle w:val="159"/>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both"/>
              <w:textAlignment w:val="auto"/>
              <w:rPr>
                <w:rFonts w:hint="eastAsia" w:hAnsi="宋体" w:cs="宋体"/>
                <w:color w:val="auto"/>
                <w:highlight w:val="none"/>
              </w:rPr>
            </w:pPr>
            <w:r>
              <w:rPr>
                <w:rFonts w:hint="eastAsia" w:hAnsi="宋体" w:cs="宋体"/>
                <w:color w:val="auto"/>
                <w:highlight w:val="none"/>
              </w:rPr>
              <w:t>评标委员会由招标人组建；</w:t>
            </w:r>
          </w:p>
          <w:p w14:paraId="3C3AC2A7">
            <w:pPr>
              <w:pStyle w:val="159"/>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both"/>
              <w:textAlignment w:val="auto"/>
              <w:rPr>
                <w:rFonts w:hint="default" w:hAnsi="宋体"/>
                <w:color w:val="auto"/>
                <w:highlight w:val="none"/>
              </w:rPr>
            </w:pPr>
            <w:r>
              <w:rPr>
                <w:rFonts w:hint="eastAsia" w:hAnsi="宋体" w:cs="宋体"/>
                <w:color w:val="auto"/>
                <w:highlight w:val="none"/>
              </w:rPr>
              <w:t>评标专家确定方式：专家评委由招标单位在评标前24小时内从专家库中随机抽取</w:t>
            </w:r>
            <w:r>
              <w:rPr>
                <w:rFonts w:hint="eastAsia" w:hAnsi="宋体" w:cs="宋体"/>
                <w:color w:val="auto"/>
                <w:highlight w:val="none"/>
                <w:lang w:eastAsia="zh-CN"/>
              </w:rPr>
              <w:t>。</w:t>
            </w:r>
          </w:p>
        </w:tc>
      </w:tr>
      <w:tr w14:paraId="0D0926CE">
        <w:tblPrEx>
          <w:tblCellMar>
            <w:top w:w="0" w:type="dxa"/>
            <w:left w:w="0" w:type="dxa"/>
            <w:bottom w:w="0" w:type="dxa"/>
            <w:right w:w="0" w:type="dxa"/>
          </w:tblCellMar>
        </w:tblPrEx>
        <w:trPr>
          <w:trHeight w:val="164" w:hRule="atLeast"/>
        </w:trPr>
        <w:tc>
          <w:tcPr>
            <w:tcW w:w="727" w:type="dxa"/>
            <w:tcBorders>
              <w:top w:val="single" w:color="auto" w:sz="8" w:space="0"/>
              <w:left w:val="single" w:color="auto" w:sz="8" w:space="0"/>
              <w:bottom w:val="single" w:color="auto" w:sz="8" w:space="0"/>
              <w:right w:val="single" w:color="auto" w:sz="8" w:space="0"/>
            </w:tcBorders>
            <w:vAlign w:val="center"/>
          </w:tcPr>
          <w:p w14:paraId="3C110BDB">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18</w:t>
            </w:r>
          </w:p>
        </w:tc>
        <w:tc>
          <w:tcPr>
            <w:tcW w:w="1645" w:type="dxa"/>
            <w:tcBorders>
              <w:top w:val="single" w:color="auto" w:sz="8" w:space="0"/>
              <w:left w:val="single" w:color="auto" w:sz="4" w:space="0"/>
              <w:bottom w:val="single" w:color="auto" w:sz="8" w:space="0"/>
              <w:right w:val="single" w:color="auto" w:sz="4" w:space="0"/>
            </w:tcBorders>
            <w:vAlign w:val="center"/>
          </w:tcPr>
          <w:p w14:paraId="312BB04E">
            <w:pPr>
              <w:pStyle w:val="27"/>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hAnsi="宋体"/>
                <w:color w:val="auto"/>
                <w:highlight w:val="none"/>
              </w:rPr>
            </w:pPr>
            <w:r>
              <w:rPr>
                <w:rFonts w:hint="eastAsia" w:hAnsi="宋体"/>
                <w:color w:val="auto"/>
                <w:highlight w:val="none"/>
              </w:rPr>
              <w:t>是否授权评标委员会确定中标候选人</w:t>
            </w:r>
          </w:p>
        </w:tc>
        <w:tc>
          <w:tcPr>
            <w:tcW w:w="7166" w:type="dxa"/>
            <w:tcBorders>
              <w:top w:val="single" w:color="auto" w:sz="8" w:space="0"/>
              <w:left w:val="single" w:color="auto" w:sz="4" w:space="0"/>
              <w:bottom w:val="single" w:color="auto" w:sz="8" w:space="0"/>
              <w:right w:val="single" w:color="auto" w:sz="8" w:space="0"/>
            </w:tcBorders>
            <w:vAlign w:val="center"/>
          </w:tcPr>
          <w:p w14:paraId="599F1555">
            <w:pPr>
              <w:pStyle w:val="27"/>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hAnsi="宋体"/>
                <w:color w:val="auto"/>
                <w:highlight w:val="none"/>
              </w:rPr>
            </w:pPr>
            <w:r>
              <w:rPr>
                <w:rFonts w:hint="eastAsia" w:hAnsi="宋体"/>
                <w:color w:val="auto"/>
                <w:highlight w:val="none"/>
              </w:rPr>
              <w:t>是，评标委员会推荐</w:t>
            </w:r>
            <w:r>
              <w:rPr>
                <w:rFonts w:hint="eastAsia" w:hAnsi="宋体"/>
                <w:color w:val="auto"/>
                <w:highlight w:val="none"/>
                <w:u w:val="single"/>
              </w:rPr>
              <w:t xml:space="preserve"> </w:t>
            </w:r>
            <w:r>
              <w:rPr>
                <w:rFonts w:hint="eastAsia" w:hAnsi="宋体"/>
                <w:color w:val="auto"/>
                <w:highlight w:val="none"/>
                <w:u w:val="single"/>
                <w:lang w:val="en-US" w:eastAsia="zh-CN"/>
              </w:rPr>
              <w:t>3</w:t>
            </w:r>
            <w:r>
              <w:rPr>
                <w:rFonts w:hint="eastAsia" w:hAnsi="宋体"/>
                <w:color w:val="auto"/>
                <w:highlight w:val="none"/>
                <w:u w:val="single"/>
              </w:rPr>
              <w:t xml:space="preserve"> </w:t>
            </w:r>
            <w:r>
              <w:rPr>
                <w:rFonts w:hint="eastAsia" w:hAnsi="宋体"/>
                <w:color w:val="auto"/>
                <w:highlight w:val="none"/>
              </w:rPr>
              <w:t>名中标候选人，并标明排序。</w:t>
            </w:r>
          </w:p>
        </w:tc>
      </w:tr>
      <w:tr w14:paraId="184C240B">
        <w:tblPrEx>
          <w:tblCellMar>
            <w:top w:w="0" w:type="dxa"/>
            <w:left w:w="0" w:type="dxa"/>
            <w:bottom w:w="0" w:type="dxa"/>
            <w:right w:w="0" w:type="dxa"/>
          </w:tblCellMar>
        </w:tblPrEx>
        <w:trPr>
          <w:trHeight w:val="320" w:hRule="atLeast"/>
        </w:trPr>
        <w:tc>
          <w:tcPr>
            <w:tcW w:w="727" w:type="dxa"/>
            <w:tcBorders>
              <w:top w:val="single" w:color="auto" w:sz="8" w:space="0"/>
              <w:left w:val="single" w:color="auto" w:sz="8" w:space="0"/>
              <w:bottom w:val="single" w:color="auto" w:sz="8" w:space="0"/>
              <w:right w:val="single" w:color="auto" w:sz="8" w:space="0"/>
            </w:tcBorders>
            <w:vAlign w:val="center"/>
          </w:tcPr>
          <w:p w14:paraId="2BEEE8B9">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19</w:t>
            </w:r>
          </w:p>
        </w:tc>
        <w:tc>
          <w:tcPr>
            <w:tcW w:w="1645" w:type="dxa"/>
            <w:tcBorders>
              <w:top w:val="single" w:color="auto" w:sz="8" w:space="0"/>
              <w:left w:val="single" w:color="auto" w:sz="4" w:space="0"/>
              <w:bottom w:val="single" w:color="auto" w:sz="8" w:space="0"/>
              <w:right w:val="single" w:color="auto" w:sz="4" w:space="0"/>
            </w:tcBorders>
            <w:vAlign w:val="center"/>
          </w:tcPr>
          <w:p w14:paraId="4C79D7B7">
            <w:pPr>
              <w:pStyle w:val="27"/>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hAnsi="宋体"/>
                <w:color w:val="auto"/>
                <w:highlight w:val="none"/>
              </w:rPr>
            </w:pPr>
            <w:r>
              <w:rPr>
                <w:rFonts w:hint="eastAsia" w:hAnsi="宋体"/>
                <w:color w:val="auto"/>
                <w:highlight w:val="none"/>
              </w:rPr>
              <w:t>中标候选人公示媒介</w:t>
            </w:r>
          </w:p>
        </w:tc>
        <w:tc>
          <w:tcPr>
            <w:tcW w:w="7166" w:type="dxa"/>
            <w:tcBorders>
              <w:top w:val="single" w:color="auto" w:sz="8" w:space="0"/>
              <w:left w:val="single" w:color="auto" w:sz="4" w:space="0"/>
              <w:bottom w:val="single" w:color="auto" w:sz="8" w:space="0"/>
              <w:right w:val="single" w:color="auto" w:sz="8" w:space="0"/>
            </w:tcBorders>
          </w:tcPr>
          <w:p w14:paraId="4E684BE1">
            <w:pPr>
              <w:pStyle w:val="27"/>
              <w:keepNext w:val="0"/>
              <w:keepLines w:val="0"/>
              <w:pageBreakBefore w:val="0"/>
              <w:suppressLineNumbers w:val="0"/>
              <w:shd w:val="clear"/>
              <w:kinsoku/>
              <w:wordWrap w:val="0"/>
              <w:overflowPunct/>
              <w:topLinePunct w:val="0"/>
              <w:autoSpaceDE/>
              <w:autoSpaceDN/>
              <w:bidi w:val="0"/>
              <w:adjustRightInd/>
              <w:snapToGrid/>
              <w:spacing w:before="0" w:beforeAutospacing="0" w:after="0" w:afterAutospacing="0" w:line="480" w:lineRule="exact"/>
              <w:ind w:left="63" w:leftChars="30" w:right="0"/>
              <w:textAlignment w:val="auto"/>
              <w:rPr>
                <w:rFonts w:hint="default" w:hAnsi="宋体"/>
                <w:color w:val="auto"/>
                <w:highlight w:val="none"/>
              </w:rPr>
            </w:pPr>
            <w:r>
              <w:rPr>
                <w:rFonts w:hint="eastAsia" w:hAnsi="宋体"/>
                <w:color w:val="auto"/>
                <w:highlight w:val="none"/>
              </w:rPr>
              <w:t>滁州市城投工程咨询管理有限公司（https://www.czctgczx.com/）</w:t>
            </w:r>
            <w:r>
              <w:rPr>
                <w:rFonts w:hint="eastAsia" w:hAnsi="宋体"/>
                <w:color w:val="auto"/>
                <w:spacing w:val="-4"/>
                <w:highlight w:val="none"/>
              </w:rPr>
              <w:t>等网站</w:t>
            </w:r>
          </w:p>
        </w:tc>
      </w:tr>
      <w:tr w14:paraId="08A5ADD3">
        <w:tblPrEx>
          <w:tblCellMar>
            <w:top w:w="0" w:type="dxa"/>
            <w:left w:w="0" w:type="dxa"/>
            <w:bottom w:w="0" w:type="dxa"/>
            <w:right w:w="0" w:type="dxa"/>
          </w:tblCellMar>
        </w:tblPrEx>
        <w:trPr>
          <w:trHeight w:val="164" w:hRule="atLeast"/>
        </w:trPr>
        <w:tc>
          <w:tcPr>
            <w:tcW w:w="727" w:type="dxa"/>
            <w:tcBorders>
              <w:top w:val="single" w:color="auto" w:sz="8" w:space="0"/>
              <w:left w:val="single" w:color="auto" w:sz="8" w:space="0"/>
              <w:bottom w:val="single" w:color="auto" w:sz="8" w:space="0"/>
              <w:right w:val="single" w:color="auto" w:sz="8" w:space="0"/>
            </w:tcBorders>
            <w:vAlign w:val="center"/>
          </w:tcPr>
          <w:p w14:paraId="2E811CB4">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20</w:t>
            </w:r>
          </w:p>
        </w:tc>
        <w:tc>
          <w:tcPr>
            <w:tcW w:w="1645" w:type="dxa"/>
            <w:tcBorders>
              <w:top w:val="single" w:color="auto" w:sz="8" w:space="0"/>
              <w:left w:val="single" w:color="auto" w:sz="4" w:space="0"/>
              <w:bottom w:val="single" w:color="auto" w:sz="8" w:space="0"/>
              <w:right w:val="single" w:color="auto" w:sz="4" w:space="0"/>
            </w:tcBorders>
            <w:vAlign w:val="center"/>
          </w:tcPr>
          <w:p w14:paraId="2C6B2420">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highlight w:val="none"/>
              </w:rPr>
            </w:pPr>
            <w:r>
              <w:rPr>
                <w:rFonts w:hint="eastAsia" w:ascii="宋体" w:hAnsi="宋体" w:cs="宋体"/>
                <w:color w:val="auto"/>
                <w:highlight w:val="none"/>
              </w:rPr>
              <w:t>履约担保</w:t>
            </w:r>
          </w:p>
        </w:tc>
        <w:tc>
          <w:tcPr>
            <w:tcW w:w="7166" w:type="dxa"/>
            <w:tcBorders>
              <w:top w:val="single" w:color="auto" w:sz="8" w:space="0"/>
              <w:left w:val="single" w:color="auto" w:sz="4" w:space="0"/>
              <w:bottom w:val="single" w:color="auto" w:sz="8" w:space="0"/>
              <w:right w:val="single" w:color="auto" w:sz="8" w:space="0"/>
            </w:tcBorders>
            <w:vAlign w:val="center"/>
          </w:tcPr>
          <w:p w14:paraId="46C70F69">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本项目不收取履约担保</w:t>
            </w:r>
            <w:r>
              <w:rPr>
                <w:rFonts w:hint="eastAsia" w:ascii="宋体" w:hAnsi="宋体" w:cs="宋体"/>
                <w:color w:val="auto"/>
                <w:highlight w:val="none"/>
                <w:lang w:eastAsia="zh-CN"/>
              </w:rPr>
              <w:t>。</w:t>
            </w:r>
          </w:p>
        </w:tc>
      </w:tr>
      <w:tr w14:paraId="7208F910">
        <w:tblPrEx>
          <w:tblCellMar>
            <w:top w:w="0" w:type="dxa"/>
            <w:left w:w="0" w:type="dxa"/>
            <w:bottom w:w="0" w:type="dxa"/>
            <w:right w:w="0" w:type="dxa"/>
          </w:tblCellMar>
        </w:tblPrEx>
        <w:trPr>
          <w:trHeight w:val="164" w:hRule="atLeast"/>
        </w:trPr>
        <w:tc>
          <w:tcPr>
            <w:tcW w:w="9538" w:type="dxa"/>
            <w:gridSpan w:val="3"/>
            <w:tcBorders>
              <w:top w:val="single" w:color="auto" w:sz="8" w:space="0"/>
              <w:left w:val="single" w:color="auto" w:sz="8" w:space="0"/>
              <w:bottom w:val="single" w:color="auto" w:sz="8" w:space="0"/>
              <w:right w:val="single" w:color="auto" w:sz="8" w:space="0"/>
            </w:tcBorders>
            <w:vAlign w:val="center"/>
          </w:tcPr>
          <w:p w14:paraId="462BB45E">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宋体" w:hAnsi="宋体" w:cs="宋体"/>
                <w:color w:val="auto"/>
                <w:highlight w:val="none"/>
              </w:rPr>
            </w:pPr>
            <w:r>
              <w:rPr>
                <w:rFonts w:hint="eastAsia" w:ascii="宋体" w:hAnsi="宋体" w:cs="宋体"/>
                <w:b/>
                <w:bCs/>
                <w:color w:val="auto"/>
                <w:highlight w:val="none"/>
              </w:rPr>
              <w:t>需要补充的其他内容</w:t>
            </w:r>
          </w:p>
        </w:tc>
      </w:tr>
      <w:tr w14:paraId="25A9C10D">
        <w:tblPrEx>
          <w:tblCellMar>
            <w:top w:w="0" w:type="dxa"/>
            <w:left w:w="0" w:type="dxa"/>
            <w:bottom w:w="0" w:type="dxa"/>
            <w:right w:w="0" w:type="dxa"/>
          </w:tblCellMar>
        </w:tblPrEx>
        <w:trPr>
          <w:trHeight w:val="164" w:hRule="atLeast"/>
        </w:trPr>
        <w:tc>
          <w:tcPr>
            <w:tcW w:w="2372" w:type="dxa"/>
            <w:gridSpan w:val="2"/>
            <w:tcBorders>
              <w:top w:val="single" w:color="auto" w:sz="8" w:space="0"/>
              <w:left w:val="single" w:color="auto" w:sz="8" w:space="0"/>
              <w:bottom w:val="single" w:color="auto" w:sz="8" w:space="0"/>
              <w:right w:val="single" w:color="auto" w:sz="4" w:space="0"/>
            </w:tcBorders>
            <w:vAlign w:val="center"/>
          </w:tcPr>
          <w:p w14:paraId="1FA51739">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highlight w:val="none"/>
              </w:rPr>
            </w:pPr>
            <w:r>
              <w:rPr>
                <w:rFonts w:hint="eastAsia" w:ascii="宋体" w:hAnsi="宋体" w:cs="宋体"/>
                <w:color w:val="auto"/>
                <w:highlight w:val="none"/>
              </w:rPr>
              <w:t>电子招标投标</w:t>
            </w:r>
          </w:p>
        </w:tc>
        <w:tc>
          <w:tcPr>
            <w:tcW w:w="7166" w:type="dxa"/>
            <w:tcBorders>
              <w:top w:val="single" w:color="auto" w:sz="8" w:space="0"/>
              <w:left w:val="single" w:color="auto" w:sz="4" w:space="0"/>
              <w:bottom w:val="single" w:color="auto" w:sz="8" w:space="0"/>
              <w:right w:val="single" w:color="auto" w:sz="8" w:space="0"/>
            </w:tcBorders>
            <w:vAlign w:val="center"/>
          </w:tcPr>
          <w:p w14:paraId="18E3D778">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default"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position w:val="-4"/>
                <w:sz w:val="31"/>
                <w:highlight w:val="none"/>
              </w:rPr>
              <w:instrText xml:space="preserve">□</w:instrText>
            </w:r>
            <w:r>
              <w:rPr>
                <w:rFonts w:hint="eastAsia" w:ascii="宋体" w:hAnsi="宋体" w:cs="宋体"/>
                <w:color w:val="auto"/>
                <w:highlight w:val="none"/>
              </w:rPr>
              <w:instrText xml:space="preserve">)</w:instrText>
            </w:r>
            <w:r>
              <w:rPr>
                <w:rFonts w:hint="eastAsia" w:ascii="宋体" w:hAnsi="宋体" w:cs="宋体"/>
                <w:color w:val="auto"/>
                <w:highlight w:val="none"/>
              </w:rPr>
              <w:fldChar w:fldCharType="end"/>
            </w:r>
            <w:r>
              <w:rPr>
                <w:rFonts w:hint="eastAsia" w:ascii="宋体" w:hAnsi="宋体" w:cs="宋体"/>
                <w:color w:val="auto"/>
                <w:highlight w:val="none"/>
              </w:rPr>
              <w:t>否； ☑是，具体要求：按招标文件规定。</w:t>
            </w:r>
          </w:p>
        </w:tc>
      </w:tr>
      <w:tr w14:paraId="6262B7E5">
        <w:tblPrEx>
          <w:tblCellMar>
            <w:top w:w="0" w:type="dxa"/>
            <w:left w:w="0" w:type="dxa"/>
            <w:bottom w:w="0" w:type="dxa"/>
            <w:right w:w="0" w:type="dxa"/>
          </w:tblCellMar>
        </w:tblPrEx>
        <w:trPr>
          <w:trHeight w:val="947" w:hRule="atLeast"/>
        </w:trPr>
        <w:tc>
          <w:tcPr>
            <w:tcW w:w="2372" w:type="dxa"/>
            <w:gridSpan w:val="2"/>
            <w:tcBorders>
              <w:top w:val="single" w:color="auto" w:sz="8" w:space="0"/>
              <w:left w:val="single" w:color="auto" w:sz="8" w:space="0"/>
              <w:bottom w:val="single" w:color="auto" w:sz="8" w:space="0"/>
              <w:right w:val="single" w:color="auto" w:sz="4" w:space="0"/>
            </w:tcBorders>
            <w:vAlign w:val="center"/>
          </w:tcPr>
          <w:p w14:paraId="1740CC4E">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kern w:val="0"/>
                <w:highlight w:val="none"/>
              </w:rPr>
            </w:pPr>
            <w:r>
              <w:rPr>
                <w:rFonts w:hint="eastAsia" w:ascii="宋体" w:hAnsi="宋体" w:cs="宋体"/>
                <w:color w:val="auto"/>
                <w:kern w:val="0"/>
                <w:highlight w:val="none"/>
              </w:rPr>
              <w:t>特别要求</w:t>
            </w:r>
          </w:p>
        </w:tc>
        <w:tc>
          <w:tcPr>
            <w:tcW w:w="7166" w:type="dxa"/>
            <w:tcBorders>
              <w:top w:val="single" w:color="auto" w:sz="8" w:space="0"/>
              <w:left w:val="single" w:color="auto" w:sz="4" w:space="0"/>
              <w:bottom w:val="single" w:color="auto" w:sz="8" w:space="0"/>
              <w:right w:val="single" w:color="auto" w:sz="8" w:space="0"/>
            </w:tcBorders>
            <w:vAlign w:val="center"/>
          </w:tcPr>
          <w:p w14:paraId="27E226D5">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kern w:val="0"/>
                <w:highlight w:val="none"/>
              </w:rPr>
            </w:pPr>
            <w:r>
              <w:rPr>
                <w:rFonts w:hint="eastAsia" w:ascii="宋体" w:hAnsi="宋体" w:cs="宋体"/>
                <w:color w:val="auto"/>
                <w:kern w:val="0"/>
                <w:highlight w:val="none"/>
              </w:rPr>
              <w:t>1、中标单位项目组人员变更，变更后人员必须满足本项目招标要求。由中标单位向业主单位提出申请并提供相应证明，业主单位会商提出意见，报业主单位领导批准后予以备案。</w:t>
            </w:r>
            <w:bookmarkStart w:id="75" w:name="_GoBack"/>
            <w:bookmarkEnd w:id="75"/>
          </w:p>
          <w:p w14:paraId="5A6BE9E9">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color w:val="auto"/>
                <w:kern w:val="0"/>
                <w:highlight w:val="none"/>
              </w:rPr>
            </w:pPr>
            <w:r>
              <w:rPr>
                <w:rFonts w:hint="eastAsia" w:ascii="宋体" w:hAnsi="宋体" w:cs="宋体"/>
                <w:color w:val="auto"/>
                <w:kern w:val="0"/>
                <w:highlight w:val="none"/>
              </w:rPr>
              <w:t>项目组负责人因以下原因变更不予处罚：①亡故；②重病（或重伤）三个月以上，不能履行职责；③受到刑事或行政处罚，不能胜任；④犯罪被羁押或判刑；⑤被责令停止职业资格。其他原因，造价企业须缴纳2万元违约金。</w:t>
            </w:r>
          </w:p>
        </w:tc>
      </w:tr>
      <w:tr w14:paraId="65AE1DE0">
        <w:tblPrEx>
          <w:tblCellMar>
            <w:top w:w="0" w:type="dxa"/>
            <w:left w:w="0" w:type="dxa"/>
            <w:bottom w:w="0" w:type="dxa"/>
            <w:right w:w="0" w:type="dxa"/>
          </w:tblCellMar>
        </w:tblPrEx>
        <w:trPr>
          <w:trHeight w:val="633" w:hRule="atLeast"/>
        </w:trPr>
        <w:tc>
          <w:tcPr>
            <w:tcW w:w="2372" w:type="dxa"/>
            <w:gridSpan w:val="2"/>
            <w:tcBorders>
              <w:top w:val="single" w:color="auto" w:sz="8" w:space="0"/>
              <w:left w:val="single" w:color="auto" w:sz="8" w:space="0"/>
              <w:bottom w:val="single" w:color="auto" w:sz="8" w:space="0"/>
              <w:right w:val="single" w:color="auto" w:sz="4" w:space="0"/>
            </w:tcBorders>
            <w:vAlign w:val="center"/>
          </w:tcPr>
          <w:p w14:paraId="29369AC9">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b/>
                <w:bCs/>
                <w:color w:val="auto"/>
                <w:kern w:val="0"/>
                <w:highlight w:val="none"/>
              </w:rPr>
            </w:pPr>
            <w:r>
              <w:rPr>
                <w:rFonts w:hint="eastAsia" w:ascii="宋体" w:hAnsi="宋体" w:cs="宋体"/>
                <w:b/>
                <w:bCs/>
                <w:color w:val="auto"/>
                <w:kern w:val="0"/>
                <w:highlight w:val="none"/>
              </w:rPr>
              <w:t>付款方式</w:t>
            </w:r>
          </w:p>
        </w:tc>
        <w:tc>
          <w:tcPr>
            <w:tcW w:w="7166" w:type="dxa"/>
            <w:tcBorders>
              <w:top w:val="single" w:color="auto" w:sz="8" w:space="0"/>
              <w:left w:val="single" w:color="auto" w:sz="4" w:space="0"/>
              <w:bottom w:val="single" w:color="auto" w:sz="8" w:space="0"/>
              <w:right w:val="single" w:color="auto" w:sz="8" w:space="0"/>
            </w:tcBorders>
            <w:vAlign w:val="center"/>
          </w:tcPr>
          <w:p w14:paraId="4D9B154D">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0" w:right="0"/>
              <w:textAlignment w:val="auto"/>
              <w:rPr>
                <w:rFonts w:hint="default"/>
                <w:color w:val="auto"/>
                <w:highlight w:val="none"/>
              </w:rPr>
            </w:pPr>
            <w:r>
              <w:rPr>
                <w:rFonts w:hint="eastAsia" w:ascii="宋体" w:hAnsi="宋体" w:cs="宋体"/>
                <w:b/>
                <w:bCs/>
                <w:color w:val="auto"/>
                <w:sz w:val="21"/>
                <w:szCs w:val="21"/>
                <w:highlight w:val="none"/>
                <w:u w:val="single"/>
                <w:lang w:val="en-US" w:eastAsia="zh-CN"/>
              </w:rPr>
              <w:t>完成并出具复审报告后一次性付清。</w:t>
            </w:r>
          </w:p>
        </w:tc>
      </w:tr>
      <w:tr w14:paraId="0EAACAD3">
        <w:tblPrEx>
          <w:tblCellMar>
            <w:top w:w="0" w:type="dxa"/>
            <w:left w:w="0" w:type="dxa"/>
            <w:bottom w:w="0" w:type="dxa"/>
            <w:right w:w="0" w:type="dxa"/>
          </w:tblCellMar>
        </w:tblPrEx>
        <w:trPr>
          <w:trHeight w:val="320" w:hRule="atLeast"/>
        </w:trPr>
        <w:tc>
          <w:tcPr>
            <w:tcW w:w="2372" w:type="dxa"/>
            <w:gridSpan w:val="2"/>
            <w:tcBorders>
              <w:top w:val="single" w:color="auto" w:sz="8" w:space="0"/>
              <w:left w:val="single" w:color="auto" w:sz="8" w:space="0"/>
              <w:bottom w:val="single" w:color="auto" w:sz="8" w:space="0"/>
              <w:right w:val="single" w:color="auto" w:sz="4" w:space="0"/>
            </w:tcBorders>
            <w:vAlign w:val="center"/>
          </w:tcPr>
          <w:p w14:paraId="67CE2A6D">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b/>
                <w:bCs/>
                <w:color w:val="auto"/>
                <w:kern w:val="0"/>
                <w:highlight w:val="none"/>
              </w:rPr>
            </w:pPr>
            <w:r>
              <w:rPr>
                <w:rFonts w:hint="eastAsia" w:ascii="宋体" w:hAnsi="宋体" w:cs="宋体"/>
                <w:b/>
                <w:bCs/>
                <w:color w:val="auto"/>
                <w:kern w:val="0"/>
                <w:highlight w:val="none"/>
              </w:rPr>
              <w:t>招标代理费及专家评审费</w:t>
            </w:r>
          </w:p>
        </w:tc>
        <w:tc>
          <w:tcPr>
            <w:tcW w:w="7166" w:type="dxa"/>
            <w:tcBorders>
              <w:top w:val="single" w:color="auto" w:sz="8" w:space="0"/>
              <w:left w:val="single" w:color="auto" w:sz="4" w:space="0"/>
              <w:bottom w:val="single" w:color="auto" w:sz="8" w:space="0"/>
              <w:right w:val="single" w:color="auto" w:sz="8" w:space="0"/>
            </w:tcBorders>
            <w:vAlign w:val="center"/>
          </w:tcPr>
          <w:p w14:paraId="6B3829A5">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ascii="宋体" w:hAnsi="宋体" w:cs="宋体"/>
                <w:b/>
                <w:bCs/>
                <w:color w:val="auto"/>
                <w:kern w:val="0"/>
                <w:highlight w:val="none"/>
              </w:rPr>
            </w:pPr>
            <w:r>
              <w:rPr>
                <w:rFonts w:hint="eastAsia" w:ascii="宋体" w:hAnsi="宋体" w:cs="宋体"/>
                <w:color w:val="auto"/>
                <w:kern w:val="0"/>
                <w:highlight w:val="none"/>
              </w:rPr>
              <w:t>本项目招标代理服务费用：</w:t>
            </w:r>
            <w:r>
              <w:rPr>
                <w:rFonts w:hint="eastAsia" w:ascii="宋体" w:hAnsi="宋体" w:cs="宋体"/>
                <w:color w:val="auto"/>
                <w:kern w:val="0"/>
                <w:highlight w:val="none"/>
                <w:lang w:val="en-US" w:eastAsia="zh-CN"/>
              </w:rPr>
              <w:t>0</w:t>
            </w:r>
            <w:r>
              <w:rPr>
                <w:rFonts w:hint="eastAsia" w:ascii="宋体" w:hAnsi="宋体" w:cs="宋体"/>
                <w:color w:val="auto"/>
                <w:kern w:val="0"/>
                <w:highlight w:val="none"/>
              </w:rPr>
              <w:t>元，专家评审费：0元，由中标单位在领取中标通知书前一次性支付给代理公司</w:t>
            </w:r>
            <w:r>
              <w:rPr>
                <w:rFonts w:hint="eastAsia" w:ascii="宋体" w:hAnsi="宋体" w:cs="宋体"/>
                <w:b/>
                <w:bCs/>
                <w:color w:val="auto"/>
                <w:kern w:val="0"/>
                <w:highlight w:val="none"/>
              </w:rPr>
              <w:t>。</w:t>
            </w:r>
          </w:p>
        </w:tc>
      </w:tr>
      <w:tr w14:paraId="3B5CE6B1">
        <w:tblPrEx>
          <w:tblCellMar>
            <w:top w:w="0" w:type="dxa"/>
            <w:left w:w="0" w:type="dxa"/>
            <w:bottom w:w="0" w:type="dxa"/>
            <w:right w:w="0" w:type="dxa"/>
          </w:tblCellMar>
        </w:tblPrEx>
        <w:tc>
          <w:tcPr>
            <w:tcW w:w="2372" w:type="dxa"/>
            <w:gridSpan w:val="2"/>
            <w:tcBorders>
              <w:top w:val="single" w:color="auto" w:sz="8" w:space="0"/>
              <w:left w:val="single" w:color="auto" w:sz="8" w:space="0"/>
              <w:bottom w:val="single" w:color="auto" w:sz="8" w:space="0"/>
              <w:right w:val="single" w:color="auto" w:sz="4" w:space="0"/>
            </w:tcBorders>
            <w:vAlign w:val="center"/>
          </w:tcPr>
          <w:p w14:paraId="37484B9B">
            <w:pPr>
              <w:keepNext w:val="0"/>
              <w:keepLines w:val="0"/>
              <w:widowControl/>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b/>
                <w:bCs/>
                <w:color w:val="auto"/>
                <w:kern w:val="0"/>
                <w:highlight w:val="none"/>
              </w:rPr>
            </w:pPr>
            <w:r>
              <w:rPr>
                <w:rFonts w:hint="eastAsia" w:ascii="宋体" w:hAnsi="宋体" w:cs="宋体"/>
                <w:color w:val="auto"/>
                <w:highlight w:val="none"/>
              </w:rPr>
              <w:t>评标过程中的澄清、说明或补正</w:t>
            </w:r>
          </w:p>
        </w:tc>
        <w:tc>
          <w:tcPr>
            <w:tcW w:w="7166" w:type="dxa"/>
            <w:tcBorders>
              <w:top w:val="single" w:color="auto" w:sz="8" w:space="0"/>
              <w:left w:val="single" w:color="auto" w:sz="4" w:space="0"/>
              <w:bottom w:val="single" w:color="auto" w:sz="8" w:space="0"/>
              <w:right w:val="single" w:color="auto" w:sz="8" w:space="0"/>
            </w:tcBorders>
            <w:vAlign w:val="center"/>
          </w:tcPr>
          <w:p w14:paraId="5A5BBCE2">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default" w:ascii="宋体" w:hAnsi="宋体" w:cs="宋体"/>
                <w:color w:val="auto"/>
                <w:highlight w:val="none"/>
              </w:rPr>
            </w:pPr>
            <w:r>
              <w:rPr>
                <w:rFonts w:hint="eastAsia" w:ascii="宋体" w:hAnsi="宋体" w:cs="宋体"/>
                <w:color w:val="auto"/>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4F184B">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default" w:ascii="宋体" w:hAnsi="宋体" w:cs="宋体"/>
                <w:color w:val="auto"/>
                <w:kern w:val="0"/>
                <w:highlight w:val="none"/>
              </w:rPr>
            </w:pPr>
            <w:r>
              <w:rPr>
                <w:rFonts w:hint="eastAsia" w:ascii="宋体" w:hAnsi="宋体" w:cs="宋体"/>
                <w:color w:val="auto"/>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6222640F">
        <w:tblPrEx>
          <w:tblCellMar>
            <w:top w:w="0" w:type="dxa"/>
            <w:left w:w="0" w:type="dxa"/>
            <w:bottom w:w="0" w:type="dxa"/>
            <w:right w:w="0" w:type="dxa"/>
          </w:tblCellMar>
        </w:tblPrEx>
        <w:tc>
          <w:tcPr>
            <w:tcW w:w="2372" w:type="dxa"/>
            <w:gridSpan w:val="2"/>
            <w:tcBorders>
              <w:top w:val="single" w:color="auto" w:sz="8" w:space="0"/>
              <w:left w:val="single" w:color="auto" w:sz="8" w:space="0"/>
              <w:bottom w:val="single" w:color="auto" w:sz="8" w:space="0"/>
              <w:right w:val="single" w:color="auto" w:sz="4" w:space="0"/>
            </w:tcBorders>
            <w:vAlign w:val="center"/>
          </w:tcPr>
          <w:p w14:paraId="02BB91F9">
            <w:pPr>
              <w:keepNext w:val="0"/>
              <w:keepLines w:val="0"/>
              <w:suppressLineNumbers w:val="0"/>
              <w:shd w:val="clear"/>
              <w:kinsoku/>
              <w:overflowPunct/>
              <w:topLinePunct w:val="0"/>
              <w:bidi w:val="0"/>
              <w:spacing w:before="0" w:beforeAutospacing="0" w:after="0" w:afterAutospacing="0" w:line="400" w:lineRule="exact"/>
              <w:ind w:left="0" w:right="0"/>
              <w:jc w:val="center"/>
              <w:rPr>
                <w:rFonts w:hint="default" w:ascii="宋体" w:hAnsi="宋体" w:cs="宋体"/>
                <w:color w:val="auto"/>
                <w:highlight w:val="none"/>
              </w:rPr>
            </w:pPr>
            <w:bookmarkStart w:id="42" w:name="_Toc515"/>
            <w:bookmarkStart w:id="43" w:name="_Toc13663"/>
            <w:r>
              <w:rPr>
                <w:rFonts w:hint="eastAsia" w:ascii="宋体" w:hAnsi="宋体" w:cs="宋体"/>
                <w:color w:val="auto"/>
                <w:highlight w:val="none"/>
              </w:rPr>
              <w:t>特别说明</w:t>
            </w:r>
          </w:p>
        </w:tc>
        <w:tc>
          <w:tcPr>
            <w:tcW w:w="7166" w:type="dxa"/>
            <w:tcBorders>
              <w:top w:val="single" w:color="auto" w:sz="8" w:space="0"/>
              <w:left w:val="single" w:color="auto" w:sz="4" w:space="0"/>
              <w:bottom w:val="single" w:color="auto" w:sz="8" w:space="0"/>
              <w:right w:val="single" w:color="auto" w:sz="8" w:space="0"/>
            </w:tcBorders>
            <w:vAlign w:val="center"/>
          </w:tcPr>
          <w:p w14:paraId="44FDA072">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0" w:right="0"/>
              <w:jc w:val="left"/>
              <w:textAlignment w:val="auto"/>
              <w:rPr>
                <w:rFonts w:hint="default" w:ascii="宋体" w:hAnsi="宋体" w:cs="宋体"/>
                <w:color w:val="auto"/>
                <w:highlight w:val="none"/>
              </w:rPr>
            </w:pPr>
            <w:r>
              <w:rPr>
                <w:rFonts w:hint="eastAsia" w:ascii="宋体" w:hAnsi="宋体" w:cs="宋体"/>
                <w:color w:val="auto"/>
                <w:highlight w:val="none"/>
              </w:rPr>
              <w:t>1、招标人与中标人不按照招标文件和中标人的投标文件订立合同的，或者招标人、中标人订立背离合同实质性内容的协议的，责令改正；可以处中标项目金额千分之五以上千分之十以下的罚款。</w:t>
            </w:r>
          </w:p>
          <w:p w14:paraId="142E3DA8">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0" w:right="0"/>
              <w:jc w:val="left"/>
              <w:textAlignment w:val="auto"/>
              <w:rPr>
                <w:rFonts w:hint="default" w:ascii="宋体" w:hAnsi="宋体" w:cs="宋体"/>
                <w:color w:val="auto"/>
                <w:highlight w:val="none"/>
              </w:rPr>
            </w:pPr>
            <w:r>
              <w:rPr>
                <w:rFonts w:hint="eastAsia" w:ascii="宋体" w:hAnsi="宋体" w:cs="宋体"/>
                <w:color w:val="auto"/>
                <w:highlight w:val="none"/>
              </w:rPr>
              <w:t>2、中标人不履行与招标人订立的合同的，履约保证金不予退还，给招标人造成的损失超过履约保证金数额的，还应当对超过部分予以赔偿；没有提交履约保证金的，应当对招标人的损失承担赔偿责任。</w:t>
            </w:r>
          </w:p>
          <w:p w14:paraId="4E1F341A">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0" w:right="0"/>
              <w:jc w:val="left"/>
              <w:textAlignment w:val="auto"/>
              <w:rPr>
                <w:rFonts w:hint="default" w:ascii="宋体" w:hAnsi="宋体" w:cs="宋体"/>
                <w:color w:val="auto"/>
                <w:highlight w:val="none"/>
              </w:rPr>
            </w:pPr>
            <w:r>
              <w:rPr>
                <w:rFonts w:hint="eastAsia" w:ascii="宋体" w:hAnsi="宋体" w:cs="宋体"/>
                <w:color w:val="auto"/>
                <w:highlight w:val="none"/>
              </w:rPr>
              <w:t>中标人不按照与招标人订立的合同履行义务，情节严重的，取消其二年至五年内参加依法必须进行招标的项目的投标资格并予以公告，直至由工商行政管理机关吊销营业执照。</w:t>
            </w:r>
          </w:p>
          <w:p w14:paraId="1CD86E50">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0" w:right="0"/>
              <w:jc w:val="left"/>
              <w:textAlignment w:val="auto"/>
              <w:rPr>
                <w:rFonts w:hint="default" w:ascii="宋体" w:hAnsi="宋体" w:cs="宋体"/>
                <w:color w:val="auto"/>
                <w:highlight w:val="none"/>
              </w:rPr>
            </w:pPr>
            <w:r>
              <w:rPr>
                <w:rFonts w:hint="eastAsia" w:ascii="宋体" w:hAnsi="宋体" w:cs="宋体"/>
                <w:color w:val="auto"/>
                <w:highlight w:val="none"/>
              </w:rPr>
              <w:t>因不可抗力不能履行合同的，不适用前两款规定。</w:t>
            </w:r>
          </w:p>
        </w:tc>
      </w:tr>
      <w:tr w14:paraId="7384738D">
        <w:tblPrEx>
          <w:tblCellMar>
            <w:top w:w="0" w:type="dxa"/>
            <w:left w:w="0" w:type="dxa"/>
            <w:bottom w:w="0" w:type="dxa"/>
            <w:right w:w="0" w:type="dxa"/>
          </w:tblCellMar>
        </w:tblPrEx>
        <w:trPr>
          <w:trHeight w:val="444" w:hRule="atLeast"/>
        </w:trPr>
        <w:tc>
          <w:tcPr>
            <w:tcW w:w="2372" w:type="dxa"/>
            <w:gridSpan w:val="2"/>
            <w:tcBorders>
              <w:top w:val="single" w:color="auto" w:sz="8" w:space="0"/>
              <w:left w:val="single" w:color="auto" w:sz="8" w:space="0"/>
              <w:bottom w:val="single" w:color="auto" w:sz="8" w:space="0"/>
              <w:right w:val="single" w:color="auto" w:sz="4" w:space="0"/>
            </w:tcBorders>
            <w:shd w:val="clear" w:color="auto" w:fill="auto"/>
            <w:vAlign w:val="center"/>
          </w:tcPr>
          <w:p w14:paraId="54709C9C">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hAnsi="宋体" w:cs="宋体"/>
                <w:color w:val="auto"/>
                <w:highlight w:val="none"/>
                <w:lang w:bidi="ar"/>
              </w:rPr>
            </w:pPr>
            <w:r>
              <w:rPr>
                <w:rFonts w:hint="eastAsia" w:ascii="宋体" w:hAnsi="宋体" w:cs="宋体"/>
                <w:color w:val="auto"/>
                <w:highlight w:val="none"/>
              </w:rPr>
              <w:t>解释权</w:t>
            </w:r>
          </w:p>
        </w:tc>
        <w:tc>
          <w:tcPr>
            <w:tcW w:w="7166" w:type="dxa"/>
            <w:tcBorders>
              <w:top w:val="single" w:color="auto" w:sz="8" w:space="0"/>
              <w:left w:val="single" w:color="auto" w:sz="4" w:space="0"/>
              <w:bottom w:val="single" w:color="auto" w:sz="8" w:space="0"/>
              <w:right w:val="single" w:color="auto" w:sz="8" w:space="0"/>
            </w:tcBorders>
            <w:shd w:val="clear" w:color="auto" w:fill="auto"/>
            <w:vAlign w:val="center"/>
          </w:tcPr>
          <w:p w14:paraId="16899082">
            <w:pPr>
              <w:pStyle w:val="162"/>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color w:val="auto"/>
                <w:spacing w:val="-3"/>
                <w:highlight w:val="none"/>
              </w:rPr>
            </w:pPr>
            <w:r>
              <w:rPr>
                <w:rFonts w:hint="eastAsia"/>
                <w:color w:val="auto"/>
                <w:spacing w:val="-3"/>
                <w:highlight w:val="none"/>
              </w:rPr>
              <w:t>1、构成本招标文件的各个组成文件应互为解释，互为说明；</w:t>
            </w:r>
          </w:p>
          <w:p w14:paraId="1315312F">
            <w:pPr>
              <w:pStyle w:val="162"/>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color w:val="auto"/>
                <w:highlight w:val="none"/>
              </w:rPr>
            </w:pPr>
            <w:r>
              <w:rPr>
                <w:rFonts w:hint="eastAsia"/>
                <w:color w:val="auto"/>
                <w:spacing w:val="-3"/>
                <w:highlight w:val="none"/>
              </w:rPr>
              <w:t>2、</w:t>
            </w:r>
            <w:r>
              <w:rPr>
                <w:rFonts w:hint="eastAsia"/>
                <w:color w:val="auto"/>
                <w:spacing w:val="-7"/>
                <w:highlight w:val="none"/>
              </w:rPr>
              <w:t>同一组成文件中就同一事项的规定或约定不一致的，以编排</w:t>
            </w:r>
            <w:r>
              <w:rPr>
                <w:rFonts w:hint="eastAsia"/>
                <w:color w:val="auto"/>
                <w:spacing w:val="-5"/>
                <w:highlight w:val="none"/>
              </w:rPr>
              <w:t>顺序在后者为准；</w:t>
            </w:r>
          </w:p>
          <w:p w14:paraId="0D5A1310">
            <w:pPr>
              <w:pStyle w:val="162"/>
              <w:keepNext w:val="0"/>
              <w:keepLines w:val="0"/>
              <w:pageBreakBefore w:val="0"/>
              <w:suppressLineNumbers w:val="0"/>
              <w:shd w:val="clear"/>
              <w:tabs>
                <w:tab w:val="left" w:pos="351"/>
              </w:tabs>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color w:val="auto"/>
                <w:highlight w:val="none"/>
              </w:rPr>
            </w:pPr>
            <w:r>
              <w:rPr>
                <w:rFonts w:hint="eastAsia"/>
                <w:color w:val="auto"/>
                <w:spacing w:val="-10"/>
                <w:highlight w:val="none"/>
              </w:rPr>
              <w:t>3、如有不明确或不一致，构成合同文件组成内容的，以合同文件约定内容为准，且以专用合同条款约定的合同文件优先顺序解释；</w:t>
            </w:r>
          </w:p>
          <w:p w14:paraId="229A048D">
            <w:pPr>
              <w:pStyle w:val="162"/>
              <w:keepNext w:val="0"/>
              <w:keepLines w:val="0"/>
              <w:pageBreakBefore w:val="0"/>
              <w:suppressLineNumbers w:val="0"/>
              <w:shd w:val="clear"/>
              <w:tabs>
                <w:tab w:val="left" w:pos="354"/>
              </w:tabs>
              <w:kinsoku/>
              <w:overflowPunct/>
              <w:topLinePunct w:val="0"/>
              <w:autoSpaceDE/>
              <w:autoSpaceDN/>
              <w:bidi w:val="0"/>
              <w:adjustRightInd/>
              <w:snapToGrid/>
              <w:spacing w:before="0" w:beforeAutospacing="0" w:after="0" w:afterAutospacing="0" w:line="480" w:lineRule="exact"/>
              <w:ind w:left="63" w:leftChars="30" w:right="0"/>
              <w:textAlignment w:val="auto"/>
              <w:rPr>
                <w:rFonts w:hint="default"/>
                <w:color w:val="auto"/>
                <w:spacing w:val="-2"/>
                <w:highlight w:val="none"/>
              </w:rPr>
            </w:pPr>
            <w:r>
              <w:rPr>
                <w:rFonts w:hint="eastAsia"/>
                <w:color w:val="auto"/>
                <w:spacing w:val="-2"/>
                <w:highlight w:val="none"/>
              </w:rPr>
              <w:t>4、</w:t>
            </w:r>
            <w:r>
              <w:rPr>
                <w:rFonts w:hint="eastAsia"/>
                <w:color w:val="auto"/>
                <w:highlight w:val="none"/>
              </w:rPr>
              <w:t>系统中提供的表格（或格式文件）与招标文件中不一致时，以招标文件中提供的为准；</w:t>
            </w:r>
          </w:p>
          <w:p w14:paraId="20B3AFDB">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default" w:ascii="宋体" w:hAnsi="宋体" w:cs="宋体"/>
                <w:color w:val="auto"/>
                <w:highlight w:val="none"/>
                <w:lang w:bidi="ar"/>
              </w:rPr>
            </w:pPr>
            <w:r>
              <w:rPr>
                <w:rFonts w:hint="eastAsia" w:ascii="宋体" w:hAnsi="宋体" w:cs="宋体"/>
                <w:color w:val="auto"/>
                <w:spacing w:val="-3"/>
                <w:highlight w:val="none"/>
              </w:rPr>
              <w:t>5、按本款前述规定仍不能形成结论的，由招标人负责解释。</w:t>
            </w:r>
          </w:p>
        </w:tc>
      </w:tr>
      <w:tr w14:paraId="7CFE08D3">
        <w:tblPrEx>
          <w:tblCellMar>
            <w:top w:w="0" w:type="dxa"/>
            <w:left w:w="0" w:type="dxa"/>
            <w:bottom w:w="0" w:type="dxa"/>
            <w:right w:w="0" w:type="dxa"/>
          </w:tblCellMar>
        </w:tblPrEx>
        <w:trPr>
          <w:trHeight w:val="444" w:hRule="atLeast"/>
        </w:trPr>
        <w:tc>
          <w:tcPr>
            <w:tcW w:w="2372" w:type="dxa"/>
            <w:gridSpan w:val="2"/>
            <w:tcBorders>
              <w:top w:val="single" w:color="auto" w:sz="8" w:space="0"/>
              <w:left w:val="single" w:color="auto" w:sz="8" w:space="0"/>
              <w:bottom w:val="single" w:color="auto" w:sz="8" w:space="0"/>
              <w:right w:val="single" w:color="auto" w:sz="4" w:space="0"/>
            </w:tcBorders>
            <w:shd w:val="clear" w:color="auto" w:fill="auto"/>
            <w:vAlign w:val="center"/>
          </w:tcPr>
          <w:p w14:paraId="13186DF4">
            <w:pPr>
              <w:keepNext w:val="0"/>
              <w:keepLines w:val="0"/>
              <w:suppressLineNumbers w:val="0"/>
              <w:shd w:val="clear"/>
              <w:kinsoku/>
              <w:overflowPunct/>
              <w:topLinePunct w:val="0"/>
              <w:bidi w:val="0"/>
              <w:spacing w:before="0" w:beforeAutospacing="0" w:after="0" w:afterAutospacing="0" w:line="440" w:lineRule="exact"/>
              <w:ind w:left="0" w:right="0"/>
              <w:jc w:val="center"/>
              <w:rPr>
                <w:rFonts w:hint="eastAsia"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其他</w:t>
            </w:r>
          </w:p>
        </w:tc>
        <w:tc>
          <w:tcPr>
            <w:tcW w:w="7166" w:type="dxa"/>
            <w:tcBorders>
              <w:top w:val="single" w:color="auto" w:sz="8" w:space="0"/>
              <w:left w:val="single" w:color="auto" w:sz="4" w:space="0"/>
              <w:bottom w:val="single" w:color="auto" w:sz="8" w:space="0"/>
              <w:right w:val="single" w:color="auto" w:sz="8" w:space="0"/>
            </w:tcBorders>
            <w:shd w:val="clear" w:color="auto" w:fill="auto"/>
            <w:vAlign w:val="center"/>
          </w:tcPr>
          <w:p w14:paraId="3CE09CA1">
            <w:pPr>
              <w:keepNext w:val="0"/>
              <w:keepLines w:val="0"/>
              <w:pageBreakBefore w:val="0"/>
              <w:suppressLineNumbers w:val="0"/>
              <w:shd w:val="clear"/>
              <w:kinsoku/>
              <w:overflowPunct/>
              <w:topLinePunct w:val="0"/>
              <w:autoSpaceDE/>
              <w:autoSpaceDN/>
              <w:bidi w:val="0"/>
              <w:adjustRightInd/>
              <w:snapToGrid/>
              <w:spacing w:before="0" w:beforeAutospacing="0" w:after="0" w:afterAutospacing="0" w:line="480" w:lineRule="exact"/>
              <w:ind w:left="63" w:leftChars="30" w:right="0"/>
              <w:jc w:val="left"/>
              <w:textAlignment w:val="auto"/>
              <w:rPr>
                <w:rFonts w:hint="eastAsia" w:ascii="宋体" w:hAnsi="宋体" w:cs="宋体"/>
                <w:b/>
                <w:bCs/>
                <w:color w:val="auto"/>
                <w:spacing w:val="-3"/>
                <w:highlight w:val="none"/>
              </w:rPr>
            </w:pPr>
            <w:r>
              <w:rPr>
                <w:rFonts w:hint="eastAsia" w:ascii="宋体" w:hAnsi="宋体" w:cs="宋体"/>
                <w:b/>
                <w:bCs/>
                <w:color w:val="auto"/>
                <w:spacing w:val="-3"/>
                <w:highlight w:val="none"/>
              </w:rPr>
              <w:t>琅琊山欧阳修家风家训文旅综合体项目设计单位、施工单位、监理单位、招标代理单位、清单控制价编制单位及审计单位，不得参加本项目投标。</w:t>
            </w:r>
          </w:p>
        </w:tc>
      </w:tr>
    </w:tbl>
    <w:p w14:paraId="21972BD7">
      <w:pPr>
        <w:shd w:val="clear"/>
        <w:kinsoku/>
        <w:overflowPunct/>
        <w:topLinePunct w:val="0"/>
        <w:bidi w:val="0"/>
        <w:spacing w:line="400" w:lineRule="exact"/>
        <w:jc w:val="center"/>
        <w:outlineLvl w:val="1"/>
        <w:rPr>
          <w:rFonts w:ascii="宋体" w:hAnsi="宋体" w:cs="宋体"/>
          <w:b/>
          <w:bCs/>
          <w:color w:val="auto"/>
          <w:sz w:val="28"/>
          <w:highlight w:val="none"/>
        </w:rPr>
      </w:pPr>
    </w:p>
    <w:p w14:paraId="6FDCF964">
      <w:pPr>
        <w:shd w:val="clear"/>
        <w:kinsoku/>
        <w:overflowPunct/>
        <w:topLinePunct w:val="0"/>
        <w:bidi w:val="0"/>
        <w:rPr>
          <w:rFonts w:ascii="宋体" w:hAnsi="宋体" w:cs="宋体"/>
          <w:b/>
          <w:bCs/>
          <w:color w:val="auto"/>
          <w:sz w:val="28"/>
          <w:highlight w:val="none"/>
        </w:rPr>
      </w:pPr>
      <w:r>
        <w:rPr>
          <w:rFonts w:hint="eastAsia" w:ascii="宋体" w:hAnsi="宋体" w:cs="宋体"/>
          <w:b/>
          <w:bCs/>
          <w:color w:val="auto"/>
          <w:sz w:val="28"/>
          <w:highlight w:val="none"/>
        </w:rPr>
        <w:br w:type="page"/>
      </w:r>
    </w:p>
    <w:p w14:paraId="770AC03A">
      <w:pPr>
        <w:shd w:val="clear"/>
        <w:kinsoku/>
        <w:overflowPunct/>
        <w:topLinePunct w:val="0"/>
        <w:bidi w:val="0"/>
        <w:spacing w:before="318" w:beforeLines="100" w:line="400" w:lineRule="exact"/>
        <w:jc w:val="center"/>
        <w:outlineLvl w:val="1"/>
        <w:rPr>
          <w:rFonts w:ascii="宋体" w:hAnsi="宋体" w:cs="宋体"/>
          <w:b/>
          <w:bCs/>
          <w:color w:val="auto"/>
          <w:sz w:val="28"/>
          <w:highlight w:val="none"/>
        </w:rPr>
      </w:pPr>
      <w:r>
        <w:rPr>
          <w:rFonts w:hint="eastAsia" w:ascii="宋体" w:hAnsi="宋体" w:cs="宋体"/>
          <w:b/>
          <w:bCs/>
          <w:color w:val="auto"/>
          <w:sz w:val="28"/>
          <w:highlight w:val="none"/>
        </w:rPr>
        <w:t>一、总  则</w:t>
      </w:r>
      <w:bookmarkEnd w:id="42"/>
      <w:bookmarkEnd w:id="43"/>
    </w:p>
    <w:p w14:paraId="77D29F03">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1.工程概况</w:t>
      </w:r>
    </w:p>
    <w:p w14:paraId="7AB9325E">
      <w:pPr>
        <w:shd w:val="clear"/>
        <w:kinsoku/>
        <w:overflowPunct/>
        <w:topLinePunct w:val="0"/>
        <w:bidi w:val="0"/>
        <w:spacing w:line="480" w:lineRule="exact"/>
        <w:rPr>
          <w:rFonts w:hint="eastAsia" w:ascii="宋体" w:hAnsi="宋体" w:cs="宋体"/>
          <w:color w:val="auto"/>
          <w:highlight w:val="none"/>
        </w:rPr>
      </w:pPr>
      <w:r>
        <w:rPr>
          <w:rFonts w:hint="eastAsia" w:ascii="宋体" w:hAnsi="宋体" w:cs="宋体"/>
          <w:color w:val="auto"/>
          <w:highlight w:val="none"/>
        </w:rPr>
        <w:t>1.1本次招标采购项目名称：见投标人须知前附表。</w:t>
      </w:r>
    </w:p>
    <w:p w14:paraId="21791A71">
      <w:pPr>
        <w:shd w:val="clear"/>
        <w:kinsoku/>
        <w:overflowPunct/>
        <w:topLinePunct w:val="0"/>
        <w:bidi w:val="0"/>
        <w:spacing w:line="480" w:lineRule="exact"/>
        <w:rPr>
          <w:rFonts w:hint="eastAsia" w:ascii="宋体" w:hAnsi="宋体" w:cs="宋体"/>
          <w:color w:val="auto"/>
          <w:highlight w:val="none"/>
        </w:rPr>
      </w:pPr>
      <w:r>
        <w:rPr>
          <w:rFonts w:hint="eastAsia" w:ascii="宋体" w:hAnsi="宋体" w:cs="宋体"/>
          <w:color w:val="auto"/>
          <w:highlight w:val="none"/>
        </w:rPr>
        <w:t>项目编号：见投标人须知前附表。</w:t>
      </w:r>
    </w:p>
    <w:p w14:paraId="695AF75C">
      <w:pPr>
        <w:shd w:val="clear"/>
        <w:kinsoku/>
        <w:overflowPunct/>
        <w:topLinePunct w:val="0"/>
        <w:bidi w:val="0"/>
        <w:spacing w:line="480" w:lineRule="exact"/>
        <w:rPr>
          <w:rFonts w:hint="eastAsia" w:ascii="宋体" w:hAnsi="宋体" w:cs="宋体"/>
          <w:color w:val="auto"/>
          <w:highlight w:val="none"/>
        </w:rPr>
      </w:pPr>
      <w:r>
        <w:rPr>
          <w:rFonts w:hint="eastAsia" w:ascii="宋体" w:hAnsi="宋体" w:cs="宋体"/>
          <w:color w:val="auto"/>
          <w:highlight w:val="none"/>
        </w:rPr>
        <w:t xml:space="preserve">    招 标 人：见投标人须知前附表。</w:t>
      </w:r>
    </w:p>
    <w:p w14:paraId="5411C92E">
      <w:pPr>
        <w:shd w:val="clear"/>
        <w:kinsoku/>
        <w:overflowPunct/>
        <w:topLinePunct w:val="0"/>
        <w:bidi w:val="0"/>
        <w:spacing w:line="480" w:lineRule="exact"/>
        <w:rPr>
          <w:rFonts w:hint="eastAsia" w:ascii="宋体" w:hAnsi="宋体" w:cs="宋体"/>
          <w:color w:val="auto"/>
          <w:highlight w:val="none"/>
        </w:rPr>
      </w:pPr>
      <w:r>
        <w:rPr>
          <w:rFonts w:hint="eastAsia" w:ascii="宋体" w:hAnsi="宋体" w:cs="宋体"/>
          <w:color w:val="auto"/>
          <w:highlight w:val="none"/>
        </w:rPr>
        <w:t>1.2招标人及联系人: 见投标人须知前附表。</w:t>
      </w:r>
    </w:p>
    <w:p w14:paraId="46093388">
      <w:pPr>
        <w:shd w:val="clear"/>
        <w:kinsoku/>
        <w:overflowPunct/>
        <w:topLinePunct w:val="0"/>
        <w:bidi w:val="0"/>
        <w:spacing w:line="480" w:lineRule="exact"/>
        <w:rPr>
          <w:rFonts w:hint="eastAsia" w:ascii="宋体" w:hAnsi="宋体" w:cs="宋体"/>
          <w:color w:val="auto"/>
          <w:highlight w:val="none"/>
        </w:rPr>
      </w:pPr>
      <w:r>
        <w:rPr>
          <w:rFonts w:hint="eastAsia" w:ascii="宋体" w:hAnsi="宋体" w:cs="宋体"/>
          <w:color w:val="auto"/>
          <w:highlight w:val="none"/>
        </w:rPr>
        <w:t xml:space="preserve">  代理机构及联系人: 见投标人须知前附表。</w:t>
      </w:r>
    </w:p>
    <w:p w14:paraId="4F14F2C1">
      <w:pPr>
        <w:shd w:val="clear"/>
        <w:kinsoku/>
        <w:overflowPunct/>
        <w:topLinePunct w:val="0"/>
        <w:bidi w:val="0"/>
        <w:spacing w:line="480" w:lineRule="exact"/>
        <w:rPr>
          <w:rFonts w:hint="eastAsia" w:ascii="宋体" w:hAnsi="宋体" w:cs="宋体"/>
          <w:color w:val="auto"/>
          <w:highlight w:val="none"/>
        </w:rPr>
      </w:pPr>
      <w:r>
        <w:rPr>
          <w:rFonts w:hint="eastAsia" w:ascii="宋体" w:hAnsi="宋体" w:cs="宋体"/>
          <w:color w:val="auto"/>
          <w:highlight w:val="none"/>
        </w:rPr>
        <w:t>1.3资金来源：见投标人须知前附表。</w:t>
      </w:r>
    </w:p>
    <w:p w14:paraId="70FC5224">
      <w:pPr>
        <w:shd w:val="clear"/>
        <w:kinsoku/>
        <w:overflowPunct/>
        <w:topLinePunct w:val="0"/>
        <w:bidi w:val="0"/>
        <w:spacing w:line="480" w:lineRule="exact"/>
        <w:rPr>
          <w:rFonts w:hint="eastAsia" w:ascii="宋体" w:hAnsi="宋体" w:cs="宋体"/>
          <w:color w:val="auto"/>
          <w:highlight w:val="none"/>
        </w:rPr>
      </w:pPr>
      <w:r>
        <w:rPr>
          <w:rFonts w:hint="eastAsia" w:ascii="宋体" w:hAnsi="宋体" w:cs="宋体"/>
          <w:color w:val="auto"/>
          <w:highlight w:val="none"/>
        </w:rPr>
        <w:t>1.4本项目预算：见投标人须知前附表。</w:t>
      </w:r>
    </w:p>
    <w:p w14:paraId="281CA368">
      <w:pPr>
        <w:shd w:val="clear"/>
        <w:kinsoku/>
        <w:overflowPunct/>
        <w:topLinePunct w:val="0"/>
        <w:bidi w:val="0"/>
        <w:spacing w:line="480" w:lineRule="exact"/>
        <w:rPr>
          <w:rFonts w:ascii="宋体" w:hAnsi="宋体" w:cs="宋体"/>
          <w:color w:val="auto"/>
          <w:kern w:val="0"/>
          <w:highlight w:val="none"/>
        </w:rPr>
      </w:pPr>
      <w:r>
        <w:rPr>
          <w:rFonts w:hint="eastAsia" w:ascii="宋体" w:hAnsi="宋体" w:cs="宋体"/>
          <w:color w:val="auto"/>
          <w:highlight w:val="none"/>
        </w:rPr>
        <w:t>1.5本项目最高限价：见投标人须知前附表。</w:t>
      </w:r>
    </w:p>
    <w:p w14:paraId="4C3F431D">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2. 服务需求</w:t>
      </w:r>
    </w:p>
    <w:p w14:paraId="6CF0E0DF">
      <w:pPr>
        <w:shd w:val="clear"/>
        <w:kinsoku/>
        <w:overflowPunct/>
        <w:topLinePunct w:val="0"/>
        <w:bidi w:val="0"/>
        <w:spacing w:line="480" w:lineRule="exact"/>
        <w:jc w:val="left"/>
        <w:rPr>
          <w:rFonts w:ascii="宋体" w:hAnsi="宋体" w:cs="宋体"/>
          <w:color w:val="auto"/>
          <w:highlight w:val="none"/>
        </w:rPr>
      </w:pPr>
      <w:r>
        <w:rPr>
          <w:rFonts w:hint="eastAsia" w:ascii="宋体" w:hAnsi="宋体" w:cs="宋体"/>
          <w:color w:val="auto"/>
          <w:highlight w:val="none"/>
        </w:rPr>
        <w:t>2.1详见《投标人须知前附表》要求</w:t>
      </w:r>
    </w:p>
    <w:p w14:paraId="3BA92E34">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3.承包方式</w:t>
      </w:r>
    </w:p>
    <w:p w14:paraId="17D4AAB1">
      <w:pPr>
        <w:shd w:val="clear"/>
        <w:kinsoku/>
        <w:overflowPunct/>
        <w:topLinePunct w:val="0"/>
        <w:bidi w:val="0"/>
        <w:spacing w:line="480" w:lineRule="exact"/>
        <w:jc w:val="left"/>
        <w:rPr>
          <w:rFonts w:ascii="宋体" w:hAnsi="宋体" w:cs="宋体"/>
          <w:color w:val="auto"/>
          <w:highlight w:val="none"/>
        </w:rPr>
      </w:pPr>
      <w:r>
        <w:rPr>
          <w:rFonts w:hint="eastAsia" w:ascii="宋体" w:hAnsi="宋体" w:cs="宋体"/>
          <w:color w:val="auto"/>
          <w:highlight w:val="none"/>
        </w:rPr>
        <w:t>3.1承包方式：</w:t>
      </w:r>
      <w:r>
        <w:rPr>
          <w:rFonts w:hint="eastAsia" w:ascii="宋体" w:hAnsi="宋体" w:cs="宋体"/>
          <w:color w:val="auto"/>
          <w:highlight w:val="none"/>
          <w:u w:val="single"/>
          <w:lang w:val="en-US" w:eastAsia="zh-CN"/>
        </w:rPr>
        <w:t>固定总价</w:t>
      </w:r>
      <w:r>
        <w:rPr>
          <w:rFonts w:hint="eastAsia" w:ascii="宋体" w:hAnsi="宋体" w:cs="宋体"/>
          <w:color w:val="auto"/>
          <w:sz w:val="21"/>
          <w:szCs w:val="21"/>
          <w:highlight w:val="none"/>
          <w:u w:val="single"/>
          <w:lang w:val="en-US" w:eastAsia="zh-CN"/>
        </w:rPr>
        <w:t>总承包</w:t>
      </w:r>
      <w:r>
        <w:rPr>
          <w:rFonts w:hint="eastAsia" w:ascii="宋体" w:hAnsi="宋体" w:cs="宋体"/>
          <w:color w:val="auto"/>
          <w:highlight w:val="none"/>
        </w:rPr>
        <w:t>。</w:t>
      </w:r>
    </w:p>
    <w:p w14:paraId="466600D6">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4.服务期要求</w:t>
      </w:r>
    </w:p>
    <w:p w14:paraId="57F2DC16">
      <w:pPr>
        <w:shd w:val="clear"/>
        <w:kinsoku/>
        <w:overflowPunct/>
        <w:topLinePunct w:val="0"/>
        <w:bidi w:val="0"/>
        <w:spacing w:line="480" w:lineRule="exact"/>
        <w:rPr>
          <w:rFonts w:ascii="宋体" w:hAnsi="宋体" w:cs="宋体"/>
          <w:bCs/>
          <w:color w:val="auto"/>
          <w:highlight w:val="none"/>
        </w:rPr>
      </w:pPr>
      <w:r>
        <w:rPr>
          <w:rFonts w:hint="eastAsia" w:ascii="宋体" w:hAnsi="宋体" w:cs="宋体"/>
          <w:color w:val="auto"/>
          <w:highlight w:val="none"/>
        </w:rPr>
        <w:t>4.1服务期要求</w:t>
      </w:r>
      <w:r>
        <w:rPr>
          <w:rFonts w:hint="eastAsia" w:ascii="宋体" w:hAnsi="宋体" w:cs="宋体"/>
          <w:color w:val="auto"/>
          <w:kern w:val="0"/>
          <w:highlight w:val="none"/>
        </w:rPr>
        <w:t>：</w:t>
      </w:r>
      <w:r>
        <w:rPr>
          <w:rFonts w:hint="eastAsia" w:ascii="宋体" w:hAnsi="宋体" w:cs="宋体"/>
          <w:color w:val="auto"/>
          <w:highlight w:val="none"/>
        </w:rPr>
        <w:t>详见《投标人须知前附表》要求</w:t>
      </w:r>
      <w:r>
        <w:rPr>
          <w:rFonts w:hint="eastAsia" w:ascii="宋体" w:hAnsi="宋体" w:cs="宋体"/>
          <w:color w:val="auto"/>
          <w:kern w:val="0"/>
          <w:highlight w:val="none"/>
        </w:rPr>
        <w:t>。</w:t>
      </w:r>
    </w:p>
    <w:p w14:paraId="5EDC1872">
      <w:pPr>
        <w:shd w:val="clear"/>
        <w:kinsoku/>
        <w:overflowPunct/>
        <w:topLinePunct w:val="0"/>
        <w:bidi w:val="0"/>
        <w:spacing w:line="480" w:lineRule="exact"/>
        <w:outlineLvl w:val="2"/>
        <w:rPr>
          <w:rFonts w:ascii="宋体" w:hAnsi="宋体" w:cs="宋体"/>
          <w:color w:val="auto"/>
          <w:highlight w:val="none"/>
        </w:rPr>
      </w:pPr>
      <w:r>
        <w:rPr>
          <w:rFonts w:hint="eastAsia" w:ascii="宋体" w:hAnsi="宋体" w:cs="宋体"/>
          <w:color w:val="auto"/>
          <w:highlight w:val="none"/>
        </w:rPr>
        <w:t>5.质量要求</w:t>
      </w:r>
    </w:p>
    <w:p w14:paraId="63FDDAD2">
      <w:pPr>
        <w:shd w:val="clear"/>
        <w:kinsoku/>
        <w:overflowPunct/>
        <w:topLinePunct w:val="0"/>
        <w:bidi w:val="0"/>
        <w:spacing w:line="480" w:lineRule="exact"/>
        <w:outlineLvl w:val="2"/>
        <w:rPr>
          <w:rFonts w:ascii="宋体" w:hAnsi="宋体" w:cs="宋体"/>
          <w:color w:val="auto"/>
          <w:highlight w:val="none"/>
        </w:rPr>
      </w:pPr>
      <w:r>
        <w:rPr>
          <w:rFonts w:hint="eastAsia" w:ascii="宋体" w:hAnsi="宋体" w:cs="宋体"/>
          <w:color w:val="auto"/>
          <w:highlight w:val="none"/>
        </w:rPr>
        <w:t>5.1详见《投标人须知前附表》要求。</w:t>
      </w:r>
    </w:p>
    <w:p w14:paraId="1C7741B9">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6.投标人资质等级要求</w:t>
      </w:r>
    </w:p>
    <w:p w14:paraId="1F31AC86">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详见《投标人须知前附表》要求。</w:t>
      </w:r>
    </w:p>
    <w:p w14:paraId="0C92F814">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7.资金来源</w:t>
      </w:r>
    </w:p>
    <w:p w14:paraId="1F802C2F">
      <w:pPr>
        <w:shd w:val="clear"/>
        <w:kinsoku/>
        <w:overflowPunct/>
        <w:topLinePunct w:val="0"/>
        <w:bidi w:val="0"/>
        <w:spacing w:line="480" w:lineRule="exact"/>
        <w:jc w:val="left"/>
        <w:rPr>
          <w:rFonts w:ascii="宋体" w:hAnsi="宋体" w:cs="宋体"/>
          <w:color w:val="auto"/>
          <w:highlight w:val="none"/>
          <w:u w:val="single"/>
        </w:rPr>
      </w:pPr>
      <w:r>
        <w:rPr>
          <w:rFonts w:hint="eastAsia" w:ascii="宋体" w:hAnsi="宋体" w:cs="宋体"/>
          <w:color w:val="auto"/>
          <w:highlight w:val="none"/>
        </w:rPr>
        <w:t>7.1资金来源：</w:t>
      </w:r>
      <w:r>
        <w:rPr>
          <w:rFonts w:hint="eastAsia" w:ascii="宋体" w:hAnsi="宋体" w:cs="宋体"/>
          <w:color w:val="auto"/>
          <w:highlight w:val="none"/>
          <w:u w:val="single"/>
        </w:rPr>
        <w:t xml:space="preserve"> 财政资金 </w:t>
      </w:r>
      <w:r>
        <w:rPr>
          <w:rFonts w:hint="eastAsia" w:ascii="宋体" w:hAnsi="宋体" w:cs="宋体"/>
          <w:color w:val="auto"/>
          <w:highlight w:val="none"/>
        </w:rPr>
        <w:t>；资金已落实。</w:t>
      </w:r>
    </w:p>
    <w:p w14:paraId="4BFFE347">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8.标段划分</w:t>
      </w:r>
    </w:p>
    <w:p w14:paraId="5414155B">
      <w:pPr>
        <w:shd w:val="clear"/>
        <w:kinsoku/>
        <w:overflowPunct/>
        <w:topLinePunct w:val="0"/>
        <w:bidi w:val="0"/>
        <w:spacing w:line="480" w:lineRule="exact"/>
        <w:ind w:right="-155" w:rightChars="-74"/>
        <w:jc w:val="left"/>
        <w:rPr>
          <w:rFonts w:ascii="宋体" w:hAnsi="宋体" w:cs="宋体"/>
          <w:color w:val="auto"/>
          <w:highlight w:val="none"/>
        </w:rPr>
      </w:pPr>
      <w:r>
        <w:rPr>
          <w:rFonts w:hint="eastAsia" w:ascii="宋体" w:hAnsi="宋体" w:cs="宋体"/>
          <w:color w:val="auto"/>
          <w:highlight w:val="none"/>
        </w:rPr>
        <w:t>8.1该工程划分：</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1</w:t>
      </w:r>
      <w:r>
        <w:rPr>
          <w:rFonts w:hint="eastAsia" w:ascii="宋体" w:hAnsi="宋体" w:cs="宋体"/>
          <w:color w:val="auto"/>
          <w:highlight w:val="none"/>
          <w:u w:val="single"/>
        </w:rPr>
        <w:t xml:space="preserve"> </w:t>
      </w:r>
      <w:r>
        <w:rPr>
          <w:rFonts w:hint="eastAsia" w:ascii="宋体" w:hAnsi="宋体" w:cs="宋体"/>
          <w:color w:val="auto"/>
          <w:highlight w:val="none"/>
        </w:rPr>
        <w:t xml:space="preserve">个标段  </w:t>
      </w:r>
    </w:p>
    <w:p w14:paraId="39F5C38B">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9.招标方式</w:t>
      </w:r>
    </w:p>
    <w:p w14:paraId="6DBDE8EB">
      <w:pPr>
        <w:shd w:val="clear"/>
        <w:kinsoku/>
        <w:overflowPunct/>
        <w:topLinePunct w:val="0"/>
        <w:bidi w:val="0"/>
        <w:spacing w:line="480" w:lineRule="exact"/>
        <w:jc w:val="left"/>
        <w:rPr>
          <w:rFonts w:ascii="宋体" w:hAnsi="宋体" w:cs="宋体"/>
          <w:color w:val="auto"/>
          <w:highlight w:val="none"/>
        </w:rPr>
      </w:pPr>
      <w:r>
        <w:rPr>
          <w:rFonts w:hint="eastAsia" w:ascii="宋体" w:hAnsi="宋体" w:cs="宋体"/>
          <w:color w:val="auto"/>
          <w:highlight w:val="none"/>
        </w:rPr>
        <w:t>9.1本工程招标方式：</w:t>
      </w:r>
      <w:r>
        <w:rPr>
          <w:rFonts w:hint="eastAsia" w:ascii="宋体" w:hAnsi="宋体" w:cs="宋体"/>
          <w:color w:val="auto"/>
          <w:highlight w:val="none"/>
          <w:u w:val="single"/>
        </w:rPr>
        <w:t xml:space="preserve"> 公开招标 </w:t>
      </w:r>
      <w:r>
        <w:rPr>
          <w:rFonts w:hint="eastAsia" w:ascii="宋体" w:hAnsi="宋体" w:cs="宋体"/>
          <w:color w:val="auto"/>
          <w:highlight w:val="none"/>
        </w:rPr>
        <w:t>。</w:t>
      </w:r>
    </w:p>
    <w:p w14:paraId="1DADC265">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10.计价方式</w:t>
      </w:r>
    </w:p>
    <w:p w14:paraId="3868FD96">
      <w:pPr>
        <w:shd w:val="clear"/>
        <w:kinsoku/>
        <w:overflowPunct/>
        <w:topLinePunct w:val="0"/>
        <w:bidi w:val="0"/>
        <w:spacing w:line="480" w:lineRule="exact"/>
        <w:jc w:val="left"/>
        <w:rPr>
          <w:rFonts w:ascii="宋体" w:hAnsi="宋体" w:cs="宋体"/>
          <w:color w:val="auto"/>
          <w:highlight w:val="none"/>
        </w:rPr>
      </w:pPr>
      <w:r>
        <w:rPr>
          <w:rFonts w:hint="eastAsia" w:ascii="宋体" w:hAnsi="宋体" w:cs="宋体"/>
          <w:color w:val="auto"/>
          <w:highlight w:val="none"/>
        </w:rPr>
        <w:t>10.1本工程合同计价方式：</w:t>
      </w:r>
      <w:r>
        <w:rPr>
          <w:rFonts w:hint="eastAsia" w:ascii="宋体" w:hAnsi="宋体" w:cs="宋体"/>
          <w:color w:val="auto"/>
          <w:highlight w:val="none"/>
          <w:u w:val="single"/>
          <w:lang w:eastAsia="zh-CN"/>
        </w:rPr>
        <w:t>固定</w:t>
      </w:r>
      <w:r>
        <w:rPr>
          <w:rFonts w:hint="eastAsia" w:ascii="宋体" w:hAnsi="宋体" w:cs="宋体"/>
          <w:color w:val="auto"/>
          <w:highlight w:val="none"/>
          <w:u w:val="single"/>
          <w:lang w:val="en-US" w:eastAsia="zh-CN"/>
        </w:rPr>
        <w:t>费率</w:t>
      </w:r>
      <w:r>
        <w:rPr>
          <w:rFonts w:hint="eastAsia" w:ascii="宋体" w:hAnsi="宋体" w:cs="宋体"/>
          <w:color w:val="auto"/>
          <w:highlight w:val="none"/>
        </w:rPr>
        <w:t>。</w:t>
      </w:r>
    </w:p>
    <w:p w14:paraId="66E66BCF">
      <w:pPr>
        <w:shd w:val="clear"/>
        <w:kinsoku/>
        <w:overflowPunct/>
        <w:topLinePunct w:val="0"/>
        <w:bidi w:val="0"/>
        <w:spacing w:line="480" w:lineRule="exact"/>
        <w:jc w:val="left"/>
        <w:outlineLvl w:val="2"/>
        <w:rPr>
          <w:rFonts w:ascii="宋体" w:hAnsi="宋体" w:cs="宋体"/>
          <w:color w:val="auto"/>
          <w:highlight w:val="none"/>
        </w:rPr>
      </w:pPr>
      <w:r>
        <w:rPr>
          <w:rFonts w:hint="eastAsia" w:ascii="宋体" w:hAnsi="宋体" w:cs="宋体"/>
          <w:color w:val="auto"/>
          <w:highlight w:val="none"/>
        </w:rPr>
        <w:t>11.评标办法</w:t>
      </w:r>
    </w:p>
    <w:p w14:paraId="2E5D744A">
      <w:pPr>
        <w:shd w:val="clear"/>
        <w:kinsoku/>
        <w:overflowPunct/>
        <w:topLinePunct w:val="0"/>
        <w:bidi w:val="0"/>
        <w:spacing w:line="480" w:lineRule="exact"/>
        <w:jc w:val="left"/>
        <w:rPr>
          <w:rFonts w:ascii="宋体" w:hAnsi="宋体" w:cs="宋体"/>
          <w:color w:val="auto"/>
          <w:highlight w:val="none"/>
        </w:rPr>
      </w:pPr>
      <w:r>
        <w:rPr>
          <w:rFonts w:hint="eastAsia" w:ascii="宋体" w:hAnsi="宋体" w:cs="宋体"/>
          <w:color w:val="auto"/>
          <w:highlight w:val="none"/>
        </w:rPr>
        <w:t>11.1本工程评标办法：</w:t>
      </w:r>
      <w:r>
        <w:rPr>
          <w:rFonts w:hint="eastAsia" w:ascii="宋体" w:hAnsi="宋体" w:cs="宋体"/>
          <w:color w:val="auto"/>
          <w:highlight w:val="none"/>
          <w:u w:val="single"/>
        </w:rPr>
        <w:t xml:space="preserve"> </w:t>
      </w:r>
      <w:r>
        <w:rPr>
          <w:rFonts w:hint="eastAsia" w:ascii="宋体" w:hAnsi="宋体" w:cs="宋体"/>
          <w:color w:val="auto"/>
          <w:sz w:val="21"/>
          <w:szCs w:val="21"/>
          <w:highlight w:val="none"/>
          <w:u w:val="single"/>
          <w:lang w:val="en-US" w:eastAsia="zh-CN"/>
        </w:rPr>
        <w:t>综合评估法</w:t>
      </w:r>
      <w:r>
        <w:rPr>
          <w:rFonts w:hint="eastAsia" w:ascii="宋体" w:hAnsi="宋体" w:cs="宋体"/>
          <w:color w:val="auto"/>
          <w:highlight w:val="none"/>
          <w:u w:val="single"/>
        </w:rPr>
        <w:t xml:space="preserve"> </w:t>
      </w:r>
      <w:r>
        <w:rPr>
          <w:rFonts w:hint="eastAsia" w:ascii="宋体" w:hAnsi="宋体" w:cs="宋体"/>
          <w:color w:val="auto"/>
          <w:highlight w:val="none"/>
        </w:rPr>
        <w:t>（详见第二章评标办法）。</w:t>
      </w:r>
    </w:p>
    <w:p w14:paraId="7F940ACE">
      <w:pPr>
        <w:shd w:val="clear"/>
        <w:kinsoku/>
        <w:overflowPunct/>
        <w:topLinePunct w:val="0"/>
        <w:bidi w:val="0"/>
        <w:spacing w:before="318" w:beforeLines="100" w:line="400" w:lineRule="exact"/>
        <w:jc w:val="center"/>
        <w:outlineLvl w:val="1"/>
        <w:rPr>
          <w:rFonts w:ascii="宋体" w:hAnsi="宋体" w:cs="宋体"/>
          <w:b/>
          <w:bCs/>
          <w:color w:val="auto"/>
          <w:sz w:val="28"/>
          <w:highlight w:val="none"/>
        </w:rPr>
      </w:pPr>
      <w:bookmarkStart w:id="44" w:name="_Toc17301"/>
      <w:bookmarkStart w:id="45" w:name="_Toc29988"/>
    </w:p>
    <w:p w14:paraId="6AC03FE1">
      <w:pPr>
        <w:shd w:val="clear"/>
        <w:kinsoku/>
        <w:overflowPunct/>
        <w:topLinePunct w:val="0"/>
        <w:bidi w:val="0"/>
        <w:spacing w:before="318" w:beforeLines="100" w:line="400" w:lineRule="exact"/>
        <w:jc w:val="center"/>
        <w:outlineLvl w:val="1"/>
        <w:rPr>
          <w:rFonts w:ascii="宋体" w:hAnsi="宋体" w:cs="宋体"/>
          <w:b/>
          <w:bCs/>
          <w:color w:val="auto"/>
          <w:sz w:val="28"/>
          <w:highlight w:val="none"/>
        </w:rPr>
      </w:pPr>
      <w:r>
        <w:rPr>
          <w:rFonts w:hint="eastAsia" w:ascii="宋体" w:hAnsi="宋体" w:cs="宋体"/>
          <w:b/>
          <w:bCs/>
          <w:color w:val="auto"/>
          <w:sz w:val="28"/>
          <w:highlight w:val="none"/>
        </w:rPr>
        <w:t>二、招标文件</w:t>
      </w:r>
      <w:bookmarkEnd w:id="44"/>
      <w:bookmarkEnd w:id="45"/>
    </w:p>
    <w:p w14:paraId="1633148C">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12.招标文件的编制依据</w:t>
      </w:r>
    </w:p>
    <w:p w14:paraId="60D0F728">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12.1根据相关法律法规和规章及部、省、市级规范性文件的规定，编制本招标文件。</w:t>
      </w:r>
    </w:p>
    <w:p w14:paraId="4E1189DD">
      <w:pPr>
        <w:shd w:val="clear"/>
        <w:kinsoku/>
        <w:overflowPunct/>
        <w:topLinePunct w:val="0"/>
        <w:bidi w:val="0"/>
        <w:spacing w:line="500" w:lineRule="exact"/>
        <w:jc w:val="left"/>
        <w:rPr>
          <w:rFonts w:ascii="宋体" w:hAnsi="宋体" w:cs="宋体"/>
          <w:bCs/>
          <w:color w:val="auto"/>
          <w:highlight w:val="none"/>
        </w:rPr>
      </w:pPr>
      <w:r>
        <w:rPr>
          <w:rFonts w:hint="eastAsia" w:ascii="宋体" w:hAnsi="宋体" w:cs="宋体"/>
          <w:color w:val="auto"/>
          <w:highlight w:val="none"/>
        </w:rPr>
        <w:t>13.</w:t>
      </w:r>
      <w:r>
        <w:rPr>
          <w:rFonts w:hint="eastAsia" w:ascii="宋体" w:hAnsi="宋体" w:cs="宋体"/>
          <w:bCs/>
          <w:color w:val="auto"/>
          <w:highlight w:val="none"/>
        </w:rPr>
        <w:t>招标文件的组成</w:t>
      </w:r>
    </w:p>
    <w:p w14:paraId="0403E1E3">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13.1招标文件包括内容：</w:t>
      </w:r>
    </w:p>
    <w:p w14:paraId="2569F96D">
      <w:pPr>
        <w:numPr>
          <w:ilvl w:val="0"/>
          <w:numId w:val="0"/>
        </w:numPr>
        <w:shd w:val="clear"/>
        <w:kinsoku/>
        <w:overflowPunct/>
        <w:topLinePunct w:val="0"/>
        <w:bidi w:val="0"/>
        <w:spacing w:line="500" w:lineRule="exact"/>
        <w:ind w:firstLine="420" w:firstLineChars="200"/>
        <w:jc w:val="left"/>
        <w:rPr>
          <w:rFonts w:hint="default" w:ascii="宋体" w:hAnsi="宋体" w:eastAsia="宋体" w:cs="宋体"/>
          <w:color w:val="auto"/>
          <w:highlight w:val="none"/>
          <w:lang w:val="en-US" w:eastAsia="zh-CN"/>
        </w:rPr>
      </w:pPr>
      <w:r>
        <w:rPr>
          <w:rFonts w:hint="eastAsia" w:ascii="宋体" w:hAnsi="宋体" w:eastAsia="宋体" w:cs="宋体"/>
          <w:color w:val="auto"/>
          <w:kern w:val="2"/>
          <w:sz w:val="21"/>
          <w:szCs w:val="21"/>
          <w:lang w:val="en-US" w:eastAsia="zh-CN" w:bidi="ar-SA"/>
        </w:rPr>
        <w:t>第一章</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招标公告</w:t>
      </w:r>
    </w:p>
    <w:p w14:paraId="73878792">
      <w:pPr>
        <w:numPr>
          <w:ilvl w:val="0"/>
          <w:numId w:val="0"/>
        </w:numPr>
        <w:shd w:val="clear"/>
        <w:kinsoku/>
        <w:overflowPunct/>
        <w:topLinePunct w:val="0"/>
        <w:bidi w:val="0"/>
        <w:spacing w:line="500" w:lineRule="exact"/>
        <w:ind w:firstLine="420" w:firstLineChars="200"/>
        <w:jc w:val="left"/>
        <w:rPr>
          <w:rFonts w:ascii="宋体" w:hAnsi="宋体" w:cs="宋体"/>
          <w:color w:val="auto"/>
          <w:highlight w:val="none"/>
        </w:rPr>
      </w:pPr>
      <w:r>
        <w:rPr>
          <w:rFonts w:hint="eastAsia" w:ascii="宋体" w:hAnsi="宋体" w:eastAsia="宋体" w:cs="宋体"/>
          <w:color w:val="auto"/>
          <w:kern w:val="2"/>
          <w:sz w:val="21"/>
          <w:szCs w:val="21"/>
          <w:lang w:val="en-US" w:eastAsia="zh-CN" w:bidi="ar-SA"/>
        </w:rPr>
        <w:t>第二章</w:t>
      </w:r>
      <w:r>
        <w:rPr>
          <w:rFonts w:hint="eastAsia" w:ascii="宋体" w:hAnsi="宋体" w:cs="宋体"/>
          <w:color w:val="auto"/>
          <w:kern w:val="2"/>
          <w:sz w:val="21"/>
          <w:szCs w:val="21"/>
          <w:lang w:val="en-US" w:eastAsia="zh-CN" w:bidi="ar-SA"/>
        </w:rPr>
        <w:t xml:space="preserve">  </w:t>
      </w:r>
      <w:r>
        <w:rPr>
          <w:rFonts w:hint="eastAsia" w:ascii="宋体" w:hAnsi="宋体" w:cs="宋体"/>
          <w:color w:val="auto"/>
          <w:highlight w:val="none"/>
        </w:rPr>
        <w:t>投标人须知</w:t>
      </w:r>
    </w:p>
    <w:p w14:paraId="5737B89B">
      <w:pPr>
        <w:shd w:val="clear"/>
        <w:kinsoku/>
        <w:overflowPunct/>
        <w:topLinePunct w:val="0"/>
        <w:bidi w:val="0"/>
        <w:spacing w:line="500" w:lineRule="exact"/>
        <w:ind w:firstLine="420" w:firstLineChars="200"/>
        <w:jc w:val="left"/>
        <w:rPr>
          <w:rFonts w:ascii="宋体" w:hAnsi="宋体" w:cs="宋体"/>
          <w:color w:val="auto"/>
          <w:highlight w:val="none"/>
        </w:rPr>
      </w:pPr>
      <w:r>
        <w:rPr>
          <w:rFonts w:hint="eastAsia" w:ascii="宋体" w:hAnsi="宋体" w:cs="宋体"/>
          <w:color w:val="auto"/>
          <w:highlight w:val="none"/>
        </w:rPr>
        <w:t>第</w:t>
      </w:r>
      <w:r>
        <w:rPr>
          <w:rFonts w:hint="eastAsia" w:ascii="宋体" w:hAnsi="宋体" w:cs="宋体"/>
          <w:color w:val="auto"/>
          <w:highlight w:val="none"/>
          <w:lang w:val="en-US" w:eastAsia="zh-CN"/>
        </w:rPr>
        <w:t>三</w:t>
      </w:r>
      <w:r>
        <w:rPr>
          <w:rFonts w:hint="eastAsia" w:ascii="宋体" w:hAnsi="宋体" w:cs="宋体"/>
          <w:color w:val="auto"/>
          <w:highlight w:val="none"/>
        </w:rPr>
        <w:t>章  评标办法</w:t>
      </w:r>
    </w:p>
    <w:p w14:paraId="6F60FDF2">
      <w:pPr>
        <w:shd w:val="clear"/>
        <w:kinsoku/>
        <w:overflowPunct/>
        <w:topLinePunct w:val="0"/>
        <w:bidi w:val="0"/>
        <w:spacing w:line="500" w:lineRule="exact"/>
        <w:ind w:firstLine="420" w:firstLineChars="200"/>
        <w:jc w:val="left"/>
        <w:rPr>
          <w:rFonts w:ascii="宋体" w:hAnsi="宋体" w:cs="宋体"/>
          <w:color w:val="auto"/>
          <w:highlight w:val="none"/>
        </w:rPr>
      </w:pPr>
      <w:r>
        <w:rPr>
          <w:rFonts w:hint="eastAsia" w:ascii="宋体" w:hAnsi="宋体" w:cs="宋体"/>
          <w:color w:val="auto"/>
          <w:highlight w:val="none"/>
        </w:rPr>
        <w:t>第</w:t>
      </w:r>
      <w:r>
        <w:rPr>
          <w:rFonts w:hint="eastAsia" w:ascii="宋体" w:hAnsi="宋体" w:cs="宋体"/>
          <w:color w:val="auto"/>
          <w:highlight w:val="none"/>
          <w:lang w:val="en-US" w:eastAsia="zh-CN"/>
        </w:rPr>
        <w:t>四</w:t>
      </w:r>
      <w:r>
        <w:rPr>
          <w:rFonts w:hint="eastAsia" w:ascii="宋体" w:hAnsi="宋体" w:cs="宋体"/>
          <w:color w:val="auto"/>
          <w:highlight w:val="none"/>
        </w:rPr>
        <w:t>章  合同条款</w:t>
      </w:r>
    </w:p>
    <w:p w14:paraId="688927DA">
      <w:pPr>
        <w:shd w:val="clear"/>
        <w:kinsoku/>
        <w:overflowPunct/>
        <w:topLinePunct w:val="0"/>
        <w:bidi w:val="0"/>
        <w:spacing w:line="500" w:lineRule="exact"/>
        <w:ind w:firstLine="420" w:firstLineChars="200"/>
        <w:jc w:val="left"/>
        <w:rPr>
          <w:rFonts w:ascii="宋体" w:hAnsi="宋体" w:cs="宋体"/>
          <w:color w:val="auto"/>
          <w:highlight w:val="none"/>
        </w:rPr>
      </w:pPr>
      <w:r>
        <w:rPr>
          <w:rFonts w:hint="eastAsia" w:ascii="宋体" w:hAnsi="宋体" w:cs="宋体"/>
          <w:color w:val="auto"/>
          <w:highlight w:val="none"/>
        </w:rPr>
        <w:t>第</w:t>
      </w:r>
      <w:r>
        <w:rPr>
          <w:rFonts w:hint="eastAsia" w:ascii="宋体" w:hAnsi="宋体" w:cs="宋体"/>
          <w:color w:val="auto"/>
          <w:highlight w:val="none"/>
          <w:lang w:val="en-US" w:eastAsia="zh-CN"/>
        </w:rPr>
        <w:t>五</w:t>
      </w:r>
      <w:r>
        <w:rPr>
          <w:rFonts w:hint="eastAsia" w:ascii="宋体" w:hAnsi="宋体" w:cs="宋体"/>
          <w:color w:val="auto"/>
          <w:highlight w:val="none"/>
        </w:rPr>
        <w:t>章  投标文件格式</w:t>
      </w:r>
    </w:p>
    <w:p w14:paraId="5C4C9487">
      <w:pPr>
        <w:shd w:val="clear"/>
        <w:kinsoku/>
        <w:overflowPunct/>
        <w:topLinePunct w:val="0"/>
        <w:bidi w:val="0"/>
        <w:adjustRightInd w:val="0"/>
        <w:snapToGrid w:val="0"/>
        <w:spacing w:line="500" w:lineRule="exact"/>
        <w:ind w:firstLine="420" w:firstLineChars="200"/>
        <w:rPr>
          <w:rFonts w:ascii="宋体" w:hAnsi="宋体" w:cs="宋体"/>
          <w:color w:val="auto"/>
          <w:spacing w:val="-20"/>
          <w:highlight w:val="none"/>
        </w:rPr>
      </w:pPr>
      <w:r>
        <w:rPr>
          <w:rFonts w:hint="eastAsia" w:ascii="宋体" w:hAnsi="宋体" w:cs="宋体"/>
          <w:color w:val="auto"/>
          <w:highlight w:val="none"/>
        </w:rPr>
        <w:t>第</w:t>
      </w:r>
      <w:r>
        <w:rPr>
          <w:rFonts w:hint="eastAsia" w:ascii="宋体" w:hAnsi="宋体" w:cs="宋体"/>
          <w:color w:val="auto"/>
          <w:highlight w:val="none"/>
          <w:lang w:val="en-US" w:eastAsia="zh-CN"/>
        </w:rPr>
        <w:t>六</w:t>
      </w:r>
      <w:r>
        <w:rPr>
          <w:rFonts w:hint="eastAsia" w:ascii="宋体" w:hAnsi="宋体" w:cs="宋体"/>
          <w:color w:val="auto"/>
          <w:highlight w:val="none"/>
        </w:rPr>
        <w:t>章  招标单位、招标代理机构对本招标文件的确认</w:t>
      </w:r>
    </w:p>
    <w:p w14:paraId="711DDD55">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13.2</w:t>
      </w:r>
      <w:r>
        <w:rPr>
          <w:rFonts w:hint="eastAsia" w:ascii="宋体" w:hAnsi="宋体" w:cs="宋体"/>
          <w:color w:val="auto"/>
          <w:spacing w:val="-10"/>
          <w:highlight w:val="none"/>
        </w:rPr>
        <w:t>除13.1内容外，招标答疑亦为招标文件的组成部分，对招标人和投标人起约束作用。</w:t>
      </w:r>
    </w:p>
    <w:p w14:paraId="068EB8AA">
      <w:pPr>
        <w:shd w:val="clear"/>
        <w:kinsoku/>
        <w:overflowPunct/>
        <w:topLinePunct w:val="0"/>
        <w:bidi w:val="0"/>
        <w:spacing w:line="500" w:lineRule="exact"/>
        <w:jc w:val="left"/>
        <w:rPr>
          <w:rFonts w:ascii="宋体" w:hAnsi="宋体" w:cs="宋体"/>
          <w:color w:val="auto"/>
          <w:kern w:val="0"/>
          <w:highlight w:val="none"/>
          <w:lang w:val="zh-CN"/>
        </w:rPr>
      </w:pPr>
      <w:r>
        <w:rPr>
          <w:rFonts w:hint="eastAsia" w:ascii="宋体" w:hAnsi="宋体" w:cs="宋体"/>
          <w:color w:val="auto"/>
          <w:highlight w:val="none"/>
        </w:rPr>
        <w:t>13.3</w:t>
      </w:r>
      <w:r>
        <w:rPr>
          <w:rFonts w:hint="eastAsia" w:ascii="宋体"/>
          <w:color w:val="auto"/>
          <w:highlight w:val="none"/>
        </w:rPr>
        <w:t>投标人应仔细阅读和检查招标文件的全部内容。如发现缺页或附件不全，应及时向招标人提出，以便补齐</w:t>
      </w:r>
      <w:r>
        <w:rPr>
          <w:rFonts w:hint="eastAsia" w:ascii="宋体" w:hAnsi="宋体" w:cs="宋体"/>
          <w:color w:val="auto"/>
          <w:kern w:val="0"/>
          <w:highlight w:val="none"/>
          <w:lang w:val="zh-CN"/>
        </w:rPr>
        <w:t>。</w:t>
      </w:r>
    </w:p>
    <w:p w14:paraId="348A6780">
      <w:pPr>
        <w:pStyle w:val="65"/>
        <w:shd w:val="clear"/>
        <w:kinsoku/>
        <w:wordWrap w:val="0"/>
        <w:overflowPunct/>
        <w:topLinePunct w:val="0"/>
        <w:bidi w:val="0"/>
        <w:ind w:firstLine="0" w:firstLineChars="0"/>
        <w:rPr>
          <w:rFonts w:eastAsia="宋体"/>
          <w:color w:val="auto"/>
          <w:highlight w:val="none"/>
        </w:rPr>
      </w:pPr>
      <w:r>
        <w:rPr>
          <w:rFonts w:hint="eastAsia" w:ascii="宋体" w:hAnsi="宋体" w:eastAsia="宋体" w:cs="宋体"/>
          <w:b/>
          <w:bCs/>
          <w:color w:val="auto"/>
          <w:kern w:val="0"/>
          <w:sz w:val="21"/>
          <w:szCs w:val="21"/>
          <w:highlight w:val="none"/>
        </w:rPr>
        <w:t>13.4投标人可以通过新点电子交易平台【滁州专区】对招标文件提出澄清（质疑）。招标文件的澄清将在滁州市城投工程咨询管理有限公司（https://www.czctgczx.com/）发布，但不指明澄清问题的来源。如果澄清内容影响投标文件编制的，将相应延长投标截止时间。</w:t>
      </w:r>
    </w:p>
    <w:p w14:paraId="2321A73D">
      <w:pPr>
        <w:shd w:val="clear"/>
        <w:kinsoku/>
        <w:wordWrap w:val="0"/>
        <w:overflowPunct/>
        <w:topLinePunct w:val="0"/>
        <w:bidi w:val="0"/>
        <w:spacing w:line="500" w:lineRule="exact"/>
        <w:jc w:val="left"/>
        <w:rPr>
          <w:rFonts w:ascii="宋体" w:hAnsi="宋体" w:cs="宋体"/>
          <w:bCs/>
          <w:color w:val="auto"/>
          <w:highlight w:val="none"/>
        </w:rPr>
      </w:pPr>
      <w:r>
        <w:rPr>
          <w:rFonts w:hint="eastAsia" w:ascii="宋体" w:hAnsi="宋体" w:cs="宋体"/>
          <w:color w:val="auto"/>
          <w:highlight w:val="none"/>
        </w:rPr>
        <w:t>14.</w:t>
      </w:r>
      <w:r>
        <w:rPr>
          <w:rFonts w:hint="eastAsia" w:ascii="宋体" w:hAnsi="宋体" w:cs="宋体"/>
          <w:bCs/>
          <w:color w:val="auto"/>
          <w:highlight w:val="none"/>
        </w:rPr>
        <w:t>招标文件的澄清、修改、补充、解释</w:t>
      </w:r>
    </w:p>
    <w:p w14:paraId="19FC281C">
      <w:pPr>
        <w:shd w:val="clear"/>
        <w:kinsoku/>
        <w:wordWrap w:val="0"/>
        <w:overflowPunct/>
        <w:topLinePunct w:val="0"/>
        <w:bidi w:val="0"/>
        <w:spacing w:line="500" w:lineRule="exact"/>
        <w:jc w:val="left"/>
        <w:rPr>
          <w:rFonts w:ascii="宋体" w:hAnsi="宋体" w:cs="宋体"/>
          <w:color w:val="auto"/>
          <w:highlight w:val="none"/>
        </w:rPr>
      </w:pPr>
      <w:r>
        <w:rPr>
          <w:rFonts w:hint="eastAsia" w:ascii="宋体" w:hAnsi="宋体" w:cs="宋体"/>
          <w:color w:val="auto"/>
          <w:kern w:val="0"/>
          <w:highlight w:val="none"/>
        </w:rPr>
        <w:t>14.1</w:t>
      </w:r>
      <w:r>
        <w:rPr>
          <w:rFonts w:hint="eastAsia" w:ascii="宋体" w:hAnsi="宋体" w:cs="宋体"/>
          <w:color w:val="auto"/>
          <w:kern w:val="0"/>
          <w:highlight w:val="none"/>
          <w:lang w:val="zh-CN"/>
        </w:rPr>
        <w:t>招标文件发出后</w:t>
      </w:r>
      <w:r>
        <w:rPr>
          <w:rFonts w:hint="eastAsia" w:ascii="宋体" w:hAnsi="宋体" w:cs="宋体"/>
          <w:color w:val="auto"/>
          <w:kern w:val="0"/>
          <w:highlight w:val="none"/>
        </w:rPr>
        <w:t>，</w:t>
      </w:r>
      <w:r>
        <w:rPr>
          <w:rFonts w:hint="eastAsia" w:ascii="宋体" w:hAnsi="宋体" w:cs="宋体"/>
          <w:color w:val="auto"/>
          <w:kern w:val="0"/>
          <w:highlight w:val="none"/>
          <w:lang w:val="zh-CN"/>
        </w:rPr>
        <w:t>招标人可对招标文件进行必要的澄清、修改和补充</w:t>
      </w:r>
      <w:r>
        <w:rPr>
          <w:rFonts w:hint="eastAsia" w:ascii="宋体" w:hAnsi="宋体" w:cs="宋体"/>
          <w:color w:val="auto"/>
          <w:kern w:val="0"/>
          <w:highlight w:val="none"/>
        </w:rPr>
        <w:t>，并在</w:t>
      </w:r>
      <w:r>
        <w:rPr>
          <w:rFonts w:hint="eastAsia" w:ascii="宋体" w:hAnsi="宋体" w:cs="宋体"/>
          <w:color w:val="auto"/>
          <w:highlight w:val="none"/>
        </w:rPr>
        <w:t>滁州市城投工程咨询管理有限公司</w:t>
      </w:r>
      <w:r>
        <w:rPr>
          <w:rFonts w:hint="eastAsia"/>
          <w:color w:val="auto"/>
          <w:highlight w:val="none"/>
        </w:rPr>
        <w:t>（https://www.czctgczx.com/）网站发布</w:t>
      </w:r>
      <w:r>
        <w:rPr>
          <w:rFonts w:hint="eastAsia" w:ascii="宋体" w:hAnsi="宋体" w:cs="宋体"/>
          <w:color w:val="auto"/>
          <w:kern w:val="0"/>
          <w:highlight w:val="none"/>
          <w:lang w:val="zh-CN"/>
        </w:rPr>
        <w:t>。招标文件的修改内容作为招标文件的组成部分，具有约束作用。</w:t>
      </w:r>
    </w:p>
    <w:p w14:paraId="4B7B94FB">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14.2 本招标文件由招标人委托的招标代理机构负责解释。</w:t>
      </w:r>
    </w:p>
    <w:p w14:paraId="18C59764">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15.踏勘现场及投标预备会</w:t>
      </w:r>
    </w:p>
    <w:p w14:paraId="7B95060A">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15.1 踏勘现场</w:t>
      </w:r>
    </w:p>
    <w:p w14:paraId="0EB8F3ED">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15.1.1</w:t>
      </w:r>
      <w:r>
        <w:rPr>
          <w:rFonts w:hint="eastAsia" w:ascii="宋体" w:hAnsi="宋体" w:cs="宋体"/>
          <w:color w:val="auto"/>
          <w:kern w:val="0"/>
          <w:highlight w:val="none"/>
        </w:rPr>
        <w:t>不再集中召开招标答疑会；投标人自行组织勘察现场。</w:t>
      </w:r>
    </w:p>
    <w:p w14:paraId="34F64B67">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15.2投标预备会</w:t>
      </w:r>
    </w:p>
    <w:p w14:paraId="45926789">
      <w:pPr>
        <w:shd w:val="clear"/>
        <w:kinsoku/>
        <w:overflowPunct/>
        <w:topLinePunct w:val="0"/>
        <w:bidi w:val="0"/>
        <w:spacing w:line="500" w:lineRule="exact"/>
        <w:jc w:val="left"/>
        <w:rPr>
          <w:rFonts w:ascii="宋体" w:hAnsi="宋体" w:cs="宋体"/>
          <w:bCs/>
          <w:color w:val="auto"/>
          <w:highlight w:val="none"/>
        </w:rPr>
      </w:pPr>
      <w:r>
        <w:rPr>
          <w:rFonts w:hint="eastAsia" w:ascii="宋体" w:hAnsi="宋体" w:cs="宋体"/>
          <w:color w:val="auto"/>
          <w:highlight w:val="none"/>
        </w:rPr>
        <w:t>15.2.1本项目不组织投标预备会</w:t>
      </w:r>
      <w:r>
        <w:rPr>
          <w:rFonts w:hint="eastAsia" w:ascii="宋体" w:hAnsi="宋体" w:cs="宋体"/>
          <w:bCs/>
          <w:color w:val="auto"/>
          <w:highlight w:val="none"/>
        </w:rPr>
        <w:t>。</w:t>
      </w:r>
    </w:p>
    <w:p w14:paraId="5AD842A0">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16.招标文件的发出</w:t>
      </w:r>
    </w:p>
    <w:p w14:paraId="28439991">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16.1招标文件、招标文件的澄清、修改、补充及招标答疑等均应报招标人备案后，方可发出。</w:t>
      </w:r>
    </w:p>
    <w:p w14:paraId="6EDE8EDE">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17.最高投标限价的作用和说明</w:t>
      </w:r>
    </w:p>
    <w:p w14:paraId="1AB96239">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default" w:ascii="宋体" w:hAnsi="宋体" w:cs="宋体"/>
          <w:b/>
          <w:bCs/>
          <w:color w:val="auto"/>
          <w:highlight w:val="none"/>
          <w:lang w:val="en-US"/>
        </w:rPr>
      </w:pPr>
      <w:r>
        <w:rPr>
          <w:rFonts w:hint="eastAsia" w:ascii="宋体" w:hAnsi="宋体" w:cs="宋体"/>
          <w:b/>
          <w:bCs/>
          <w:color w:val="auto"/>
          <w:highlight w:val="none"/>
        </w:rPr>
        <w:t>17.1</w:t>
      </w:r>
      <w:r>
        <w:rPr>
          <w:rFonts w:hint="eastAsia" w:ascii="宋体" w:hAnsi="宋体" w:cs="宋体"/>
          <w:b/>
          <w:bCs/>
          <w:color w:val="auto"/>
          <w:sz w:val="21"/>
          <w:szCs w:val="21"/>
          <w:highlight w:val="none"/>
          <w:lang w:val="en-US" w:eastAsia="zh-CN"/>
        </w:rPr>
        <w:t>详见投标人须知前附表</w:t>
      </w:r>
    </w:p>
    <w:p w14:paraId="659658FD">
      <w:pPr>
        <w:shd w:val="clear"/>
        <w:kinsoku/>
        <w:overflowPunct/>
        <w:topLinePunct w:val="0"/>
        <w:bidi w:val="0"/>
        <w:spacing w:before="318" w:beforeLines="100" w:line="400" w:lineRule="exact"/>
        <w:jc w:val="center"/>
        <w:outlineLvl w:val="1"/>
        <w:rPr>
          <w:rFonts w:ascii="宋体" w:hAnsi="宋体" w:cs="宋体"/>
          <w:b/>
          <w:bCs/>
          <w:color w:val="auto"/>
          <w:sz w:val="28"/>
          <w:highlight w:val="none"/>
        </w:rPr>
      </w:pPr>
      <w:bookmarkStart w:id="46" w:name="_Toc24852"/>
      <w:bookmarkStart w:id="47" w:name="_Toc6831"/>
      <w:r>
        <w:rPr>
          <w:rFonts w:hint="eastAsia" w:ascii="宋体" w:hAnsi="宋体" w:cs="宋体"/>
          <w:b/>
          <w:bCs/>
          <w:color w:val="auto"/>
          <w:sz w:val="28"/>
          <w:highlight w:val="none"/>
        </w:rPr>
        <w:t>三、投标文件的编制</w:t>
      </w:r>
      <w:bookmarkEnd w:id="46"/>
      <w:bookmarkEnd w:id="47"/>
    </w:p>
    <w:p w14:paraId="143C5B9F">
      <w:pPr>
        <w:shd w:val="clear"/>
        <w:kinsoku/>
        <w:overflowPunct/>
        <w:topLinePunct w:val="0"/>
        <w:bidi w:val="0"/>
        <w:spacing w:line="500" w:lineRule="exact"/>
        <w:rPr>
          <w:rFonts w:ascii="宋体" w:hAnsi="宋体" w:cs="宋体"/>
          <w:b/>
          <w:bCs/>
          <w:color w:val="auto"/>
          <w:highlight w:val="none"/>
        </w:rPr>
      </w:pPr>
      <w:r>
        <w:rPr>
          <w:rFonts w:hint="eastAsia" w:ascii="宋体" w:hAnsi="宋体" w:cs="宋体"/>
          <w:b/>
          <w:bCs/>
          <w:color w:val="auto"/>
          <w:highlight w:val="none"/>
        </w:rPr>
        <w:t xml:space="preserve">18. 投标文件的组成 </w:t>
      </w:r>
    </w:p>
    <w:p w14:paraId="2918B883">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具体内容详见第五章投标文件格式内容。</w:t>
      </w:r>
    </w:p>
    <w:p w14:paraId="3D9CA93A">
      <w:pPr>
        <w:shd w:val="clear"/>
        <w:kinsoku/>
        <w:overflowPunct/>
        <w:topLinePunct w:val="0"/>
        <w:bidi w:val="0"/>
        <w:spacing w:line="440" w:lineRule="exact"/>
        <w:rPr>
          <w:rFonts w:ascii="宋体"/>
          <w:b/>
          <w:color w:val="auto"/>
          <w:highlight w:val="none"/>
        </w:rPr>
      </w:pPr>
      <w:r>
        <w:rPr>
          <w:rFonts w:hint="eastAsia" w:ascii="宋体"/>
          <w:b/>
          <w:color w:val="auto"/>
          <w:highlight w:val="none"/>
        </w:rPr>
        <w:t xml:space="preserve">19.投标文件的组成、上传说明 </w:t>
      </w:r>
    </w:p>
    <w:p w14:paraId="4F572344">
      <w:pPr>
        <w:shd w:val="clear"/>
        <w:kinsoku/>
        <w:overflowPunct/>
        <w:topLinePunct w:val="0"/>
        <w:bidi w:val="0"/>
        <w:spacing w:line="440" w:lineRule="exact"/>
        <w:rPr>
          <w:rFonts w:ascii="宋体" w:hAnsi="Calibri"/>
          <w:color w:val="auto"/>
          <w:highlight w:val="none"/>
        </w:rPr>
      </w:pPr>
      <w:r>
        <w:rPr>
          <w:rFonts w:hint="eastAsia" w:ascii="宋体" w:hAnsi="Calibri"/>
          <w:color w:val="auto"/>
          <w:highlight w:val="none"/>
        </w:rPr>
        <w:t xml:space="preserve">19.1 投标文件的组成 </w:t>
      </w:r>
    </w:p>
    <w:p w14:paraId="057D1C73">
      <w:pPr>
        <w:shd w:val="clear"/>
        <w:kinsoku/>
        <w:overflowPunct/>
        <w:topLinePunct w:val="0"/>
        <w:bidi w:val="0"/>
        <w:spacing w:line="440" w:lineRule="exact"/>
        <w:rPr>
          <w:rFonts w:ascii="宋体" w:hAnsi="Calibri"/>
          <w:color w:val="auto"/>
          <w:highlight w:val="none"/>
        </w:rPr>
      </w:pPr>
      <w:r>
        <w:rPr>
          <w:rFonts w:hint="eastAsia" w:ascii="宋体" w:hAnsi="Calibri"/>
          <w:color w:val="auto"/>
          <w:highlight w:val="none"/>
        </w:rPr>
        <w:t xml:space="preserve">具体内容详见第四章投标文件格式内容。 </w:t>
      </w:r>
    </w:p>
    <w:p w14:paraId="27355E99">
      <w:pPr>
        <w:shd w:val="clear"/>
        <w:kinsoku/>
        <w:overflowPunct/>
        <w:topLinePunct w:val="0"/>
        <w:bidi w:val="0"/>
        <w:spacing w:line="440" w:lineRule="exact"/>
        <w:rPr>
          <w:rFonts w:ascii="宋体" w:hAnsi="Calibri"/>
          <w:color w:val="auto"/>
          <w:highlight w:val="none"/>
        </w:rPr>
      </w:pPr>
      <w:r>
        <w:rPr>
          <w:rFonts w:hint="eastAsia" w:ascii="宋体" w:hAnsi="Calibri"/>
          <w:color w:val="auto"/>
          <w:highlight w:val="none"/>
        </w:rPr>
        <w:t xml:space="preserve">19.2 投标文件的上传 </w:t>
      </w:r>
    </w:p>
    <w:p w14:paraId="347C446C">
      <w:pPr>
        <w:shd w:val="clear"/>
        <w:kinsoku/>
        <w:overflowPunct/>
        <w:topLinePunct w:val="0"/>
        <w:bidi w:val="0"/>
        <w:spacing w:line="440" w:lineRule="exact"/>
        <w:ind w:firstLine="420" w:firstLineChars="200"/>
        <w:rPr>
          <w:rFonts w:ascii="宋体" w:hAnsi="Calibri"/>
          <w:color w:val="auto"/>
          <w:highlight w:val="none"/>
        </w:rPr>
      </w:pPr>
      <w:r>
        <w:rPr>
          <w:rFonts w:hint="eastAsia" w:ascii="宋体" w:hAnsi="Calibri"/>
          <w:color w:val="auto"/>
          <w:highlight w:val="none"/>
        </w:rPr>
        <w:t>（1）</w:t>
      </w:r>
      <w:r>
        <w:rPr>
          <w:rFonts w:hint="eastAsia" w:ascii="宋体" w:hAnsi="宋体" w:cs="宋体"/>
          <w:color w:val="auto"/>
          <w:highlight w:val="none"/>
        </w:rPr>
        <w:t>请投标人通过新点电子交易平台下载投标工具制作投标文件，并利用CA数字证书进行上传投标文件，上传已加密的投标文件，务必通过此方式上传投标文件</w:t>
      </w:r>
      <w:r>
        <w:rPr>
          <w:rFonts w:hint="eastAsia" w:ascii="宋体" w:hAnsi="Calibri"/>
          <w:color w:val="auto"/>
          <w:highlight w:val="none"/>
        </w:rPr>
        <w:t xml:space="preserve">。 </w:t>
      </w:r>
    </w:p>
    <w:p w14:paraId="74DCBE2D">
      <w:pPr>
        <w:shd w:val="clear"/>
        <w:kinsoku/>
        <w:overflowPunct/>
        <w:topLinePunct w:val="0"/>
        <w:bidi w:val="0"/>
        <w:spacing w:line="440" w:lineRule="exact"/>
        <w:ind w:firstLine="420" w:firstLineChars="200"/>
        <w:rPr>
          <w:rFonts w:ascii="宋体" w:hAnsi="Calibri"/>
          <w:color w:val="auto"/>
          <w:highlight w:val="none"/>
        </w:rPr>
      </w:pPr>
      <w:r>
        <w:rPr>
          <w:rFonts w:hint="eastAsia" w:ascii="宋体" w:hAnsi="Calibri"/>
          <w:color w:val="auto"/>
          <w:highlight w:val="none"/>
        </w:rPr>
        <w:t>（2）</w:t>
      </w:r>
      <w:r>
        <w:rPr>
          <w:rFonts w:hint="eastAsia" w:ascii="宋体" w:hAnsi="Calibri"/>
          <w:b/>
          <w:bCs/>
          <w:color w:val="auto"/>
          <w:highlight w:val="none"/>
        </w:rPr>
        <w:t>投标人在投标文件编制、签章、上传过程中如有任何操作的疑问请及时联系技术支持，电话：0512-58151515（工作日）或者网站首页在线客服</w:t>
      </w:r>
      <w:r>
        <w:rPr>
          <w:rFonts w:hint="eastAsia" w:ascii="宋体" w:hAnsi="Calibri"/>
          <w:color w:val="auto"/>
          <w:highlight w:val="none"/>
        </w:rPr>
        <w:t xml:space="preserve">。 </w:t>
      </w:r>
    </w:p>
    <w:p w14:paraId="4DC831E1">
      <w:pPr>
        <w:shd w:val="clear"/>
        <w:kinsoku/>
        <w:overflowPunct/>
        <w:topLinePunct w:val="0"/>
        <w:bidi w:val="0"/>
        <w:spacing w:line="440" w:lineRule="exact"/>
        <w:ind w:firstLine="420" w:firstLineChars="200"/>
        <w:rPr>
          <w:rFonts w:ascii="宋体" w:hAnsi="Calibri"/>
          <w:color w:val="auto"/>
          <w:highlight w:val="none"/>
        </w:rPr>
      </w:pPr>
      <w:r>
        <w:rPr>
          <w:rFonts w:hint="eastAsia" w:ascii="宋体" w:hAnsi="Calibri"/>
          <w:color w:val="auto"/>
          <w:highlight w:val="none"/>
        </w:rPr>
        <w:t xml:space="preserve">（3）如果因投标人自身原因导致投标文件在规定时间内未能解密、解密失败或解密超时，投标文件无效；因代理公司原因或网上平台发生故障，导致无法按时完成投标文件解密的，经代理公司申请后可延迟解密时间。 </w:t>
      </w:r>
    </w:p>
    <w:p w14:paraId="70650FB7">
      <w:pPr>
        <w:shd w:val="clear"/>
        <w:kinsoku/>
        <w:overflowPunct/>
        <w:topLinePunct w:val="0"/>
        <w:bidi w:val="0"/>
        <w:spacing w:line="440" w:lineRule="exact"/>
        <w:rPr>
          <w:rFonts w:ascii="宋体" w:hAnsi="Calibri"/>
          <w:color w:val="auto"/>
          <w:highlight w:val="none"/>
        </w:rPr>
      </w:pPr>
      <w:r>
        <w:rPr>
          <w:rFonts w:hint="eastAsia" w:ascii="宋体" w:hAnsi="Calibri"/>
          <w:color w:val="auto"/>
          <w:highlight w:val="none"/>
        </w:rPr>
        <w:t xml:space="preserve">19.3 投标文件的编制 </w:t>
      </w:r>
    </w:p>
    <w:p w14:paraId="65F510C1">
      <w:pPr>
        <w:shd w:val="clear"/>
        <w:kinsoku/>
        <w:overflowPunct/>
        <w:topLinePunct w:val="0"/>
        <w:bidi w:val="0"/>
        <w:spacing w:line="440" w:lineRule="exact"/>
        <w:ind w:firstLine="420" w:firstLineChars="200"/>
        <w:rPr>
          <w:rFonts w:ascii="宋体" w:hAnsi="Calibri"/>
          <w:color w:val="auto"/>
          <w:highlight w:val="none"/>
        </w:rPr>
      </w:pPr>
      <w:r>
        <w:rPr>
          <w:rFonts w:hint="eastAsia" w:ascii="宋体" w:hAnsi="Calibri"/>
          <w:color w:val="auto"/>
          <w:highlight w:val="none"/>
        </w:rPr>
        <w:t xml:space="preserve">（1）投标文件应按第四章“投标文件格式”进行编写，如有必要，可以增加附页，作为投标文件的组成部分。 </w:t>
      </w:r>
    </w:p>
    <w:p w14:paraId="1E95449A">
      <w:pPr>
        <w:shd w:val="clear"/>
        <w:kinsoku/>
        <w:overflowPunct/>
        <w:topLinePunct w:val="0"/>
        <w:bidi w:val="0"/>
        <w:spacing w:line="440" w:lineRule="exact"/>
        <w:ind w:firstLine="420" w:firstLineChars="200"/>
        <w:rPr>
          <w:rFonts w:ascii="宋体" w:hAnsi="Calibri"/>
          <w:color w:val="auto"/>
          <w:highlight w:val="none"/>
        </w:rPr>
      </w:pPr>
      <w:r>
        <w:rPr>
          <w:rFonts w:hint="eastAsia" w:ascii="宋体" w:hAnsi="Calibri"/>
          <w:color w:val="auto"/>
          <w:highlight w:val="none"/>
        </w:rPr>
        <w:t>（2）</w:t>
      </w:r>
      <w:r>
        <w:rPr>
          <w:rFonts w:hint="eastAsia" w:ascii="宋体" w:hAnsi="宋体" w:cs="宋体"/>
          <w:b/>
          <w:bCs/>
          <w:color w:val="auto"/>
          <w:highlight w:val="none"/>
        </w:rPr>
        <w:t>本次投标不需要提供纸质投标文件，投标人应按照电子招标投标的要求，在投标人的电子系统中制作、签章、上传加密的电子投标文件</w:t>
      </w:r>
      <w:r>
        <w:rPr>
          <w:rFonts w:hint="eastAsia" w:ascii="宋体" w:hAnsi="Calibri"/>
          <w:color w:val="auto"/>
          <w:highlight w:val="none"/>
        </w:rPr>
        <w:t xml:space="preserve">。 </w:t>
      </w:r>
    </w:p>
    <w:p w14:paraId="3DABC0A4">
      <w:pPr>
        <w:shd w:val="clear"/>
        <w:kinsoku/>
        <w:overflowPunct/>
        <w:topLinePunct w:val="0"/>
        <w:bidi w:val="0"/>
        <w:spacing w:line="440" w:lineRule="exact"/>
        <w:ind w:firstLine="420" w:firstLineChars="200"/>
        <w:rPr>
          <w:rFonts w:ascii="宋体" w:hAnsi="Calibri"/>
          <w:color w:val="auto"/>
          <w:highlight w:val="none"/>
        </w:rPr>
      </w:pPr>
      <w:r>
        <w:rPr>
          <w:rFonts w:hint="eastAsia" w:ascii="宋体" w:hAnsi="Calibri"/>
          <w:color w:val="auto"/>
          <w:highlight w:val="none"/>
        </w:rPr>
        <w:t xml:space="preserve">（3）网上递交的电子投标文件制作工具等要求详见系统内帮助模块。 </w:t>
      </w:r>
    </w:p>
    <w:p w14:paraId="1B5EDD58">
      <w:pPr>
        <w:shd w:val="clear"/>
        <w:kinsoku/>
        <w:overflowPunct/>
        <w:topLinePunct w:val="0"/>
        <w:bidi w:val="0"/>
        <w:spacing w:line="500" w:lineRule="exact"/>
        <w:ind w:firstLine="420" w:firstLineChars="200"/>
        <w:rPr>
          <w:rFonts w:ascii="宋体" w:hAnsi="Calibri"/>
          <w:color w:val="auto"/>
          <w:highlight w:val="none"/>
        </w:rPr>
      </w:pPr>
      <w:r>
        <w:rPr>
          <w:rFonts w:hint="eastAsia" w:ascii="宋体" w:hAnsi="Calibri"/>
          <w:color w:val="auto"/>
          <w:highlight w:val="none"/>
        </w:rPr>
        <w:t>（4）网上递交的电子投标文件应按招标文件规定的格式由投标人的法定代表人和投标人分别签章。</w:t>
      </w:r>
    </w:p>
    <w:p w14:paraId="178F2E00">
      <w:pPr>
        <w:pStyle w:val="2"/>
        <w:shd w:val="clear"/>
        <w:kinsoku/>
        <w:overflowPunct/>
        <w:topLinePunct w:val="0"/>
        <w:bidi w:val="0"/>
        <w:rPr>
          <w:rFonts w:ascii="宋体" w:hAnsi="Calibri"/>
          <w:color w:val="auto"/>
          <w:sz w:val="21"/>
          <w:szCs w:val="21"/>
          <w:highlight w:val="none"/>
        </w:rPr>
      </w:pPr>
      <w:r>
        <w:rPr>
          <w:rFonts w:hint="eastAsia" w:ascii="宋体" w:hAnsi="Calibri"/>
          <w:color w:val="auto"/>
          <w:sz w:val="21"/>
          <w:szCs w:val="21"/>
          <w:highlight w:val="none"/>
        </w:rPr>
        <w:t>（5）招标人有权核查投标人在投标文件中提供的资料，若在评标期间发现投标人提供了虚假资料，其投标将被否决；若发现投标人以他人名义投标或者以其他方式弄虚作假骗取中标的，中标无效；如果签订合同后发现中标人提供了虚假材料，招标人有权解除合同。同时招标人将投标人上述弄虚作假行为上报公共资源交易监督管理部门处理。</w:t>
      </w:r>
    </w:p>
    <w:p w14:paraId="1F28382F">
      <w:pPr>
        <w:shd w:val="clear"/>
        <w:kinsoku/>
        <w:overflowPunct/>
        <w:topLinePunct w:val="0"/>
        <w:bidi w:val="0"/>
        <w:adjustRightInd w:val="0"/>
        <w:snapToGrid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（6）投标文件的制作应满足以下规定：</w:t>
      </w:r>
    </w:p>
    <w:p w14:paraId="52917A57">
      <w:pPr>
        <w:shd w:val="clear"/>
        <w:kinsoku/>
        <w:overflowPunct/>
        <w:topLinePunct w:val="0"/>
        <w:bidi w:val="0"/>
        <w:adjustRightInd w:val="0"/>
        <w:snapToGrid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①投标文件由投标人使用新点电子交易平台提供的“投标文件制作工具”制作生成。“投标文件制作工具”可以通过电子交易系统下载。</w:t>
      </w:r>
    </w:p>
    <w:p w14:paraId="322C84A2">
      <w:pPr>
        <w:shd w:val="clear"/>
        <w:kinsoku/>
        <w:overflowPunct/>
        <w:topLinePunct w:val="0"/>
        <w:bidi w:val="0"/>
        <w:adjustRightInd w:val="0"/>
        <w:snapToGrid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②</w:t>
      </w:r>
      <w:r>
        <w:rPr>
          <w:rFonts w:hint="eastAsia" w:ascii="宋体" w:hAnsi="宋体" w:cs="宋体"/>
          <w:b/>
          <w:color w:val="auto"/>
          <w:highlight w:val="none"/>
        </w:rPr>
        <w:t>招标文件中“签章”是指签字或盖章。在“投标文件格式”中要求单位签章的，投标人应加盖投标人单位电子印章或直接上传加盖投标人单位印章原件彩色扫描件。要求个人签章的，加盖相应人员印章（或电子印章）或相应人员签字均可。</w:t>
      </w:r>
    </w:p>
    <w:p w14:paraId="0BFAC03F">
      <w:pPr>
        <w:shd w:val="clear"/>
        <w:kinsoku/>
        <w:overflowPunct/>
        <w:topLinePunct w:val="0"/>
        <w:bidi w:val="0"/>
        <w:adjustRightInd w:val="0"/>
        <w:snapToGrid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③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59F0F86E">
      <w:pPr>
        <w:shd w:val="clear"/>
        <w:kinsoku/>
        <w:overflowPunct/>
        <w:topLinePunct w:val="0"/>
        <w:bidi w:val="0"/>
        <w:adjustRightInd w:val="0"/>
        <w:snapToGrid w:val="0"/>
        <w:spacing w:line="440" w:lineRule="exact"/>
        <w:ind w:firstLine="420" w:firstLineChars="200"/>
        <w:rPr>
          <w:color w:val="auto"/>
          <w:highlight w:val="none"/>
        </w:rPr>
      </w:pPr>
      <w:r>
        <w:rPr>
          <w:rFonts w:hint="eastAsia" w:ascii="宋体" w:hAnsi="宋体" w:cs="宋体"/>
          <w:color w:val="auto"/>
          <w:kern w:val="0"/>
          <w:highlight w:val="none"/>
        </w:rPr>
        <w:t>（7）因投标人自身原因而导致投标文件无法导入电子交易系统电子开标、评标系统，该投标视为无效投标，投标人自行承担由此导致的全部责任。</w:t>
      </w:r>
    </w:p>
    <w:p w14:paraId="209CB759">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20.投标报价</w:t>
      </w:r>
    </w:p>
    <w:p w14:paraId="35F31BC6">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20.1投标人的投标报价包括按合同规定的范围所提供的全部服务所需的费用，即招标范围内人员工资、办公费用、专家评审费、成本、利润及税金等完成本项目所有工作所产生的全部费用。</w:t>
      </w:r>
    </w:p>
    <w:p w14:paraId="5858598B">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20.2 投标报价不按规定报价的，其投标文件按无效标处理。</w:t>
      </w:r>
    </w:p>
    <w:p w14:paraId="1CCCD7AF">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21.投标有效期</w:t>
      </w:r>
    </w:p>
    <w:p w14:paraId="45543850">
      <w:pPr>
        <w:shd w:val="clear"/>
        <w:kinsoku/>
        <w:overflowPunct/>
        <w:topLinePunct w:val="0"/>
        <w:bidi w:val="0"/>
        <w:spacing w:line="500" w:lineRule="exact"/>
        <w:rPr>
          <w:rFonts w:ascii="宋体" w:hAnsi="宋体" w:cs="宋体"/>
          <w:color w:val="auto"/>
          <w:highlight w:val="none"/>
        </w:rPr>
      </w:pPr>
      <w:r>
        <w:rPr>
          <w:rFonts w:hint="eastAsia" w:ascii="宋体" w:hAnsi="宋体" w:cs="宋体"/>
          <w:color w:val="auto"/>
          <w:highlight w:val="none"/>
        </w:rPr>
        <w:t>21.1投标有效期为</w:t>
      </w:r>
      <w:r>
        <w:rPr>
          <w:rFonts w:hint="eastAsia" w:ascii="宋体" w:hAnsi="宋体" w:cs="宋体"/>
          <w:color w:val="auto"/>
          <w:highlight w:val="none"/>
          <w:u w:val="single"/>
          <w:lang w:val="en-US" w:eastAsia="zh-CN"/>
        </w:rPr>
        <w:t>9</w:t>
      </w:r>
      <w:r>
        <w:rPr>
          <w:rFonts w:hint="eastAsia" w:ascii="宋体" w:hAnsi="宋体" w:cs="宋体"/>
          <w:color w:val="auto"/>
          <w:highlight w:val="none"/>
          <w:u w:val="single"/>
        </w:rPr>
        <w:t>0</w:t>
      </w:r>
      <w:r>
        <w:rPr>
          <w:rFonts w:hint="eastAsia" w:ascii="宋体" w:hAnsi="宋体" w:cs="宋体"/>
          <w:color w:val="auto"/>
          <w:highlight w:val="none"/>
        </w:rPr>
        <w:t>日历天（从投标截止之日算起）。在此期限内，凡符合本招标文件要求的投标文件均保持有效。</w:t>
      </w:r>
    </w:p>
    <w:p w14:paraId="31127E02">
      <w:pPr>
        <w:shd w:val="clear"/>
        <w:kinsoku/>
        <w:overflowPunct/>
        <w:topLinePunct w:val="0"/>
        <w:bidi w:val="0"/>
        <w:spacing w:line="500" w:lineRule="exact"/>
        <w:rPr>
          <w:rFonts w:ascii="宋体" w:hAnsi="宋体" w:cs="宋体"/>
          <w:color w:val="auto"/>
          <w:sz w:val="24"/>
          <w:highlight w:val="none"/>
        </w:rPr>
      </w:pPr>
      <w:r>
        <w:rPr>
          <w:rFonts w:hint="eastAsia" w:ascii="宋体" w:hAnsi="宋体" w:cs="宋体"/>
          <w:color w:val="auto"/>
          <w:highlight w:val="none"/>
        </w:rPr>
        <w:t>21.2 在特殊情况下，招标人在原定投标有效期内，可以根据需要以书面形式向投标人提出延长投标有效期的要求，对此要求投标人须以书面形式予以答复。投标人可以拒绝招标人这种要求，而不被没收投标保证金。同意延长投标有效期的投标人既不能要求也不允许修改其投标文件，但需要相应的延长投标担保的有效期，在延长的投标有效期内，本须知关于投标担保的退还与没收的规定仍然适用</w:t>
      </w:r>
      <w:r>
        <w:rPr>
          <w:rFonts w:hint="eastAsia" w:ascii="宋体" w:hAnsi="宋体" w:cs="宋体"/>
          <w:color w:val="auto"/>
          <w:sz w:val="24"/>
          <w:highlight w:val="none"/>
        </w:rPr>
        <w:t>。</w:t>
      </w:r>
    </w:p>
    <w:p w14:paraId="45D3A478">
      <w:pPr>
        <w:shd w:val="clear"/>
        <w:kinsoku/>
        <w:overflowPunct/>
        <w:topLinePunct w:val="0"/>
        <w:bidi w:val="0"/>
        <w:spacing w:before="318" w:beforeLines="100" w:line="500" w:lineRule="exact"/>
        <w:jc w:val="center"/>
        <w:outlineLvl w:val="1"/>
        <w:rPr>
          <w:rFonts w:ascii="宋体" w:hAnsi="宋体" w:cs="宋体"/>
          <w:color w:val="auto"/>
          <w:sz w:val="28"/>
          <w:szCs w:val="28"/>
          <w:highlight w:val="none"/>
        </w:rPr>
      </w:pPr>
      <w:bookmarkStart w:id="48" w:name="_Toc13407"/>
      <w:bookmarkStart w:id="49" w:name="_Toc27519"/>
      <w:r>
        <w:rPr>
          <w:rFonts w:hint="eastAsia" w:ascii="宋体" w:hAnsi="宋体" w:cs="宋体"/>
          <w:b/>
          <w:bCs/>
          <w:color w:val="auto"/>
          <w:sz w:val="28"/>
          <w:highlight w:val="none"/>
        </w:rPr>
        <w:t>四、投标文件的递交</w:t>
      </w:r>
      <w:bookmarkEnd w:id="48"/>
      <w:bookmarkEnd w:id="49"/>
    </w:p>
    <w:p w14:paraId="2C3BA890">
      <w:pPr>
        <w:shd w:val="clear"/>
        <w:kinsoku/>
        <w:overflowPunct/>
        <w:topLinePunct w:val="0"/>
        <w:bidi w:val="0"/>
        <w:spacing w:line="440" w:lineRule="exact"/>
        <w:rPr>
          <w:rFonts w:ascii="宋体"/>
          <w:b/>
          <w:bCs/>
          <w:color w:val="auto"/>
          <w:highlight w:val="none"/>
        </w:rPr>
      </w:pPr>
      <w:r>
        <w:rPr>
          <w:rFonts w:hint="eastAsia" w:ascii="宋体" w:hAnsi="宋体" w:cs="宋体"/>
          <w:b/>
          <w:bCs/>
          <w:color w:val="auto"/>
          <w:highlight w:val="none"/>
        </w:rPr>
        <w:t>22.</w:t>
      </w:r>
      <w:r>
        <w:rPr>
          <w:rFonts w:hint="eastAsia" w:ascii="宋体"/>
          <w:b/>
          <w:bCs/>
          <w:color w:val="auto"/>
          <w:highlight w:val="none"/>
        </w:rPr>
        <w:t>投标文件的份数和签署</w:t>
      </w:r>
    </w:p>
    <w:p w14:paraId="3648D5FE">
      <w:pPr>
        <w:shd w:val="clear"/>
        <w:kinsoku/>
        <w:overflowPunct/>
        <w:topLinePunct w:val="0"/>
        <w:bidi w:val="0"/>
        <w:spacing w:line="440" w:lineRule="exact"/>
        <w:jc w:val="left"/>
        <w:rPr>
          <w:rFonts w:ascii="宋体" w:hAnsi="宋体"/>
          <w:b/>
          <w:bCs/>
          <w:color w:val="auto"/>
          <w:highlight w:val="none"/>
        </w:rPr>
      </w:pPr>
      <w:r>
        <w:rPr>
          <w:rFonts w:hint="eastAsia" w:ascii="宋体"/>
          <w:b/>
          <w:bCs/>
          <w:color w:val="auto"/>
          <w:highlight w:val="none"/>
        </w:rPr>
        <w:t>22.1</w:t>
      </w:r>
      <w:r>
        <w:rPr>
          <w:rFonts w:hint="eastAsia" w:ascii="宋体" w:hAnsi="宋体" w:cs="宋体"/>
          <w:color w:val="auto"/>
          <w:kern w:val="0"/>
          <w:highlight w:val="none"/>
        </w:rPr>
        <w:t>投标人中标后须递交与网上电子投标文件完全一致的纸质版投标文件，在领取中标通知书时，一并递交给招标代理机构。</w:t>
      </w:r>
    </w:p>
    <w:p w14:paraId="1AB7A39E">
      <w:pPr>
        <w:shd w:val="clear"/>
        <w:kinsoku/>
        <w:overflowPunct/>
        <w:topLinePunct w:val="0"/>
        <w:bidi w:val="0"/>
        <w:spacing w:line="500" w:lineRule="exact"/>
        <w:jc w:val="left"/>
        <w:rPr>
          <w:rFonts w:ascii="宋体" w:hAnsi="宋体" w:cs="宋体"/>
          <w:color w:val="auto"/>
          <w:highlight w:val="none"/>
        </w:rPr>
      </w:pPr>
      <w:r>
        <w:rPr>
          <w:rFonts w:hint="eastAsia" w:ascii="宋体"/>
          <w:b/>
          <w:bCs/>
          <w:color w:val="auto"/>
          <w:highlight w:val="none"/>
        </w:rPr>
        <w:t xml:space="preserve">22.2 </w:t>
      </w:r>
      <w:r>
        <w:rPr>
          <w:rFonts w:hint="eastAsia" w:ascii="宋体" w:hAnsi="宋体"/>
          <w:b/>
          <w:color w:val="auto"/>
          <w:highlight w:val="none"/>
        </w:rPr>
        <w:t>电子投标文件须按格式文件要求签字或盖章（电子签章），否则经评委会一致认定后, 按照无效投标处理</w:t>
      </w:r>
      <w:r>
        <w:rPr>
          <w:rFonts w:hint="eastAsia" w:ascii="宋体" w:hAnsi="宋体" w:cs="宋体"/>
          <w:color w:val="auto"/>
          <w:highlight w:val="none"/>
        </w:rPr>
        <w:t>。</w:t>
      </w:r>
    </w:p>
    <w:p w14:paraId="2EAA4D6B">
      <w:pPr>
        <w:shd w:val="clear"/>
        <w:kinsoku/>
        <w:overflowPunct/>
        <w:topLinePunct w:val="0"/>
        <w:bidi w:val="0"/>
        <w:spacing w:line="440" w:lineRule="exact"/>
        <w:jc w:val="left"/>
        <w:rPr>
          <w:rFonts w:ascii="宋体" w:hAnsi="宋体"/>
          <w:b/>
          <w:bCs/>
          <w:color w:val="auto"/>
          <w:highlight w:val="none"/>
        </w:rPr>
      </w:pPr>
      <w:r>
        <w:rPr>
          <w:rFonts w:hint="eastAsia" w:ascii="宋体" w:hAnsi="宋体" w:cs="宋体"/>
          <w:b/>
          <w:bCs/>
          <w:color w:val="auto"/>
          <w:highlight w:val="none"/>
        </w:rPr>
        <w:t>23.</w:t>
      </w:r>
      <w:r>
        <w:rPr>
          <w:rFonts w:hint="eastAsia" w:ascii="宋体" w:hAnsi="宋体"/>
          <w:b/>
          <w:bCs/>
          <w:color w:val="auto"/>
          <w:highlight w:val="none"/>
        </w:rPr>
        <w:t>投标文件的</w:t>
      </w:r>
      <w:r>
        <w:rPr>
          <w:rFonts w:hint="eastAsia" w:ascii="宋体" w:hAnsi="宋体"/>
          <w:b/>
          <w:color w:val="auto"/>
          <w:highlight w:val="none"/>
        </w:rPr>
        <w:t>递</w:t>
      </w:r>
      <w:r>
        <w:rPr>
          <w:rFonts w:hint="eastAsia" w:ascii="宋体" w:hAnsi="宋体"/>
          <w:b/>
          <w:bCs/>
          <w:color w:val="auto"/>
          <w:highlight w:val="none"/>
        </w:rPr>
        <w:t>交</w:t>
      </w:r>
    </w:p>
    <w:p w14:paraId="28A21D7C">
      <w:pPr>
        <w:shd w:val="clear"/>
        <w:kinsoku/>
        <w:overflowPunct/>
        <w:topLinePunct w:val="0"/>
        <w:bidi w:val="0"/>
        <w:spacing w:line="500" w:lineRule="exact"/>
        <w:jc w:val="left"/>
        <w:rPr>
          <w:rFonts w:ascii="宋体" w:hAnsi="宋体" w:cs="宋体"/>
          <w:color w:val="auto"/>
          <w:highlight w:val="none"/>
        </w:rPr>
      </w:pPr>
      <w:r>
        <w:rPr>
          <w:rFonts w:hint="eastAsia" w:ascii="宋体" w:hAnsi="宋体"/>
          <w:b/>
          <w:color w:val="auto"/>
          <w:highlight w:val="none"/>
        </w:rPr>
        <w:t>23.1 投标人应当在投标截止时间前完成投标文件的网上递交，并可以补充、修改或者撤回投标文件。投标截止时间前未完成投标文件网上递交的，视为撤回投标文件。未按规定加密或投标截止时间后通过新点电子交易平台递交电子投标文件的，电子交易系统应当拒收，投标无效</w:t>
      </w:r>
      <w:r>
        <w:rPr>
          <w:rFonts w:hint="eastAsia" w:ascii="宋体" w:hAnsi="宋体" w:cs="宋体"/>
          <w:color w:val="auto"/>
          <w:highlight w:val="none"/>
        </w:rPr>
        <w:t>。</w:t>
      </w:r>
    </w:p>
    <w:p w14:paraId="745D834A">
      <w:pPr>
        <w:shd w:val="clear"/>
        <w:kinsoku/>
        <w:overflowPunct/>
        <w:topLinePunct w:val="0"/>
        <w:bidi w:val="0"/>
        <w:spacing w:line="440" w:lineRule="exact"/>
        <w:rPr>
          <w:rFonts w:ascii="宋体"/>
          <w:b/>
          <w:color w:val="auto"/>
          <w:highlight w:val="none"/>
        </w:rPr>
      </w:pPr>
      <w:r>
        <w:rPr>
          <w:rFonts w:hint="eastAsia" w:ascii="宋体"/>
          <w:b/>
          <w:color w:val="auto"/>
          <w:highlight w:val="none"/>
        </w:rPr>
        <w:t>24．投标文件的修改与撤回</w:t>
      </w:r>
    </w:p>
    <w:p w14:paraId="3A4F8CF3">
      <w:pPr>
        <w:shd w:val="clear"/>
        <w:kinsoku/>
        <w:overflowPunct/>
        <w:topLinePunct w:val="0"/>
        <w:bidi w:val="0"/>
        <w:spacing w:line="500" w:lineRule="exact"/>
        <w:rPr>
          <w:rFonts w:ascii="宋体" w:hAnsi="宋体" w:cs="宋体"/>
          <w:color w:val="auto"/>
          <w:sz w:val="28"/>
          <w:szCs w:val="28"/>
          <w:highlight w:val="none"/>
        </w:rPr>
      </w:pPr>
      <w:r>
        <w:rPr>
          <w:rFonts w:hint="eastAsia" w:ascii="宋体" w:hAnsi="宋体"/>
          <w:color w:val="auto"/>
          <w:highlight w:val="none"/>
        </w:rPr>
        <w:t xml:space="preserve">24.1 </w:t>
      </w:r>
      <w:r>
        <w:rPr>
          <w:rFonts w:hint="eastAsia" w:ascii="宋体" w:hAnsi="宋体" w:cs="宋体"/>
          <w:color w:val="auto"/>
          <w:highlight w:val="none"/>
        </w:rPr>
        <w:t>在“招标公告”规定的投标截止时间前，投标人可以自行从网上新点电子交易平台撤回已递交的投标文件，并可修改后重新加密上传，开标时以投标截止时间前投标人最终上传的投标文件为准。</w:t>
      </w:r>
    </w:p>
    <w:p w14:paraId="1CFA0C36">
      <w:pPr>
        <w:shd w:val="clear"/>
        <w:kinsoku/>
        <w:overflowPunct/>
        <w:topLinePunct w:val="0"/>
        <w:bidi w:val="0"/>
        <w:spacing w:before="318" w:beforeLines="100" w:line="500" w:lineRule="exact"/>
        <w:jc w:val="center"/>
        <w:outlineLvl w:val="1"/>
        <w:rPr>
          <w:rFonts w:ascii="宋体" w:hAnsi="宋体" w:cs="宋体"/>
          <w:b/>
          <w:bCs/>
          <w:color w:val="auto"/>
          <w:sz w:val="28"/>
          <w:highlight w:val="none"/>
        </w:rPr>
      </w:pPr>
      <w:bookmarkStart w:id="50" w:name="_Toc18173"/>
      <w:bookmarkStart w:id="51" w:name="_Toc24005"/>
      <w:r>
        <w:rPr>
          <w:rFonts w:hint="eastAsia" w:ascii="宋体" w:hAnsi="宋体" w:cs="宋体"/>
          <w:b/>
          <w:bCs/>
          <w:color w:val="auto"/>
          <w:sz w:val="28"/>
          <w:highlight w:val="none"/>
        </w:rPr>
        <w:t>五、开标、评标和定标</w:t>
      </w:r>
      <w:bookmarkEnd w:id="50"/>
      <w:bookmarkEnd w:id="51"/>
    </w:p>
    <w:p w14:paraId="55E1E145">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25.开标</w:t>
      </w:r>
    </w:p>
    <w:p w14:paraId="2AC74919">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25.1 开标的时间和地点</w:t>
      </w:r>
    </w:p>
    <w:p w14:paraId="540BF09E">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25.1.1招标人在“招标公告”规定的投标截止时间前（开标时间）和地点</w:t>
      </w:r>
      <w:r>
        <w:rPr>
          <w:color w:val="auto"/>
          <w:highlight w:val="none"/>
        </w:rPr>
        <w:t>通过</w:t>
      </w:r>
      <w:r>
        <w:rPr>
          <w:rFonts w:hint="eastAsia"/>
          <w:color w:val="auto"/>
          <w:highlight w:val="none"/>
        </w:rPr>
        <w:t>新点电子交易平台</w:t>
      </w:r>
      <w:r>
        <w:rPr>
          <w:color w:val="auto"/>
          <w:highlight w:val="none"/>
        </w:rPr>
        <w:t>公开开标</w:t>
      </w:r>
      <w:r>
        <w:rPr>
          <w:rFonts w:hint="eastAsia" w:ascii="宋体" w:hAnsi="宋体" w:cs="宋体"/>
          <w:color w:val="auto"/>
          <w:highlight w:val="none"/>
        </w:rPr>
        <w:t>。</w:t>
      </w:r>
    </w:p>
    <w:p w14:paraId="5273550C">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25.2 参与开标的相关部门：招标人等。</w:t>
      </w:r>
    </w:p>
    <w:p w14:paraId="06A8B14C">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25.3 开标程序</w:t>
      </w:r>
    </w:p>
    <w:p w14:paraId="0B17312A">
      <w:pPr>
        <w:shd w:val="clear"/>
        <w:kinsoku/>
        <w:wordWrap w:val="0"/>
        <w:overflowPunct/>
        <w:topLinePunct w:val="0"/>
        <w:bidi w:val="0"/>
        <w:spacing w:line="440" w:lineRule="exact"/>
        <w:ind w:right="-155" w:rightChars="-74" w:firstLine="210" w:firstLineChars="100"/>
        <w:jc w:val="left"/>
        <w:rPr>
          <w:rFonts w:ascii="宋体"/>
          <w:color w:val="auto"/>
          <w:highlight w:val="none"/>
        </w:rPr>
      </w:pPr>
      <w:r>
        <w:rPr>
          <w:rFonts w:hint="eastAsia" w:ascii="宋体"/>
          <w:color w:val="auto"/>
          <w:highlight w:val="none"/>
        </w:rPr>
        <w:t xml:space="preserve">开标会议由采购代理机构主持。 </w:t>
      </w:r>
    </w:p>
    <w:p w14:paraId="6404C028">
      <w:pPr>
        <w:shd w:val="clear"/>
        <w:kinsoku/>
        <w:wordWrap w:val="0"/>
        <w:overflowPunct/>
        <w:topLinePunct w:val="0"/>
        <w:bidi w:val="0"/>
        <w:spacing w:line="440" w:lineRule="exact"/>
        <w:ind w:right="-155" w:rightChars="-74" w:firstLine="210" w:firstLineChars="100"/>
        <w:jc w:val="left"/>
        <w:rPr>
          <w:rFonts w:ascii="宋体"/>
          <w:color w:val="auto"/>
          <w:highlight w:val="none"/>
        </w:rPr>
      </w:pPr>
      <w:r>
        <w:rPr>
          <w:rFonts w:hint="eastAsia" w:ascii="宋体"/>
          <w:color w:val="auto"/>
          <w:highlight w:val="none"/>
        </w:rPr>
        <w:t>（1）公布在投标截止时间前通过新点电子交易平台完成投标文件递交的投标人名称；</w:t>
      </w:r>
    </w:p>
    <w:p w14:paraId="4AD84D33">
      <w:pPr>
        <w:shd w:val="clear"/>
        <w:kinsoku/>
        <w:wordWrap w:val="0"/>
        <w:overflowPunct/>
        <w:topLinePunct w:val="0"/>
        <w:bidi w:val="0"/>
        <w:spacing w:line="440" w:lineRule="exact"/>
        <w:ind w:right="-155" w:rightChars="-74" w:firstLine="210" w:firstLineChars="100"/>
        <w:jc w:val="left"/>
        <w:rPr>
          <w:rFonts w:ascii="宋体"/>
          <w:color w:val="auto"/>
          <w:highlight w:val="none"/>
        </w:rPr>
      </w:pPr>
      <w:r>
        <w:rPr>
          <w:rFonts w:hint="eastAsia" w:ascii="宋体"/>
          <w:color w:val="auto"/>
          <w:highlight w:val="none"/>
        </w:rPr>
        <w:t>（2）投标人在投标截止时间后在投标人须知前附表规定的解密时间内完成投标文件的解密工作；</w:t>
      </w:r>
    </w:p>
    <w:p w14:paraId="28B1E2A7">
      <w:pPr>
        <w:shd w:val="clear"/>
        <w:kinsoku/>
        <w:wordWrap w:val="0"/>
        <w:overflowPunct/>
        <w:topLinePunct w:val="0"/>
        <w:bidi w:val="0"/>
        <w:spacing w:line="440" w:lineRule="exact"/>
        <w:ind w:right="-155" w:rightChars="-74" w:firstLine="210" w:firstLineChars="100"/>
        <w:jc w:val="left"/>
        <w:rPr>
          <w:rFonts w:ascii="宋体"/>
          <w:color w:val="auto"/>
          <w:highlight w:val="none"/>
        </w:rPr>
      </w:pPr>
      <w:r>
        <w:rPr>
          <w:rFonts w:hint="eastAsia" w:ascii="宋体"/>
          <w:color w:val="auto"/>
          <w:highlight w:val="none"/>
        </w:rPr>
        <w:t>（3）招标人或招标代理机构完成解密工作，导入并读取所有成功解密的投标文件；</w:t>
      </w:r>
    </w:p>
    <w:p w14:paraId="41676AAF">
      <w:pPr>
        <w:shd w:val="clear"/>
        <w:kinsoku/>
        <w:wordWrap w:val="0"/>
        <w:overflowPunct/>
        <w:topLinePunct w:val="0"/>
        <w:bidi w:val="0"/>
        <w:spacing w:line="440" w:lineRule="exact"/>
        <w:ind w:right="-155" w:rightChars="-74" w:firstLine="210" w:firstLineChars="100"/>
        <w:jc w:val="left"/>
        <w:rPr>
          <w:rFonts w:ascii="宋体"/>
          <w:color w:val="auto"/>
          <w:highlight w:val="none"/>
        </w:rPr>
      </w:pPr>
      <w:r>
        <w:rPr>
          <w:rFonts w:hint="eastAsia" w:ascii="宋体"/>
          <w:color w:val="auto"/>
          <w:highlight w:val="none"/>
        </w:rPr>
        <w:t>（4）按投标人须知前附表规定公布投标人名称、投标报价等内容；</w:t>
      </w:r>
    </w:p>
    <w:p w14:paraId="469BDD03">
      <w:pPr>
        <w:shd w:val="clear"/>
        <w:kinsoku/>
        <w:wordWrap w:val="0"/>
        <w:overflowPunct/>
        <w:topLinePunct w:val="0"/>
        <w:bidi w:val="0"/>
        <w:spacing w:line="440" w:lineRule="exact"/>
        <w:ind w:right="-155" w:rightChars="-74" w:firstLine="210" w:firstLineChars="100"/>
        <w:jc w:val="left"/>
        <w:rPr>
          <w:rFonts w:ascii="宋体"/>
          <w:color w:val="auto"/>
          <w:highlight w:val="none"/>
        </w:rPr>
      </w:pPr>
      <w:r>
        <w:rPr>
          <w:rFonts w:hint="eastAsia" w:ascii="宋体"/>
          <w:color w:val="auto"/>
          <w:highlight w:val="none"/>
        </w:rPr>
        <w:t xml:space="preserve">（5）开标结束。 </w:t>
      </w:r>
    </w:p>
    <w:p w14:paraId="074D597A">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25.4开标异议</w:t>
      </w:r>
    </w:p>
    <w:p w14:paraId="20887FB6">
      <w:pPr>
        <w:pStyle w:val="2"/>
        <w:shd w:val="clear"/>
        <w:kinsoku/>
        <w:overflowPunct/>
        <w:topLinePunct w:val="0"/>
        <w:bidi w:val="0"/>
        <w:rPr>
          <w:rFonts w:ascii="宋体"/>
          <w:color w:val="auto"/>
          <w:sz w:val="21"/>
          <w:szCs w:val="21"/>
          <w:highlight w:val="none"/>
        </w:rPr>
      </w:pPr>
      <w:r>
        <w:rPr>
          <w:rFonts w:hint="eastAsia" w:ascii="宋体"/>
          <w:color w:val="auto"/>
          <w:sz w:val="21"/>
          <w:szCs w:val="21"/>
          <w:highlight w:val="none"/>
        </w:rPr>
        <w:t>投标人对开标有异议的，应当在开标过程中提出，招标人在开标过程中作出答复，并制作记录。异议与答复应通过新点电子交易平台进行。</w:t>
      </w:r>
    </w:p>
    <w:p w14:paraId="7E5B0F00">
      <w:pPr>
        <w:shd w:val="clear"/>
        <w:kinsoku/>
        <w:overflowPunct/>
        <w:topLinePunct w:val="0"/>
        <w:bidi w:val="0"/>
        <w:spacing w:line="440" w:lineRule="exact"/>
        <w:jc w:val="left"/>
        <w:rPr>
          <w:rFonts w:ascii="宋体"/>
          <w:b/>
          <w:color w:val="auto"/>
          <w:highlight w:val="none"/>
        </w:rPr>
      </w:pPr>
      <w:r>
        <w:rPr>
          <w:rFonts w:hint="eastAsia" w:ascii="宋体" w:hAnsi="宋体" w:cs="宋体"/>
          <w:color w:val="auto"/>
          <w:highlight w:val="none"/>
        </w:rPr>
        <w:t>26.</w:t>
      </w:r>
      <w:r>
        <w:rPr>
          <w:rFonts w:hint="eastAsia" w:ascii="宋体"/>
          <w:b/>
          <w:color w:val="auto"/>
          <w:highlight w:val="none"/>
        </w:rPr>
        <w:t xml:space="preserve">评标委员会 </w:t>
      </w:r>
    </w:p>
    <w:p w14:paraId="15B6AEA7">
      <w:pPr>
        <w:shd w:val="clear"/>
        <w:kinsoku/>
        <w:overflowPunct/>
        <w:topLinePunct w:val="0"/>
        <w:bidi w:val="0"/>
        <w:spacing w:line="440" w:lineRule="exact"/>
        <w:jc w:val="left"/>
        <w:rPr>
          <w:rFonts w:ascii="宋体" w:hAnsi="宋体" w:cs="宋体"/>
          <w:color w:val="auto"/>
          <w:highlight w:val="none"/>
        </w:rPr>
      </w:pPr>
      <w:r>
        <w:rPr>
          <w:rFonts w:hint="eastAsia" w:ascii="宋体" w:hAnsi="宋体" w:cs="宋体"/>
          <w:color w:val="auto"/>
          <w:highlight w:val="none"/>
        </w:rPr>
        <w:t>26.1 评标委员会的组成</w:t>
      </w:r>
    </w:p>
    <w:p w14:paraId="5A6DE056">
      <w:pPr>
        <w:shd w:val="clear"/>
        <w:kinsoku/>
        <w:overflowPunct/>
        <w:topLinePunct w:val="0"/>
        <w:bidi w:val="0"/>
        <w:spacing w:line="440" w:lineRule="exact"/>
        <w:jc w:val="left"/>
        <w:rPr>
          <w:rFonts w:ascii="宋体" w:hAnsi="宋体" w:cs="宋体"/>
          <w:color w:val="auto"/>
          <w:highlight w:val="none"/>
        </w:rPr>
      </w:pPr>
      <w:r>
        <w:rPr>
          <w:rFonts w:hint="eastAsia" w:ascii="宋体" w:hAnsi="宋体" w:cs="宋体"/>
          <w:color w:val="auto"/>
          <w:highlight w:val="none"/>
        </w:rPr>
        <w:t>26.1.1评标由招标人依法组建的评标委员会负责。</w:t>
      </w:r>
    </w:p>
    <w:p w14:paraId="79FE7E09">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26.1.2评标委员会负责人依法推荐或确定。</w:t>
      </w:r>
    </w:p>
    <w:p w14:paraId="5F807C17">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26.2 评标委员会成员名单在中标结果确定前应当保密。</w:t>
      </w:r>
    </w:p>
    <w:p w14:paraId="1C1B424F">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26.3 招标人授权评标委员会对投标人资格进行审查。</w:t>
      </w:r>
    </w:p>
    <w:p w14:paraId="1DADBCA1">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26.4 评标委员会应当向招标人提出书面评标报告，并抄送有关行政监督部门。评标报告应当如实记载以下内容：</w:t>
      </w:r>
    </w:p>
    <w:p w14:paraId="788D953A">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（1）基本情况和数据表；</w:t>
      </w:r>
    </w:p>
    <w:p w14:paraId="7E649FA3">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（2）评标委员会成员名单；</w:t>
      </w:r>
    </w:p>
    <w:p w14:paraId="4FA5E4A6">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（3）开标记录；</w:t>
      </w:r>
    </w:p>
    <w:p w14:paraId="22522E4E">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（4）符合要求的投标人一览表；</w:t>
      </w:r>
    </w:p>
    <w:p w14:paraId="42B34413">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（5）无效情况说明；</w:t>
      </w:r>
    </w:p>
    <w:p w14:paraId="52BA45F3">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（6）评标标准、评标方法或者评标因素一览表；</w:t>
      </w:r>
    </w:p>
    <w:p w14:paraId="3AA7DEF3">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（7）经评审的价格或者评分比较一览表；</w:t>
      </w:r>
    </w:p>
    <w:p w14:paraId="580EC00A">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（8）投标人串标、围标等违规行为的确认报告；</w:t>
      </w:r>
    </w:p>
    <w:p w14:paraId="07DA4AB9">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（9）经评审的投标人排序；</w:t>
      </w:r>
    </w:p>
    <w:p w14:paraId="5FB2441A">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（10）推荐的中标候选人名单；</w:t>
      </w:r>
    </w:p>
    <w:p w14:paraId="54D5938C">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（11）澄清、说明、补正事项纪要。</w:t>
      </w:r>
    </w:p>
    <w:p w14:paraId="397A10FE">
      <w:pPr>
        <w:shd w:val="clear"/>
        <w:kinsoku/>
        <w:overflowPunct/>
        <w:topLinePunct w:val="0"/>
        <w:bidi w:val="0"/>
        <w:spacing w:line="440" w:lineRule="exact"/>
        <w:ind w:firstLine="205" w:firstLineChars="98"/>
        <w:jc w:val="left"/>
        <w:rPr>
          <w:rFonts w:ascii="宋体"/>
          <w:bCs/>
          <w:color w:val="auto"/>
          <w:highlight w:val="none"/>
        </w:rPr>
      </w:pPr>
      <w:r>
        <w:rPr>
          <w:rFonts w:hint="eastAsia" w:ascii="宋体" w:hAnsi="宋体" w:cs="宋体"/>
          <w:color w:val="auto"/>
          <w:highlight w:val="none"/>
        </w:rPr>
        <w:t>26.5评标委员会应自觉接受有关监督管理部门的现场监督，评标委员会成员与评标活动有关的工作人员和监督人员不得向他人透露对投标文件的评审和比较、中标候选人的推荐以及与评标有关的其他情况。投标文件及与评标有关的资料应当保密</w:t>
      </w:r>
      <w:r>
        <w:rPr>
          <w:rFonts w:hint="eastAsia" w:ascii="宋体"/>
          <w:bCs/>
          <w:color w:val="auto"/>
          <w:highlight w:val="none"/>
        </w:rPr>
        <w:t xml:space="preserve">。 </w:t>
      </w:r>
    </w:p>
    <w:p w14:paraId="1EF9E445">
      <w:pPr>
        <w:shd w:val="clear"/>
        <w:kinsoku/>
        <w:overflowPunct/>
        <w:topLinePunct w:val="0"/>
        <w:bidi w:val="0"/>
        <w:spacing w:line="440" w:lineRule="exact"/>
        <w:jc w:val="left"/>
        <w:rPr>
          <w:rFonts w:ascii="宋体"/>
          <w:b/>
          <w:color w:val="auto"/>
          <w:highlight w:val="none"/>
        </w:rPr>
      </w:pPr>
      <w:r>
        <w:rPr>
          <w:rFonts w:hint="eastAsia" w:ascii="宋体"/>
          <w:b/>
          <w:color w:val="auto"/>
          <w:highlight w:val="none"/>
        </w:rPr>
        <w:t xml:space="preserve">27. 评标 </w:t>
      </w:r>
    </w:p>
    <w:p w14:paraId="40F05EDF">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27.1  评标准备工作</w:t>
      </w:r>
    </w:p>
    <w:p w14:paraId="4AD0B6EC">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27.1.1阅读由招标人或招标代理单位编写的招标项目情况的说明材料；</w:t>
      </w:r>
    </w:p>
    <w:p w14:paraId="363B2ADD">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27.1.2阅读、研究招标文件和相关评标资料，获取评标所需要的重要信息和数据；</w:t>
      </w:r>
    </w:p>
    <w:p w14:paraId="1E82C39F">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27.1.3熟悉招标文件规定的评标方法及在评标过程中需要考虑的相关因素；</w:t>
      </w:r>
    </w:p>
    <w:p w14:paraId="5F02999D">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27.1.4核对评标工作用表。</w:t>
      </w:r>
    </w:p>
    <w:p w14:paraId="2CB7EB60">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27.2  评标办法</w:t>
      </w:r>
    </w:p>
    <w:p w14:paraId="5D52A992">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27.2.1评标委员会按照第二章“评标办法”规定的方法、评审因素、标准和程序对投标文件进行评审。第二章“评标办法”没有规定的方法、评审因素和标准，不作为评标依据。</w:t>
      </w:r>
    </w:p>
    <w:p w14:paraId="4E050674">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27.3评标原则：</w:t>
      </w:r>
    </w:p>
    <w:p w14:paraId="3512B7B0">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遵循公平、公正、科学和择优的原则。</w:t>
      </w:r>
    </w:p>
    <w:p w14:paraId="62AFB617">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27.4 投标文件的澄清</w:t>
      </w:r>
    </w:p>
    <w:p w14:paraId="1A3E2AA7">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27.4.1 在评标过程中，评标委员会认为需要，可要求投标人对投标文件中的有关问题进行澄清或提供补充说明及有关资料，投标人应做出答复，答复将视为投标文件的组成部分，答复中不得变更价格、服务期、自报质量等实质性内容。</w:t>
      </w:r>
      <w:r>
        <w:rPr>
          <w:rFonts w:hint="eastAsia" w:ascii="宋体" w:hAnsi="宋体" w:cs="宋体"/>
          <w:b/>
          <w:bCs/>
          <w:color w:val="auto"/>
          <w:highlight w:val="none"/>
        </w:rPr>
        <w:t>本项目采用远程开标，具体操作方法详见服务指南&gt;交易须知&gt;开标大厅远程解密、质疑(异议)及回复以及评标过程中询标流程操作手册。</w:t>
      </w:r>
    </w:p>
    <w:p w14:paraId="32873A23">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27.4.2投标截止时间后，投标人对投标报价或其它实质性内容修正的函件和增加的任何优惠条件，一律不得作为评标、定标的依据。</w:t>
      </w:r>
    </w:p>
    <w:p w14:paraId="58F16412">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27.4.3 招标人不接受投标人主动提出的澄清。</w:t>
      </w:r>
    </w:p>
    <w:p w14:paraId="566F6B7C">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27.5评审意见分歧的处理办法</w:t>
      </w:r>
    </w:p>
    <w:p w14:paraId="471E8DE3">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（1）评标委员会应当对投标人提供的报告、证明材料及详细说明认真研究。对存在意见分歧的，可采用投票方式表决决定（按多数评委意见为准）；</w:t>
      </w:r>
    </w:p>
    <w:p w14:paraId="1D12B2B4">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（2）招标投标当事人对评标结果提出质疑或者投诉，公共资源交易监督机构认为需要重新进行评标的，评标委员会成员应当按照公共资源交易监督机构要求重新评标。</w:t>
      </w:r>
    </w:p>
    <w:p w14:paraId="120F222F">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27.6评标报告的签署</w:t>
      </w:r>
    </w:p>
    <w:p w14:paraId="2F055057">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27.6.1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16D05C4C">
      <w:pPr>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27.7评标过程的保密</w:t>
      </w:r>
    </w:p>
    <w:p w14:paraId="15E73113">
      <w:pPr>
        <w:shd w:val="clear"/>
        <w:kinsoku/>
        <w:overflowPunct/>
        <w:topLinePunct w:val="0"/>
        <w:bidi w:val="0"/>
        <w:spacing w:line="440" w:lineRule="exact"/>
        <w:ind w:firstLine="205" w:firstLineChars="98"/>
        <w:jc w:val="left"/>
        <w:rPr>
          <w:rFonts w:ascii="宋体"/>
          <w:bCs/>
          <w:color w:val="auto"/>
          <w:highlight w:val="none"/>
        </w:rPr>
      </w:pPr>
      <w:r>
        <w:rPr>
          <w:rFonts w:hint="eastAsia" w:ascii="宋体" w:hAnsi="宋体" w:cs="宋体"/>
          <w:color w:val="auto"/>
          <w:highlight w:val="none"/>
        </w:rPr>
        <w:t> 评标委员会成员和与评标活动有关的工作人员不得透露对投标文件的评审和比较、中标候选人的推荐情况以及与评标有关的其他情况</w:t>
      </w:r>
      <w:r>
        <w:rPr>
          <w:rFonts w:hint="eastAsia" w:ascii="宋体"/>
          <w:bCs/>
          <w:color w:val="auto"/>
          <w:highlight w:val="none"/>
        </w:rPr>
        <w:t xml:space="preserve">。 </w:t>
      </w:r>
    </w:p>
    <w:p w14:paraId="767C2551">
      <w:pPr>
        <w:shd w:val="clear"/>
        <w:kinsoku/>
        <w:overflowPunct/>
        <w:topLinePunct w:val="0"/>
        <w:bidi w:val="0"/>
        <w:spacing w:line="440" w:lineRule="exact"/>
        <w:rPr>
          <w:rFonts w:hint="eastAsia" w:ascii="宋体" w:hAnsi="宋体" w:eastAsia="宋体" w:cs="宋体"/>
          <w:b/>
          <w:bCs/>
          <w:color w:val="auto"/>
          <w:highlight w:val="none"/>
          <w:lang w:eastAsia="zh-CN"/>
        </w:rPr>
      </w:pPr>
      <w:r>
        <w:rPr>
          <w:rFonts w:hint="eastAsia" w:ascii="宋体" w:hAnsi="宋体" w:cs="宋体"/>
          <w:b/>
          <w:bCs/>
          <w:color w:val="auto"/>
          <w:highlight w:val="none"/>
        </w:rPr>
        <w:t>27.8评</w:t>
      </w:r>
      <w:r>
        <w:rPr>
          <w:rFonts w:hint="eastAsia" w:ascii="宋体" w:hAnsi="宋体" w:cs="宋体"/>
          <w:b/>
          <w:bCs/>
          <w:color w:val="auto"/>
          <w:highlight w:val="none"/>
          <w:lang w:val="en-US" w:eastAsia="zh-CN"/>
        </w:rPr>
        <w:t>审</w:t>
      </w:r>
      <w:r>
        <w:rPr>
          <w:rFonts w:hint="eastAsia" w:ascii="宋体" w:hAnsi="宋体" w:cs="宋体"/>
          <w:b/>
          <w:bCs/>
          <w:color w:val="auto"/>
          <w:highlight w:val="none"/>
        </w:rPr>
        <w:t>结果</w:t>
      </w:r>
      <w:r>
        <w:rPr>
          <w:rFonts w:hint="eastAsia" w:ascii="宋体" w:hAnsi="宋体" w:cs="宋体"/>
          <w:b/>
          <w:bCs/>
          <w:color w:val="auto"/>
          <w:highlight w:val="none"/>
          <w:lang w:val="en-US" w:eastAsia="zh-CN"/>
        </w:rPr>
        <w:t>公示</w:t>
      </w:r>
    </w:p>
    <w:p w14:paraId="2A237370">
      <w:pPr>
        <w:shd w:val="clear"/>
        <w:kinsoku/>
        <w:overflowPunct/>
        <w:topLinePunct w:val="0"/>
        <w:bidi w:val="0"/>
        <w:spacing w:line="440" w:lineRule="exact"/>
        <w:ind w:firstLine="422" w:firstLineChars="200"/>
        <w:jc w:val="left"/>
        <w:rPr>
          <w:rFonts w:ascii="宋体"/>
          <w:bCs/>
          <w:color w:val="auto"/>
          <w:highlight w:val="none"/>
        </w:rPr>
      </w:pPr>
      <w:r>
        <w:rPr>
          <w:rFonts w:hint="eastAsia" w:ascii="宋体" w:hAnsi="宋体" w:cs="宋体"/>
          <w:b/>
          <w:bCs/>
          <w:color w:val="auto"/>
          <w:highlight w:val="none"/>
        </w:rPr>
        <w:t>招标人应将中标人的情况在滁州市城投工程咨询管理有限公司（https://www.czctgczx.com/）等网站上予以公示，公示期为3日</w:t>
      </w:r>
      <w:r>
        <w:rPr>
          <w:rFonts w:hint="eastAsia" w:ascii="宋体"/>
          <w:bCs/>
          <w:color w:val="auto"/>
          <w:highlight w:val="none"/>
        </w:rPr>
        <w:t xml:space="preserve">。 </w:t>
      </w:r>
    </w:p>
    <w:p w14:paraId="7F2DF2BF">
      <w:pPr>
        <w:shd w:val="clear"/>
        <w:kinsoku/>
        <w:overflowPunct/>
        <w:topLinePunct w:val="0"/>
        <w:bidi w:val="0"/>
        <w:spacing w:line="440" w:lineRule="exact"/>
        <w:jc w:val="left"/>
        <w:rPr>
          <w:rFonts w:ascii="宋体" w:hAnsi="宋体" w:cs="宋体"/>
          <w:b/>
          <w:color w:val="auto"/>
          <w:highlight w:val="none"/>
        </w:rPr>
      </w:pPr>
      <w:r>
        <w:rPr>
          <w:rFonts w:hint="eastAsia" w:ascii="宋体" w:hAnsi="宋体" w:cs="宋体"/>
          <w:b/>
          <w:color w:val="auto"/>
          <w:highlight w:val="none"/>
        </w:rPr>
        <w:t>28. 定标</w:t>
      </w:r>
    </w:p>
    <w:p w14:paraId="28873F35">
      <w:pPr>
        <w:pStyle w:val="18"/>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28.1 中标人的确定</w:t>
      </w:r>
    </w:p>
    <w:p w14:paraId="024D6D5C">
      <w:pPr>
        <w:pStyle w:val="18"/>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28.1.1除投标人须知前附表规定评标委员会直接确定中标人外，招标人依据评标委员会推荐的中标候选人确定中标人，评标委员会推荐中标候选人的人数见投标人须知前附表。</w:t>
      </w:r>
    </w:p>
    <w:p w14:paraId="64FC1E81">
      <w:pPr>
        <w:pStyle w:val="18"/>
        <w:shd w:val="clear"/>
        <w:kinsoku/>
        <w:wordWrap w:val="0"/>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28.1.2中标人确定后，招标人应将中标信息在滁州市城投工程咨询管理有限公司（https://www.czctgczx.com/）等网站上公告。</w:t>
      </w:r>
    </w:p>
    <w:p w14:paraId="57E53B0C">
      <w:pPr>
        <w:pStyle w:val="18"/>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28.2 中标通知书</w:t>
      </w:r>
    </w:p>
    <w:p w14:paraId="7CDD6B9F">
      <w:pPr>
        <w:pStyle w:val="18"/>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28.2.1招标人或招标代理机构应在中标人确定之日起2个工作日内，向中标人发出中标通知书。</w:t>
      </w:r>
    </w:p>
    <w:p w14:paraId="75F37FAB">
      <w:pPr>
        <w:pStyle w:val="18"/>
        <w:shd w:val="clear"/>
        <w:kinsoku/>
        <w:overflowPunct/>
        <w:topLinePunct w:val="0"/>
        <w:bidi w:val="0"/>
        <w:spacing w:line="440" w:lineRule="exact"/>
        <w:rPr>
          <w:rFonts w:ascii="宋体" w:hAnsi="宋体" w:cs="宋体"/>
          <w:color w:val="auto"/>
          <w:highlight w:val="none"/>
        </w:rPr>
      </w:pPr>
      <w:r>
        <w:rPr>
          <w:rFonts w:hint="eastAsia" w:ascii="宋体" w:hAnsi="宋体" w:cs="宋体"/>
          <w:color w:val="auto"/>
          <w:highlight w:val="none"/>
        </w:rPr>
        <w:t>28.2.2中标通知书须加盖招标人、招标代理机构公章后，方可发出。</w:t>
      </w:r>
    </w:p>
    <w:p w14:paraId="41D9D9BD">
      <w:pPr>
        <w:shd w:val="clear"/>
        <w:kinsoku/>
        <w:overflowPunct/>
        <w:topLinePunct w:val="0"/>
        <w:bidi w:val="0"/>
        <w:spacing w:line="440" w:lineRule="exact"/>
        <w:jc w:val="left"/>
        <w:rPr>
          <w:rFonts w:ascii="宋体" w:hAnsi="宋体" w:cs="宋体"/>
          <w:b/>
          <w:color w:val="auto"/>
          <w:highlight w:val="none"/>
        </w:rPr>
      </w:pPr>
      <w:r>
        <w:rPr>
          <w:rFonts w:hint="eastAsia" w:ascii="宋体" w:hAnsi="宋体" w:cs="宋体"/>
          <w:b/>
          <w:color w:val="auto"/>
          <w:highlight w:val="none"/>
        </w:rPr>
        <w:t>29. 开评标异常情况处理</w:t>
      </w:r>
    </w:p>
    <w:p w14:paraId="59E9BEEB">
      <w:pPr>
        <w:shd w:val="clear"/>
        <w:kinsoku/>
        <w:overflowPunct/>
        <w:topLinePunct w:val="0"/>
        <w:bidi w:val="0"/>
        <w:spacing w:line="440" w:lineRule="exact"/>
        <w:rPr>
          <w:rFonts w:ascii="宋体" w:hAnsi="宋体" w:cs="宋体"/>
          <w:color w:val="auto"/>
          <w:kern w:val="10"/>
          <w:highlight w:val="none"/>
        </w:rPr>
      </w:pPr>
      <w:r>
        <w:rPr>
          <w:rFonts w:hint="eastAsia" w:ascii="宋体" w:hAnsi="宋体" w:cs="宋体"/>
          <w:color w:val="auto"/>
          <w:kern w:val="10"/>
          <w:highlight w:val="none"/>
        </w:rPr>
        <w:t xml:space="preserve">29.1重新招标 </w:t>
      </w:r>
    </w:p>
    <w:p w14:paraId="24669654">
      <w:pPr>
        <w:shd w:val="clear"/>
        <w:kinsoku/>
        <w:overflowPunct/>
        <w:topLinePunct w:val="0"/>
        <w:bidi w:val="0"/>
        <w:spacing w:line="440" w:lineRule="exact"/>
        <w:ind w:firstLine="420" w:firstLineChars="200"/>
        <w:rPr>
          <w:rFonts w:ascii="宋体" w:hAnsi="宋体" w:cs="宋体"/>
          <w:color w:val="auto"/>
          <w:kern w:val="10"/>
          <w:highlight w:val="none"/>
        </w:rPr>
      </w:pPr>
      <w:r>
        <w:rPr>
          <w:rFonts w:hint="eastAsia" w:ascii="宋体" w:hAnsi="宋体" w:cs="宋体"/>
          <w:color w:val="auto"/>
          <w:kern w:val="10"/>
          <w:highlight w:val="none"/>
        </w:rPr>
        <w:t>有下列情形之一的，招标人将重新招标：</w:t>
      </w:r>
    </w:p>
    <w:p w14:paraId="0E9C89BA">
      <w:pPr>
        <w:shd w:val="clear"/>
        <w:kinsoku/>
        <w:overflowPunct/>
        <w:topLinePunct w:val="0"/>
        <w:bidi w:val="0"/>
        <w:adjustRightInd w:val="0"/>
        <w:snapToGrid w:val="0"/>
        <w:spacing w:line="460" w:lineRule="exact"/>
        <w:ind w:firstLine="420" w:firstLineChars="200"/>
        <w:rPr>
          <w:rFonts w:ascii="宋体" w:hAnsi="宋体" w:cs="宋体"/>
          <w:color w:val="auto"/>
          <w:kern w:val="10"/>
          <w:highlight w:val="none"/>
        </w:rPr>
      </w:pPr>
      <w:r>
        <w:rPr>
          <w:rFonts w:hint="eastAsia" w:ascii="宋体" w:hAnsi="宋体" w:cs="宋体"/>
          <w:color w:val="auto"/>
          <w:kern w:val="10"/>
          <w:highlight w:val="none"/>
        </w:rPr>
        <w:t xml:space="preserve">(1)投标截止时间止，投标人少于三个的； </w:t>
      </w:r>
    </w:p>
    <w:p w14:paraId="7F3846E9">
      <w:pPr>
        <w:shd w:val="clear"/>
        <w:kinsoku/>
        <w:overflowPunct/>
        <w:topLinePunct w:val="0"/>
        <w:bidi w:val="0"/>
        <w:adjustRightInd w:val="0"/>
        <w:snapToGrid w:val="0"/>
        <w:spacing w:line="460" w:lineRule="exact"/>
        <w:ind w:firstLine="420" w:firstLineChars="200"/>
        <w:rPr>
          <w:rFonts w:ascii="宋体" w:hAnsi="宋体" w:cs="宋体"/>
          <w:color w:val="auto"/>
          <w:kern w:val="10"/>
          <w:highlight w:val="none"/>
        </w:rPr>
      </w:pPr>
      <w:r>
        <w:rPr>
          <w:rFonts w:hint="eastAsia" w:ascii="宋体" w:hAnsi="宋体" w:cs="宋体"/>
          <w:color w:val="auto"/>
          <w:kern w:val="10"/>
          <w:highlight w:val="none"/>
        </w:rPr>
        <w:t>(2)经评标委员会评审后否决所有投标的；</w:t>
      </w:r>
    </w:p>
    <w:p w14:paraId="674B2320">
      <w:pPr>
        <w:shd w:val="clear"/>
        <w:kinsoku/>
        <w:overflowPunct/>
        <w:topLinePunct w:val="0"/>
        <w:bidi w:val="0"/>
        <w:adjustRightInd w:val="0"/>
        <w:snapToGrid w:val="0"/>
        <w:spacing w:line="460" w:lineRule="exact"/>
        <w:ind w:firstLine="420" w:firstLineChars="200"/>
        <w:rPr>
          <w:rFonts w:ascii="宋体" w:hAnsi="宋体" w:cs="宋体"/>
          <w:color w:val="auto"/>
          <w:kern w:val="10"/>
          <w:highlight w:val="none"/>
        </w:rPr>
      </w:pPr>
      <w:r>
        <w:rPr>
          <w:rFonts w:hint="eastAsia" w:ascii="宋体" w:hAnsi="宋体" w:cs="宋体"/>
          <w:color w:val="auto"/>
          <w:kern w:val="10"/>
          <w:highlight w:val="none"/>
        </w:rPr>
        <w:t>(3)出现影响采购公正的违法、违规行为的；</w:t>
      </w:r>
    </w:p>
    <w:p w14:paraId="396BDDB9">
      <w:pPr>
        <w:shd w:val="clear"/>
        <w:kinsoku/>
        <w:overflowPunct/>
        <w:topLinePunct w:val="0"/>
        <w:bidi w:val="0"/>
        <w:adjustRightInd w:val="0"/>
        <w:snapToGrid w:val="0"/>
        <w:spacing w:line="460" w:lineRule="exact"/>
        <w:ind w:firstLine="420" w:firstLineChars="200"/>
        <w:rPr>
          <w:rFonts w:ascii="宋体" w:hAnsi="宋体" w:cs="宋体"/>
          <w:color w:val="auto"/>
          <w:kern w:val="10"/>
          <w:highlight w:val="none"/>
        </w:rPr>
      </w:pPr>
      <w:r>
        <w:rPr>
          <w:rFonts w:hint="eastAsia" w:ascii="宋体" w:hAnsi="宋体" w:cs="宋体"/>
          <w:color w:val="auto"/>
          <w:kern w:val="10"/>
          <w:highlight w:val="none"/>
        </w:rPr>
        <w:t>(4)投标人的报价均脱离实际且无充分证据的；</w:t>
      </w:r>
    </w:p>
    <w:p w14:paraId="3616215A">
      <w:pPr>
        <w:shd w:val="clear"/>
        <w:kinsoku/>
        <w:overflowPunct/>
        <w:topLinePunct w:val="0"/>
        <w:bidi w:val="0"/>
        <w:adjustRightInd w:val="0"/>
        <w:snapToGrid w:val="0"/>
        <w:spacing w:line="460" w:lineRule="exact"/>
        <w:ind w:firstLine="420" w:firstLineChars="200"/>
        <w:rPr>
          <w:rFonts w:ascii="宋体" w:hAnsi="宋体" w:cs="宋体"/>
          <w:color w:val="auto"/>
          <w:kern w:val="10"/>
          <w:highlight w:val="none"/>
        </w:rPr>
      </w:pPr>
      <w:r>
        <w:rPr>
          <w:rFonts w:hint="eastAsia" w:ascii="宋体" w:hAnsi="宋体" w:cs="宋体"/>
          <w:color w:val="auto"/>
          <w:kern w:val="10"/>
          <w:highlight w:val="none"/>
        </w:rPr>
        <w:t>(5)因重大变故，采购任务取消的。</w:t>
      </w:r>
    </w:p>
    <w:p w14:paraId="44A98D24">
      <w:pPr>
        <w:shd w:val="clear"/>
        <w:kinsoku/>
        <w:overflowPunct/>
        <w:topLinePunct w:val="0"/>
        <w:bidi w:val="0"/>
        <w:spacing w:line="440" w:lineRule="exact"/>
        <w:rPr>
          <w:rFonts w:ascii="宋体" w:hAnsi="宋体" w:cs="宋体"/>
          <w:color w:val="auto"/>
          <w:kern w:val="10"/>
          <w:highlight w:val="none"/>
        </w:rPr>
      </w:pPr>
      <w:r>
        <w:rPr>
          <w:rFonts w:hint="eastAsia" w:ascii="宋体" w:hAnsi="宋体" w:cs="宋体"/>
          <w:color w:val="auto"/>
          <w:kern w:val="10"/>
          <w:highlight w:val="none"/>
        </w:rPr>
        <w:t>29.2变更采购方式</w:t>
      </w:r>
    </w:p>
    <w:p w14:paraId="36100CED">
      <w:pPr>
        <w:shd w:val="clear"/>
        <w:kinsoku/>
        <w:overflowPunct/>
        <w:topLinePunct w:val="0"/>
        <w:bidi w:val="0"/>
        <w:spacing w:line="440" w:lineRule="exact"/>
        <w:rPr>
          <w:rFonts w:ascii="宋体" w:hAnsi="宋体" w:cs="宋体"/>
          <w:color w:val="auto"/>
          <w:kern w:val="10"/>
          <w:highlight w:val="none"/>
        </w:rPr>
      </w:pPr>
      <w:r>
        <w:rPr>
          <w:rFonts w:hint="eastAsia" w:ascii="宋体" w:hAnsi="宋体" w:cs="宋体"/>
          <w:color w:val="auto"/>
          <w:kern w:val="10"/>
          <w:highlight w:val="none"/>
        </w:rPr>
        <w:t xml:space="preserve">    /。</w:t>
      </w:r>
    </w:p>
    <w:p w14:paraId="2F6232D4">
      <w:pPr>
        <w:shd w:val="clear"/>
        <w:kinsoku/>
        <w:overflowPunct/>
        <w:topLinePunct w:val="0"/>
        <w:bidi w:val="0"/>
        <w:spacing w:before="318" w:beforeLines="100" w:line="500" w:lineRule="exact"/>
        <w:jc w:val="center"/>
        <w:outlineLvl w:val="1"/>
        <w:rPr>
          <w:rFonts w:ascii="宋体" w:hAnsi="宋体" w:cs="宋体"/>
          <w:b/>
          <w:bCs/>
          <w:color w:val="auto"/>
          <w:sz w:val="28"/>
          <w:highlight w:val="none"/>
        </w:rPr>
      </w:pPr>
      <w:bookmarkStart w:id="52" w:name="_Toc22926"/>
      <w:bookmarkStart w:id="53" w:name="_Toc21491"/>
      <w:r>
        <w:rPr>
          <w:rFonts w:hint="eastAsia" w:ascii="宋体" w:hAnsi="宋体" w:cs="宋体"/>
          <w:b/>
          <w:bCs/>
          <w:color w:val="auto"/>
          <w:sz w:val="28"/>
          <w:highlight w:val="none"/>
        </w:rPr>
        <w:t>六、合同的授予</w:t>
      </w:r>
      <w:bookmarkEnd w:id="52"/>
      <w:bookmarkEnd w:id="53"/>
    </w:p>
    <w:p w14:paraId="4487C07B">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30.合同授予标准</w:t>
      </w:r>
    </w:p>
    <w:p w14:paraId="3E90836E">
      <w:pPr>
        <w:shd w:val="clear"/>
        <w:kinsoku/>
        <w:overflowPunct/>
        <w:topLinePunct w:val="0"/>
        <w:bidi w:val="0"/>
        <w:spacing w:line="500" w:lineRule="exact"/>
        <w:jc w:val="left"/>
        <w:rPr>
          <w:rFonts w:ascii="宋体" w:hAnsi="宋体" w:cs="宋体"/>
          <w:b/>
          <w:bCs/>
          <w:color w:val="auto"/>
          <w:highlight w:val="none"/>
        </w:rPr>
      </w:pPr>
      <w:r>
        <w:rPr>
          <w:rFonts w:hint="eastAsia" w:ascii="宋体" w:hAnsi="宋体" w:cs="宋体"/>
          <w:color w:val="auto"/>
          <w:highlight w:val="none"/>
        </w:rPr>
        <w:t>30.1本招标工程的合同授予按本须知第28条规定所确定的中标人。</w:t>
      </w:r>
    </w:p>
    <w:p w14:paraId="37F0501B">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31.合同协议书的签订</w:t>
      </w:r>
    </w:p>
    <w:p w14:paraId="4353C42E">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31.1中标通知书发放后30日内，按照招标文件和中标人的投标文件订立书面合同。招标人和中标人不得再行订立背离合同实质性内容的其他协议。</w:t>
      </w:r>
    </w:p>
    <w:p w14:paraId="0DF5EE60">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31.2中标人如不按本投标人须知第28条的规定与招标人订立合同，则招标人将取消其中标资格，给招标人造成的损失超过投标担保数额的，还应当对超过部分予以赔偿，同时依法承担相应法律责任。</w:t>
      </w:r>
    </w:p>
    <w:p w14:paraId="126868C3">
      <w:pPr>
        <w:shd w:val="clear"/>
        <w:kinsoku/>
        <w:overflowPunct/>
        <w:topLinePunct w:val="0"/>
        <w:bidi w:val="0"/>
        <w:spacing w:line="500" w:lineRule="exact"/>
        <w:jc w:val="left"/>
        <w:rPr>
          <w:rFonts w:ascii="宋体" w:hAnsi="宋体" w:cs="宋体"/>
          <w:color w:val="auto"/>
          <w:highlight w:val="none"/>
        </w:rPr>
      </w:pPr>
      <w:r>
        <w:rPr>
          <w:rFonts w:hint="eastAsia" w:ascii="宋体" w:hAnsi="宋体" w:cs="宋体"/>
          <w:color w:val="auto"/>
          <w:highlight w:val="none"/>
        </w:rPr>
        <w:t xml:space="preserve">31.3中标人应当按照合同约定履行义务，完成中标项目的实施，不得将中标项目转让（转包）给他人。 </w:t>
      </w:r>
      <w:bookmarkStart w:id="54" w:name="_Toc3222"/>
      <w:bookmarkStart w:id="55" w:name="_Toc31589_WPSOffice_Level1"/>
      <w:r>
        <w:rPr>
          <w:rFonts w:hint="eastAsia" w:ascii="宋体" w:hAnsi="宋体" w:cs="宋体"/>
          <w:color w:val="auto"/>
          <w:highlight w:val="none"/>
        </w:rPr>
        <w:t xml:space="preserve"> </w:t>
      </w:r>
    </w:p>
    <w:p w14:paraId="191A87AA">
      <w:pPr>
        <w:shd w:val="clear"/>
        <w:kinsoku/>
        <w:overflowPunct/>
        <w:topLinePunct w:val="0"/>
        <w:bidi w:val="0"/>
        <w:spacing w:before="318" w:beforeLines="100" w:line="500" w:lineRule="exact"/>
        <w:jc w:val="center"/>
        <w:outlineLvl w:val="1"/>
        <w:rPr>
          <w:rFonts w:ascii="宋体" w:hAnsi="宋体" w:cs="宋体"/>
          <w:b/>
          <w:bCs/>
          <w:color w:val="auto"/>
          <w:sz w:val="28"/>
          <w:highlight w:val="none"/>
        </w:rPr>
      </w:pPr>
      <w:r>
        <w:rPr>
          <w:rFonts w:hint="eastAsia" w:ascii="宋体" w:hAnsi="宋体" w:cs="宋体"/>
          <w:b/>
          <w:bCs/>
          <w:color w:val="auto"/>
          <w:sz w:val="28"/>
          <w:highlight w:val="none"/>
        </w:rPr>
        <w:t>七、纪律和监督</w:t>
      </w:r>
    </w:p>
    <w:p w14:paraId="03627B54">
      <w:pPr>
        <w:shd w:val="clear"/>
        <w:kinsoku/>
        <w:overflowPunct/>
        <w:topLinePunct w:val="0"/>
        <w:bidi w:val="0"/>
        <w:spacing w:line="440" w:lineRule="exact"/>
        <w:jc w:val="left"/>
        <w:rPr>
          <w:rFonts w:ascii="宋体" w:hAnsi="宋体" w:cs="宋体"/>
          <w:b/>
          <w:color w:val="auto"/>
          <w:highlight w:val="none"/>
        </w:rPr>
      </w:pPr>
      <w:r>
        <w:rPr>
          <w:rFonts w:hint="eastAsia" w:ascii="宋体" w:hAnsi="宋体" w:cs="宋体"/>
          <w:b/>
          <w:color w:val="auto"/>
          <w:highlight w:val="none"/>
        </w:rPr>
        <w:t xml:space="preserve">32. 对招标人的纪律要求 </w:t>
      </w:r>
    </w:p>
    <w:p w14:paraId="3219CC35">
      <w:pPr>
        <w:shd w:val="clear"/>
        <w:kinsoku/>
        <w:overflowPunct/>
        <w:topLinePunct w:val="0"/>
        <w:bidi w:val="0"/>
        <w:adjustRightInd w:val="0"/>
        <w:snapToGrid w:val="0"/>
        <w:spacing w:line="440" w:lineRule="exact"/>
        <w:rPr>
          <w:rFonts w:ascii="宋体" w:hAnsi="宋体" w:cs="宋体"/>
          <w:color w:val="auto"/>
          <w:kern w:val="10"/>
          <w:highlight w:val="none"/>
        </w:rPr>
      </w:pPr>
      <w:r>
        <w:rPr>
          <w:rFonts w:hint="eastAsia" w:ascii="宋体" w:hAnsi="宋体" w:cs="宋体"/>
          <w:color w:val="auto"/>
          <w:kern w:val="10"/>
          <w:highlight w:val="none"/>
        </w:rPr>
        <w:t xml:space="preserve">32.1招标人不得泄漏招标投标活动中应当保密的情况和资料，不得与投标人串通损害国家利益，社会公共利益或者他人合法权益。 </w:t>
      </w:r>
    </w:p>
    <w:p w14:paraId="30BB7931">
      <w:pPr>
        <w:shd w:val="clear"/>
        <w:kinsoku/>
        <w:overflowPunct/>
        <w:topLinePunct w:val="0"/>
        <w:bidi w:val="0"/>
        <w:spacing w:line="440" w:lineRule="exact"/>
        <w:jc w:val="left"/>
        <w:rPr>
          <w:rFonts w:ascii="宋体" w:hAnsi="宋体" w:cs="宋体"/>
          <w:b/>
          <w:color w:val="auto"/>
          <w:highlight w:val="none"/>
        </w:rPr>
      </w:pPr>
      <w:r>
        <w:rPr>
          <w:rFonts w:hint="eastAsia" w:ascii="宋体" w:hAnsi="宋体" w:cs="宋体"/>
          <w:b/>
          <w:color w:val="auto"/>
          <w:highlight w:val="none"/>
        </w:rPr>
        <w:t xml:space="preserve">33. 对投标人的纪律要求 </w:t>
      </w:r>
    </w:p>
    <w:p w14:paraId="7DD4FAF2">
      <w:pPr>
        <w:shd w:val="clear"/>
        <w:kinsoku/>
        <w:overflowPunct/>
        <w:topLinePunct w:val="0"/>
        <w:bidi w:val="0"/>
        <w:adjustRightInd w:val="0"/>
        <w:snapToGrid w:val="0"/>
        <w:spacing w:line="440" w:lineRule="exact"/>
        <w:rPr>
          <w:rFonts w:ascii="宋体" w:hAnsi="宋体" w:cs="宋体"/>
          <w:color w:val="auto"/>
          <w:kern w:val="10"/>
          <w:highlight w:val="none"/>
        </w:rPr>
      </w:pPr>
      <w:r>
        <w:rPr>
          <w:rFonts w:hint="eastAsia" w:ascii="宋体" w:hAnsi="宋体" w:cs="宋体"/>
          <w:color w:val="auto"/>
          <w:kern w:val="10"/>
          <w:highlight w:val="none"/>
        </w:rPr>
        <w:t>33.1投标人不得相互串通投标或者与招标人串通投标，不得向招标人或者评标委员会成员行贿谋取中标，不得以他人名义投标或者以其他方式弄虚作假骗取中标；投标人不得以任何方式干扰、影响评标工作。</w:t>
      </w:r>
    </w:p>
    <w:p w14:paraId="4F383F1F">
      <w:pPr>
        <w:shd w:val="clear"/>
        <w:kinsoku/>
        <w:overflowPunct/>
        <w:topLinePunct w:val="0"/>
        <w:bidi w:val="0"/>
        <w:spacing w:line="440" w:lineRule="exact"/>
        <w:jc w:val="left"/>
        <w:rPr>
          <w:rFonts w:ascii="宋体" w:hAnsi="宋体" w:cs="宋体"/>
          <w:b/>
          <w:color w:val="auto"/>
          <w:highlight w:val="none"/>
        </w:rPr>
      </w:pPr>
      <w:r>
        <w:rPr>
          <w:rFonts w:hint="eastAsia" w:ascii="宋体" w:hAnsi="宋体" w:cs="宋体"/>
          <w:b/>
          <w:color w:val="auto"/>
          <w:highlight w:val="none"/>
        </w:rPr>
        <w:t xml:space="preserve">34. 对评标委员会成员的纪律要求 </w:t>
      </w:r>
    </w:p>
    <w:p w14:paraId="5E64A449">
      <w:pPr>
        <w:shd w:val="clear"/>
        <w:kinsoku/>
        <w:overflowPunct/>
        <w:topLinePunct w:val="0"/>
        <w:bidi w:val="0"/>
        <w:adjustRightInd w:val="0"/>
        <w:snapToGrid w:val="0"/>
        <w:spacing w:line="440" w:lineRule="exact"/>
        <w:rPr>
          <w:rFonts w:ascii="宋体" w:hAnsi="宋体" w:cs="宋体"/>
          <w:color w:val="auto"/>
          <w:kern w:val="10"/>
          <w:highlight w:val="none"/>
        </w:rPr>
      </w:pPr>
      <w:r>
        <w:rPr>
          <w:rFonts w:hint="eastAsia" w:ascii="宋体" w:hAnsi="宋体" w:cs="宋体"/>
          <w:color w:val="auto"/>
          <w:kern w:val="10"/>
          <w:highlight w:val="none"/>
        </w:rPr>
        <w:t>34.1评标委员会成员不得收受他人的财物或者其他好处，不得向他人透漏对投标文件的评审和比较、中标候选人的推荐情况以及评标有关的其他情况。</w:t>
      </w:r>
    </w:p>
    <w:p w14:paraId="599B85AB">
      <w:pPr>
        <w:shd w:val="clear"/>
        <w:kinsoku/>
        <w:overflowPunct/>
        <w:topLinePunct w:val="0"/>
        <w:bidi w:val="0"/>
        <w:adjustRightInd w:val="0"/>
        <w:snapToGrid w:val="0"/>
        <w:spacing w:line="440" w:lineRule="exact"/>
        <w:rPr>
          <w:rFonts w:ascii="宋体" w:hAnsi="宋体" w:cs="宋体"/>
          <w:color w:val="auto"/>
          <w:kern w:val="10"/>
          <w:highlight w:val="none"/>
        </w:rPr>
      </w:pPr>
      <w:r>
        <w:rPr>
          <w:rFonts w:hint="eastAsia" w:ascii="宋体" w:hAnsi="宋体" w:cs="宋体"/>
          <w:color w:val="auto"/>
          <w:kern w:val="10"/>
          <w:highlight w:val="none"/>
        </w:rPr>
        <w:t xml:space="preserve">34.2在评标活动中，评标委员会成员不得擅离职守，影响评标程序正常进行，不得使用第二章“评标办法”没有规定的评审因素和标准进行评标。 </w:t>
      </w:r>
    </w:p>
    <w:p w14:paraId="287059BB">
      <w:pPr>
        <w:shd w:val="clear"/>
        <w:kinsoku/>
        <w:overflowPunct/>
        <w:topLinePunct w:val="0"/>
        <w:bidi w:val="0"/>
        <w:spacing w:line="440" w:lineRule="exact"/>
        <w:jc w:val="left"/>
        <w:rPr>
          <w:rFonts w:ascii="宋体" w:hAnsi="宋体" w:cs="宋体"/>
          <w:b/>
          <w:color w:val="auto"/>
          <w:highlight w:val="none"/>
        </w:rPr>
      </w:pPr>
      <w:r>
        <w:rPr>
          <w:rFonts w:hint="eastAsia" w:ascii="宋体" w:hAnsi="宋体" w:cs="宋体"/>
          <w:b/>
          <w:color w:val="auto"/>
          <w:highlight w:val="none"/>
        </w:rPr>
        <w:t xml:space="preserve">35. 对与评标活动有关的工作人员的纪律要求 </w:t>
      </w:r>
    </w:p>
    <w:p w14:paraId="15433A97">
      <w:pPr>
        <w:shd w:val="clear"/>
        <w:kinsoku/>
        <w:overflowPunct/>
        <w:topLinePunct w:val="0"/>
        <w:bidi w:val="0"/>
        <w:adjustRightInd w:val="0"/>
        <w:snapToGrid w:val="0"/>
        <w:spacing w:line="440" w:lineRule="exact"/>
        <w:rPr>
          <w:rFonts w:ascii="宋体"/>
          <w:color w:val="auto"/>
          <w:kern w:val="10"/>
          <w:highlight w:val="none"/>
        </w:rPr>
      </w:pPr>
      <w:r>
        <w:rPr>
          <w:rFonts w:hint="eastAsia" w:ascii="宋体" w:hAnsi="宋体" w:cs="宋体"/>
          <w:color w:val="auto"/>
          <w:kern w:val="10"/>
          <w:highlight w:val="none"/>
        </w:rPr>
        <w:t>35.1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r>
        <w:rPr>
          <w:rFonts w:hint="eastAsia" w:ascii="宋体"/>
          <w:color w:val="auto"/>
          <w:kern w:val="10"/>
          <w:highlight w:val="none"/>
        </w:rPr>
        <w:t>。</w:t>
      </w:r>
    </w:p>
    <w:p w14:paraId="03466001">
      <w:pPr>
        <w:shd w:val="clear"/>
        <w:kinsoku/>
        <w:overflowPunct/>
        <w:topLinePunct w:val="0"/>
        <w:bidi w:val="0"/>
        <w:spacing w:before="318" w:beforeLines="100" w:line="500" w:lineRule="exact"/>
        <w:jc w:val="center"/>
        <w:outlineLvl w:val="1"/>
        <w:rPr>
          <w:rFonts w:ascii="宋体" w:hAnsi="宋体" w:cs="宋体"/>
          <w:b/>
          <w:bCs/>
          <w:color w:val="auto"/>
          <w:sz w:val="28"/>
          <w:highlight w:val="none"/>
        </w:rPr>
      </w:pPr>
      <w:bookmarkStart w:id="56" w:name="_Toc449028875"/>
      <w:r>
        <w:rPr>
          <w:rFonts w:hint="eastAsia" w:ascii="宋体" w:hAnsi="宋体" w:cs="宋体"/>
          <w:b/>
          <w:bCs/>
          <w:color w:val="auto"/>
          <w:sz w:val="28"/>
          <w:highlight w:val="none"/>
        </w:rPr>
        <w:t>八、质疑</w:t>
      </w:r>
      <w:bookmarkEnd w:id="56"/>
    </w:p>
    <w:p w14:paraId="6151DB78">
      <w:pPr>
        <w:shd w:val="clear"/>
        <w:kinsoku/>
        <w:overflowPunct/>
        <w:topLinePunct w:val="0"/>
        <w:bidi w:val="0"/>
        <w:spacing w:line="440" w:lineRule="exact"/>
        <w:jc w:val="left"/>
        <w:rPr>
          <w:rFonts w:ascii="宋体" w:hAnsi="宋体" w:cs="宋体"/>
          <w:b/>
          <w:color w:val="auto"/>
          <w:highlight w:val="none"/>
        </w:rPr>
      </w:pPr>
      <w:r>
        <w:rPr>
          <w:rFonts w:hint="eastAsia" w:ascii="宋体" w:hAnsi="宋体" w:cs="宋体"/>
          <w:b/>
          <w:color w:val="auto"/>
          <w:highlight w:val="none"/>
        </w:rPr>
        <w:t>36. 询问、质疑</w:t>
      </w:r>
    </w:p>
    <w:p w14:paraId="681E72BD">
      <w:pPr>
        <w:shd w:val="clear"/>
        <w:kinsoku/>
        <w:overflowPunct/>
        <w:topLinePunct w:val="0"/>
        <w:bidi w:val="0"/>
        <w:spacing w:line="440" w:lineRule="exact"/>
        <w:jc w:val="left"/>
        <w:rPr>
          <w:rFonts w:ascii="宋体" w:hAnsi="宋体" w:cs="宋体"/>
          <w:color w:val="auto"/>
          <w:highlight w:val="none"/>
        </w:rPr>
      </w:pPr>
      <w:r>
        <w:rPr>
          <w:rFonts w:hint="eastAsia" w:ascii="宋体" w:hAnsi="宋体" w:cs="宋体"/>
          <w:color w:val="auto"/>
          <w:highlight w:val="none"/>
        </w:rPr>
        <w:t>36.1 投标人对招标活动事项有疑问的，可以向招标人提出询问，招标人将在三日内作出答复，但答复的内容不涉及商业秘密。</w:t>
      </w:r>
    </w:p>
    <w:p w14:paraId="1EEBEDD0">
      <w:pPr>
        <w:shd w:val="clear"/>
        <w:kinsoku/>
        <w:overflowPunct/>
        <w:topLinePunct w:val="0"/>
        <w:bidi w:val="0"/>
        <w:spacing w:line="440" w:lineRule="exact"/>
        <w:jc w:val="left"/>
        <w:rPr>
          <w:rFonts w:ascii="宋体" w:hAnsi="宋体" w:cs="宋体"/>
          <w:color w:val="auto"/>
          <w:highlight w:val="none"/>
        </w:rPr>
      </w:pPr>
      <w:r>
        <w:rPr>
          <w:rFonts w:hint="eastAsia" w:ascii="宋体" w:hAnsi="宋体" w:cs="宋体"/>
          <w:color w:val="auto"/>
          <w:highlight w:val="none"/>
        </w:rPr>
        <w:t>36.2 投标人和其他利害关系人认为本次招标活动违反法律、法规和规章规定的，有权向有关行政监督部门投诉。投诉应当有明确的请求和必要的证明材料。</w:t>
      </w:r>
    </w:p>
    <w:p w14:paraId="35F7A0DF">
      <w:pPr>
        <w:shd w:val="clear"/>
        <w:kinsoku/>
        <w:overflowPunct/>
        <w:topLinePunct w:val="0"/>
        <w:bidi w:val="0"/>
        <w:spacing w:line="440" w:lineRule="exact"/>
        <w:jc w:val="left"/>
        <w:rPr>
          <w:rFonts w:ascii="宋体" w:hAnsi="宋体" w:cs="宋体"/>
          <w:color w:val="auto"/>
          <w:highlight w:val="none"/>
        </w:rPr>
      </w:pPr>
      <w:r>
        <w:rPr>
          <w:rFonts w:hint="eastAsia" w:ascii="宋体" w:hAnsi="宋体" w:cs="宋体"/>
          <w:color w:val="auto"/>
          <w:highlight w:val="none"/>
        </w:rPr>
        <w:t>36.3投标人或其他利害关系人对评标结果有异议的，应在公示期间提出。招标人将在收到异议之日起3日内作出答复；作出答复前，将暂停招标投标活动。</w:t>
      </w:r>
      <w:r>
        <w:rPr>
          <w:rFonts w:hint="eastAsia" w:ascii="宋体" w:hAnsi="宋体" w:cs="宋体"/>
          <w:b/>
          <w:bCs/>
          <w:color w:val="auto"/>
          <w:highlight w:val="none"/>
        </w:rPr>
        <w:t>注：一份质疑（异议）函只能针对一个项目提出质疑（异议），且针对同一招标采购程序环节的质疑（异议）应当一次性提出。</w:t>
      </w:r>
    </w:p>
    <w:p w14:paraId="02F1E92F">
      <w:pPr>
        <w:shd w:val="clear"/>
        <w:kinsoku/>
        <w:overflowPunct/>
        <w:topLinePunct w:val="0"/>
        <w:bidi w:val="0"/>
        <w:spacing w:line="440" w:lineRule="exact"/>
        <w:jc w:val="left"/>
        <w:rPr>
          <w:rFonts w:ascii="宋体" w:hAnsi="宋体" w:cs="宋体"/>
          <w:color w:val="auto"/>
          <w:highlight w:val="none"/>
        </w:rPr>
      </w:pPr>
      <w:r>
        <w:rPr>
          <w:rFonts w:hint="eastAsia" w:ascii="宋体" w:hAnsi="宋体" w:cs="宋体"/>
          <w:color w:val="auto"/>
          <w:highlight w:val="none"/>
        </w:rPr>
        <w:t>36.4参与投标的投标人对中标公告提出的质疑，负有举证的责任。投标人提出质疑应当提交质疑函和必要的证明材料。质疑函应当包括下列内容：</w:t>
      </w:r>
    </w:p>
    <w:p w14:paraId="7DD76C00">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（一）投标人的姓名或者名称、地址、邮编、联系人及联系电话；</w:t>
      </w:r>
    </w:p>
    <w:p w14:paraId="527F356B">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（二）质疑项目的名称、编号；</w:t>
      </w:r>
    </w:p>
    <w:p w14:paraId="747398F6">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（三）具体、明确的质疑事项和与质疑事项相关的请求；</w:t>
      </w:r>
    </w:p>
    <w:p w14:paraId="59EEA873">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（四）事实依据；</w:t>
      </w:r>
    </w:p>
    <w:p w14:paraId="65D4E98A">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（五）必要的法律依据；</w:t>
      </w:r>
    </w:p>
    <w:p w14:paraId="5FEF3E1D">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（六）提出质疑的日期。</w:t>
      </w:r>
    </w:p>
    <w:p w14:paraId="61C7C692">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　投标人为自然人的，应当由本人签字；投标人为法人或者其他组织的，应当由法定代表人、主要负责人，或者其授权代表签字或者盖章，并加盖公章。</w:t>
      </w:r>
    </w:p>
    <w:p w14:paraId="369E4A19">
      <w:pPr>
        <w:shd w:val="clear"/>
        <w:kinsoku/>
        <w:overflowPunct/>
        <w:topLinePunct w:val="0"/>
        <w:bidi w:val="0"/>
        <w:spacing w:line="440" w:lineRule="exact"/>
        <w:jc w:val="left"/>
        <w:rPr>
          <w:rFonts w:ascii="宋体" w:hAnsi="宋体" w:cs="宋体"/>
          <w:color w:val="auto"/>
          <w:highlight w:val="none"/>
        </w:rPr>
      </w:pPr>
      <w:r>
        <w:rPr>
          <w:rFonts w:hint="eastAsia" w:ascii="宋体" w:hAnsi="宋体" w:cs="宋体"/>
          <w:color w:val="auto"/>
          <w:highlight w:val="none"/>
        </w:rPr>
        <w:t>36.5</w:t>
      </w:r>
      <w:r>
        <w:rPr>
          <w:rFonts w:hint="eastAsia" w:ascii="宋体" w:hAnsi="宋体" w:cs="宋体"/>
          <w:color w:val="auto"/>
          <w:kern w:val="10"/>
          <w:highlight w:val="none"/>
        </w:rPr>
        <w:t>招标人或招标代理机构在收到投标人的质疑函后，将审查质疑函的格式、内容以及所附的证明文件是否符合要求。如不符合，说明原因退回投标人；如符合要求，则接受该质疑函并向投标人出具受理证明</w:t>
      </w:r>
      <w:r>
        <w:rPr>
          <w:rFonts w:hint="eastAsia" w:ascii="宋体" w:hAnsi="宋体" w:cs="宋体"/>
          <w:color w:val="auto"/>
          <w:highlight w:val="none"/>
        </w:rPr>
        <w:t>。</w:t>
      </w:r>
    </w:p>
    <w:p w14:paraId="05041E04">
      <w:pPr>
        <w:shd w:val="clear"/>
        <w:kinsoku/>
        <w:overflowPunct/>
        <w:topLinePunct w:val="0"/>
        <w:bidi w:val="0"/>
        <w:spacing w:line="440" w:lineRule="exact"/>
        <w:jc w:val="left"/>
        <w:rPr>
          <w:rFonts w:ascii="宋体" w:hAnsi="宋体" w:cs="宋体"/>
          <w:color w:val="auto"/>
          <w:kern w:val="10"/>
          <w:highlight w:val="none"/>
        </w:rPr>
      </w:pPr>
      <w:r>
        <w:rPr>
          <w:rFonts w:hint="eastAsia" w:ascii="宋体" w:hAnsi="宋体" w:cs="宋体"/>
          <w:color w:val="auto"/>
          <w:highlight w:val="none"/>
        </w:rPr>
        <w:t>36.6处理质疑的时间，从实际接受投标人质疑函的时间开始计算</w:t>
      </w:r>
      <w:r>
        <w:rPr>
          <w:rFonts w:hint="eastAsia" w:ascii="宋体" w:hAnsi="宋体" w:cs="宋体"/>
          <w:color w:val="auto"/>
          <w:kern w:val="10"/>
          <w:highlight w:val="none"/>
        </w:rPr>
        <w:t>。</w:t>
      </w:r>
    </w:p>
    <w:p w14:paraId="0940173F">
      <w:pPr>
        <w:pStyle w:val="6"/>
        <w:shd w:val="clear"/>
        <w:kinsoku/>
        <w:overflowPunct/>
        <w:topLinePunct w:val="0"/>
        <w:bidi w:val="0"/>
        <w:spacing w:before="0" w:after="0"/>
        <w:rPr>
          <w:rFonts w:ascii="宋体" w:hAnsi="宋体" w:eastAsia="宋体" w:cs="宋体"/>
          <w:color w:val="auto"/>
          <w:highlight w:val="none"/>
        </w:rPr>
      </w:pPr>
    </w:p>
    <w:p w14:paraId="78A20733">
      <w:pPr>
        <w:pStyle w:val="6"/>
        <w:pageBreakBefore/>
        <w:shd w:val="clear"/>
        <w:kinsoku/>
        <w:overflowPunct/>
        <w:topLinePunct w:val="0"/>
        <w:bidi w:val="0"/>
        <w:spacing w:before="0" w:after="0"/>
        <w:rPr>
          <w:rFonts w:ascii="宋体" w:hAnsi="宋体" w:eastAsia="宋体" w:cs="宋体"/>
          <w:color w:val="auto"/>
          <w:highlight w:val="none"/>
        </w:rPr>
      </w:pPr>
      <w:bookmarkStart w:id="57" w:name="_Toc4069"/>
      <w:bookmarkStart w:id="58" w:name="_Toc13234"/>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评标办法</w:t>
      </w:r>
      <w:bookmarkEnd w:id="57"/>
      <w:bookmarkEnd w:id="58"/>
    </w:p>
    <w:p w14:paraId="41E59717">
      <w:pPr>
        <w:shd w:val="clear"/>
        <w:kinsoku/>
        <w:overflowPunct/>
        <w:topLinePunct w:val="0"/>
        <w:bidi w:val="0"/>
        <w:spacing w:line="340" w:lineRule="exact"/>
        <w:jc w:val="center"/>
        <w:outlineLvl w:val="1"/>
        <w:rPr>
          <w:rFonts w:ascii="宋体" w:hAnsi="宋体" w:cs="宋体"/>
          <w:b/>
          <w:bCs/>
          <w:color w:val="auto"/>
          <w:sz w:val="24"/>
          <w:szCs w:val="24"/>
          <w:highlight w:val="none"/>
        </w:rPr>
      </w:pPr>
      <w:bookmarkStart w:id="59" w:name="_Toc14912"/>
      <w:r>
        <w:rPr>
          <w:rFonts w:hint="eastAsia" w:ascii="宋体" w:hAnsi="宋体" w:cs="宋体"/>
          <w:b/>
          <w:bCs/>
          <w:color w:val="auto"/>
          <w:sz w:val="24"/>
          <w:szCs w:val="24"/>
          <w:highlight w:val="none"/>
        </w:rPr>
        <w:t>一、总则</w:t>
      </w:r>
      <w:bookmarkEnd w:id="59"/>
    </w:p>
    <w:p w14:paraId="61DF5BDA">
      <w:pPr>
        <w:shd w:val="clear"/>
        <w:kinsoku/>
        <w:overflowPunct/>
        <w:topLinePunct w:val="0"/>
        <w:bidi w:val="0"/>
        <w:spacing w:line="440" w:lineRule="exact"/>
        <w:ind w:firstLine="422" w:firstLineChars="200"/>
        <w:rPr>
          <w:rFonts w:hint="eastAsia" w:ascii="宋体" w:hAnsi="宋体" w:eastAsia="宋体" w:cs="宋体"/>
          <w:b/>
          <w:bCs/>
          <w:color w:val="auto"/>
          <w:highlight w:val="none"/>
          <w:lang w:eastAsia="zh-CN"/>
        </w:rPr>
      </w:pPr>
      <w:r>
        <w:rPr>
          <w:rFonts w:hint="eastAsia" w:ascii="宋体" w:hAnsi="宋体" w:cs="宋体"/>
          <w:b/>
          <w:bCs/>
          <w:color w:val="auto"/>
          <w:highlight w:val="none"/>
        </w:rPr>
        <w:t>1. 本次评标采用</w:t>
      </w:r>
      <w:r>
        <w:rPr>
          <w:rFonts w:hint="eastAsia" w:ascii="宋体" w:hAnsi="宋体" w:cs="宋体"/>
          <w:b/>
          <w:bCs/>
          <w:color w:val="auto"/>
          <w:highlight w:val="none"/>
          <w:lang w:eastAsia="zh-CN"/>
        </w:rPr>
        <w:t>综合评估法</w:t>
      </w:r>
    </w:p>
    <w:p w14:paraId="6C3438C4">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1.1</w:t>
      </w:r>
      <w:r>
        <w:rPr>
          <w:rFonts w:hint="eastAsia" w:ascii="宋体" w:hAnsi="宋体" w:cs="宋体"/>
          <w:color w:val="auto"/>
          <w:highlight w:val="none"/>
          <w:lang w:eastAsia="zh-CN"/>
        </w:rPr>
        <w:t>综合评估法</w:t>
      </w:r>
      <w:r>
        <w:rPr>
          <w:rFonts w:hint="eastAsia" w:ascii="宋体" w:hAnsi="宋体" w:cs="宋体"/>
          <w:color w:val="auto"/>
          <w:highlight w:val="none"/>
        </w:rPr>
        <w:t>，评标委员会按照本章规定的评分标准进行打分，</w:t>
      </w:r>
      <w:r>
        <w:rPr>
          <w:rFonts w:hint="eastAsia" w:ascii="宋体" w:hAnsi="宋体" w:cs="宋体"/>
          <w:b/>
          <w:bCs/>
          <w:color w:val="auto"/>
          <w:highlight w:val="none"/>
        </w:rPr>
        <w:t>并按总得分由高到低顺序推荐3名中标候选人，并标明排序，但投标报价低于其成本的除外</w:t>
      </w:r>
      <w:r>
        <w:rPr>
          <w:rFonts w:hint="eastAsia" w:ascii="宋体" w:hAnsi="宋体" w:cs="宋体"/>
          <w:color w:val="auto"/>
          <w:highlight w:val="none"/>
        </w:rPr>
        <w:t>。得分最高的为第一中标候选人，第二高的为第二中标候选人。</w:t>
      </w:r>
      <w:r>
        <w:rPr>
          <w:rFonts w:hint="eastAsia" w:ascii="宋体" w:hAnsi="宋体" w:cs="宋体"/>
          <w:b/>
          <w:bCs/>
          <w:color w:val="auto"/>
          <w:highlight w:val="none"/>
        </w:rPr>
        <w:t>如总得分相等，以投标报价低的优先，投标报价仍相等，由评标委员会或招标人随机抽取确定排名，不得并列。</w:t>
      </w:r>
    </w:p>
    <w:p w14:paraId="313F15F7">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2．评标程序</w:t>
      </w:r>
    </w:p>
    <w:p w14:paraId="6C40770E">
      <w:pPr>
        <w:shd w:val="clear"/>
        <w:kinsoku/>
        <w:overflowPunct/>
        <w:topLinePunct w:val="0"/>
        <w:bidi w:val="0"/>
        <w:spacing w:line="440" w:lineRule="exact"/>
        <w:ind w:firstLine="422" w:firstLineChars="200"/>
        <w:rPr>
          <w:rFonts w:ascii="宋体" w:hAnsi="宋体" w:cs="宋体"/>
          <w:b/>
          <w:bCs/>
          <w:color w:val="auto"/>
          <w:highlight w:val="none"/>
        </w:rPr>
      </w:pPr>
      <w:r>
        <w:rPr>
          <w:rFonts w:hint="eastAsia" w:ascii="宋体" w:hAnsi="宋体" w:cs="宋体"/>
          <w:b/>
          <w:bCs/>
          <w:color w:val="auto"/>
          <w:highlight w:val="none"/>
        </w:rPr>
        <w:t>先对解密成功的投标人的联系人和联系方式、投标mac地址、址以及投标文件制作机器码、文件创建标识码是否雷同情况按招标文件要求进行核查，核查无误的投标人报价（以投标文件投标函中填写报价为准）去除高于最高限价报价后，剩余报价按计算标准计算得分并汇总，总得分按照从高到低进行排序（如总得分相等，以投标报价低的优先，投标报价仍相等，由评标委员会或招标人随机抽取确定排名，不得并列），但投标报价低于其成本的除外。对排序前3名的投标人投标文件进行评审并确定中标候选人。若排序前3名的投标人投标文件评审不通过，则按得分排序递补至3家投标人进行投标文件评审。</w:t>
      </w:r>
    </w:p>
    <w:p w14:paraId="03D8B9C5">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2.1投标文件的初审</w:t>
      </w:r>
    </w:p>
    <w:p w14:paraId="108A0441">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2.1.1资格性检查。依据法律法规和招标文件的规定，对投标文件中的资格证明材料等进行审查，以确定投标人是否具备投标资格。</w:t>
      </w:r>
    </w:p>
    <w:p w14:paraId="2ACCA6D4">
      <w:pPr>
        <w:shd w:val="clear"/>
        <w:kinsoku/>
        <w:overflowPunct/>
        <w:topLinePunct w:val="0"/>
        <w:bidi w:val="0"/>
        <w:spacing w:line="440" w:lineRule="exact"/>
        <w:ind w:firstLine="420" w:firstLineChars="200"/>
        <w:jc w:val="left"/>
        <w:rPr>
          <w:rFonts w:ascii="宋体" w:hAnsi="宋体" w:cs="宋体"/>
          <w:color w:val="auto"/>
          <w:highlight w:val="none"/>
        </w:rPr>
      </w:pPr>
      <w:r>
        <w:rPr>
          <w:rFonts w:hint="eastAsia" w:ascii="宋体" w:hAnsi="宋体" w:cs="宋体"/>
          <w:color w:val="auto"/>
          <w:highlight w:val="none"/>
        </w:rPr>
        <w:t>2.1.2符合性检查。依据招标文件的规定，从投标文件的有效性、完整性和对招标文件的响应程度进行审查，以确定投标人是否对招标文件的实质性要求作出响应。</w:t>
      </w:r>
    </w:p>
    <w:p w14:paraId="1137A635">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2.2投标文件的澄清</w:t>
      </w:r>
    </w:p>
    <w:p w14:paraId="1178688F">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2.2.1在评标过程中，评标委员会认为需要，可要求投标单位对投标文件中的有关问题进行澄清或提供补充说明及有关资料，投标单位应做出书面答复。书面答复中不得变更价格、供货（服务）期、自报质量等实质性内容。</w:t>
      </w:r>
    </w:p>
    <w:p w14:paraId="258387B9">
      <w:pPr>
        <w:shd w:val="clear"/>
        <w:kinsoku/>
        <w:overflowPunct/>
        <w:topLinePunct w:val="0"/>
        <w:bidi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5D1CF812">
      <w:pPr>
        <w:shd w:val="clear"/>
        <w:kinsoku/>
        <w:overflowPunct/>
        <w:topLinePunct w:val="0"/>
        <w:bidi w:val="0"/>
        <w:spacing w:line="440" w:lineRule="exact"/>
        <w:ind w:firstLine="420" w:firstLineChars="200"/>
        <w:jc w:val="left"/>
        <w:rPr>
          <w:rFonts w:ascii="宋体" w:hAnsi="宋体" w:cs="宋体"/>
          <w:b/>
          <w:bCs/>
          <w:color w:val="auto"/>
          <w:kern w:val="0"/>
          <w:highlight w:val="none"/>
        </w:rPr>
      </w:pPr>
      <w:r>
        <w:rPr>
          <w:rFonts w:hint="eastAsia" w:ascii="宋体" w:hAnsi="宋体" w:cs="宋体"/>
          <w:color w:val="auto"/>
          <w:highlight w:val="none"/>
        </w:rPr>
        <w:t>2.2.3  招标人不接受投标单位主动提出的澄清。</w:t>
      </w:r>
    </w:p>
    <w:p w14:paraId="22DF1DC6">
      <w:pPr>
        <w:shd w:val="clear"/>
        <w:kinsoku/>
        <w:overflowPunct/>
        <w:topLinePunct w:val="0"/>
        <w:bidi w:val="0"/>
        <w:spacing w:before="318" w:beforeLines="100"/>
        <w:jc w:val="center"/>
        <w:outlineLvl w:val="1"/>
        <w:rPr>
          <w:rFonts w:ascii="宋体"/>
          <w:b/>
          <w:color w:val="auto"/>
          <w:sz w:val="28"/>
          <w:szCs w:val="28"/>
          <w:highlight w:val="none"/>
        </w:rPr>
      </w:pPr>
      <w:bookmarkStart w:id="60" w:name="_Toc58430318"/>
      <w:bookmarkStart w:id="61" w:name="_Toc449028878"/>
      <w:bookmarkStart w:id="62" w:name="_Toc29779"/>
      <w:r>
        <w:rPr>
          <w:rFonts w:hint="eastAsia" w:ascii="宋体"/>
          <w:b/>
          <w:color w:val="auto"/>
          <w:sz w:val="28"/>
          <w:szCs w:val="28"/>
          <w:highlight w:val="none"/>
        </w:rPr>
        <w:t>二、投标文件初审</w:t>
      </w:r>
      <w:bookmarkEnd w:id="60"/>
      <w:bookmarkEnd w:id="61"/>
    </w:p>
    <w:p w14:paraId="0CC20B08">
      <w:pPr>
        <w:shd w:val="clear"/>
        <w:kinsoku/>
        <w:overflowPunct/>
        <w:topLinePunct w:val="0"/>
        <w:bidi w:val="0"/>
        <w:ind w:firstLine="310" w:firstLineChars="147"/>
        <w:rPr>
          <w:rFonts w:ascii="宋体"/>
          <w:b/>
          <w:color w:val="auto"/>
          <w:highlight w:val="none"/>
        </w:rPr>
      </w:pPr>
      <w:r>
        <w:rPr>
          <w:rFonts w:hint="eastAsia" w:ascii="宋体"/>
          <w:b/>
          <w:color w:val="auto"/>
          <w:highlight w:val="none"/>
        </w:rPr>
        <w:t>3.资格性审查:</w:t>
      </w:r>
    </w:p>
    <w:p w14:paraId="3FDD8519">
      <w:pPr>
        <w:shd w:val="clear"/>
        <w:kinsoku/>
        <w:overflowPunct/>
        <w:topLinePunct w:val="0"/>
        <w:bidi w:val="0"/>
        <w:spacing w:line="400" w:lineRule="exact"/>
        <w:ind w:firstLine="308" w:firstLineChars="147"/>
        <w:rPr>
          <w:color w:val="auto"/>
          <w:highlight w:val="none"/>
        </w:rPr>
      </w:pPr>
      <w:r>
        <w:rPr>
          <w:rFonts w:hint="eastAsia" w:ascii="宋体"/>
          <w:color w:val="auto"/>
          <w:highlight w:val="none"/>
        </w:rPr>
        <w:t>3.1</w:t>
      </w:r>
      <w:r>
        <w:rPr>
          <w:rFonts w:hint="eastAsia"/>
          <w:color w:val="auto"/>
          <w:highlight w:val="none"/>
        </w:rPr>
        <w:t>评审细则</w:t>
      </w:r>
    </w:p>
    <w:tbl>
      <w:tblPr>
        <w:tblStyle w:val="47"/>
        <w:tblW w:w="10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5296"/>
        <w:gridCol w:w="2757"/>
      </w:tblGrid>
      <w:tr w14:paraId="6039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28BEF4AF">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color w:val="auto"/>
                <w:highlight w:val="none"/>
              </w:rPr>
            </w:pPr>
            <w:r>
              <w:rPr>
                <w:rFonts w:hint="eastAsia" w:ascii="黑体" w:eastAsia="黑体" w:cs="黑体"/>
                <w:b/>
                <w:bCs/>
                <w:color w:val="auto"/>
                <w:highlight w:val="none"/>
              </w:rPr>
              <w:t>序号</w:t>
            </w:r>
          </w:p>
        </w:tc>
        <w:tc>
          <w:tcPr>
            <w:tcW w:w="6531" w:type="dxa"/>
            <w:gridSpan w:val="2"/>
            <w:vAlign w:val="center"/>
          </w:tcPr>
          <w:p w14:paraId="0BE2F8B7">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color w:val="auto"/>
                <w:highlight w:val="none"/>
              </w:rPr>
            </w:pPr>
            <w:r>
              <w:rPr>
                <w:rFonts w:hint="eastAsia" w:ascii="宋体" w:hAnsi="宋体"/>
                <w:color w:val="auto"/>
                <w:highlight w:val="none"/>
              </w:rPr>
              <w:t>评审因素</w:t>
            </w:r>
          </w:p>
        </w:tc>
        <w:tc>
          <w:tcPr>
            <w:tcW w:w="2757" w:type="dxa"/>
            <w:vAlign w:val="center"/>
          </w:tcPr>
          <w:p w14:paraId="5F243817">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color w:val="auto"/>
                <w:highlight w:val="none"/>
              </w:rPr>
            </w:pPr>
            <w:r>
              <w:rPr>
                <w:rFonts w:hint="eastAsia" w:ascii="宋体" w:hAnsi="宋体"/>
                <w:color w:val="auto"/>
                <w:highlight w:val="none"/>
              </w:rPr>
              <w:t>评审标准</w:t>
            </w:r>
          </w:p>
        </w:tc>
      </w:tr>
      <w:tr w14:paraId="3296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217F8138">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ascii="宋体" w:hAnsi="宋体"/>
                <w:color w:val="auto"/>
                <w:highlight w:val="none"/>
              </w:rPr>
            </w:pPr>
            <w:r>
              <w:rPr>
                <w:rFonts w:hint="eastAsia" w:ascii="宋体" w:hAnsi="宋体"/>
                <w:color w:val="auto"/>
                <w:highlight w:val="none"/>
              </w:rPr>
              <w:t>1</w:t>
            </w:r>
          </w:p>
        </w:tc>
        <w:tc>
          <w:tcPr>
            <w:tcW w:w="1235" w:type="dxa"/>
            <w:vAlign w:val="center"/>
          </w:tcPr>
          <w:p w14:paraId="3974D104">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ascii="宋体" w:hAnsi="宋体"/>
                <w:color w:val="auto"/>
                <w:highlight w:val="none"/>
              </w:rPr>
            </w:pPr>
            <w:r>
              <w:rPr>
                <w:rFonts w:hint="eastAsia" w:ascii="宋体"/>
                <w:color w:val="auto"/>
                <w:highlight w:val="none"/>
              </w:rPr>
              <w:t>重要要求</w:t>
            </w:r>
          </w:p>
        </w:tc>
        <w:tc>
          <w:tcPr>
            <w:tcW w:w="5296" w:type="dxa"/>
            <w:vAlign w:val="center"/>
          </w:tcPr>
          <w:p w14:paraId="6132A5DF">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hAnsi="宋体" w:cs="宋体"/>
                <w:color w:val="auto"/>
                <w:highlight w:val="none"/>
              </w:rPr>
            </w:pPr>
            <w:r>
              <w:rPr>
                <w:rFonts w:hint="eastAsia" w:ascii="宋体" w:hAnsi="宋体" w:cs="宋体"/>
                <w:color w:val="auto"/>
                <w:highlight w:val="none"/>
              </w:rPr>
              <w:t>（1）法定代表人身份证明和本人有效身份证(或法定代表人授权委托书和委托代理人有效身份证)</w:t>
            </w:r>
          </w:p>
        </w:tc>
        <w:tc>
          <w:tcPr>
            <w:tcW w:w="2757" w:type="dxa"/>
            <w:vAlign w:val="center"/>
          </w:tcPr>
          <w:p w14:paraId="0FD726A4">
            <w:pPr>
              <w:keepNext w:val="0"/>
              <w:keepLines w:val="0"/>
              <w:suppressLineNumbers w:val="0"/>
              <w:shd w:val="clear"/>
              <w:kinsoku/>
              <w:overflowPunct/>
              <w:topLinePunct w:val="0"/>
              <w:bidi w:val="0"/>
              <w:spacing w:before="0" w:beforeAutospacing="0" w:after="0" w:afterAutospacing="0" w:line="440" w:lineRule="exact"/>
              <w:ind w:left="0" w:right="0"/>
              <w:jc w:val="left"/>
              <w:rPr>
                <w:rFonts w:hint="default" w:ascii="宋体" w:hAnsi="宋体"/>
                <w:color w:val="auto"/>
                <w:highlight w:val="none"/>
              </w:rPr>
            </w:pPr>
            <w:r>
              <w:rPr>
                <w:rFonts w:hint="eastAsia"/>
                <w:color w:val="auto"/>
                <w:highlight w:val="none"/>
              </w:rPr>
              <w:t>检验电子标书。</w:t>
            </w:r>
          </w:p>
        </w:tc>
      </w:tr>
      <w:tr w14:paraId="2B28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8476A40">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ascii="宋体" w:hAnsi="宋体"/>
                <w:color w:val="auto"/>
                <w:highlight w:val="none"/>
              </w:rPr>
            </w:pPr>
            <w:r>
              <w:rPr>
                <w:rFonts w:hint="eastAsia" w:ascii="宋体" w:hAnsi="宋体"/>
                <w:color w:val="auto"/>
                <w:highlight w:val="none"/>
              </w:rPr>
              <w:t>2</w:t>
            </w:r>
          </w:p>
        </w:tc>
        <w:tc>
          <w:tcPr>
            <w:tcW w:w="1235" w:type="dxa"/>
            <w:vMerge w:val="restart"/>
            <w:vAlign w:val="center"/>
          </w:tcPr>
          <w:p w14:paraId="6FFCCAA0">
            <w:pPr>
              <w:keepNext w:val="0"/>
              <w:keepLines w:val="0"/>
              <w:suppressLineNumbers w:val="0"/>
              <w:shd w:val="clear"/>
              <w:kinsoku/>
              <w:overflowPunct/>
              <w:topLinePunct w:val="0"/>
              <w:bidi w:val="0"/>
              <w:spacing w:before="0" w:beforeAutospacing="0" w:after="0" w:afterAutospacing="0" w:line="320" w:lineRule="exact"/>
              <w:ind w:left="0" w:right="0"/>
              <w:rPr>
                <w:rFonts w:hint="default" w:ascii="宋体" w:hAnsi="宋体"/>
                <w:color w:val="auto"/>
                <w:highlight w:val="none"/>
              </w:rPr>
            </w:pPr>
            <w:r>
              <w:rPr>
                <w:rFonts w:hint="eastAsia" w:ascii="宋体" w:hAnsi="宋体"/>
                <w:color w:val="auto"/>
                <w:highlight w:val="none"/>
              </w:rPr>
              <w:t>投标人应符合的基本资格条件</w:t>
            </w:r>
          </w:p>
        </w:tc>
        <w:tc>
          <w:tcPr>
            <w:tcW w:w="5296" w:type="dxa"/>
            <w:vAlign w:val="center"/>
          </w:tcPr>
          <w:p w14:paraId="7F5C2813">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hAnsi="宋体" w:cs="宋体"/>
                <w:color w:val="auto"/>
                <w:highlight w:val="none"/>
              </w:rPr>
            </w:pPr>
            <w:r>
              <w:rPr>
                <w:rFonts w:hint="eastAsia" w:ascii="宋体" w:hAnsi="宋体" w:cs="宋体"/>
                <w:color w:val="auto"/>
                <w:highlight w:val="none"/>
              </w:rPr>
              <w:t>（2）具有独立承担民事责任能力</w:t>
            </w:r>
          </w:p>
        </w:tc>
        <w:tc>
          <w:tcPr>
            <w:tcW w:w="2757" w:type="dxa"/>
            <w:vAlign w:val="center"/>
          </w:tcPr>
          <w:p w14:paraId="6F713858">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hAnsi="宋体"/>
                <w:color w:val="auto"/>
                <w:highlight w:val="none"/>
              </w:rPr>
            </w:pPr>
            <w:r>
              <w:rPr>
                <w:rFonts w:hint="eastAsia" w:ascii="宋体"/>
                <w:b/>
                <w:color w:val="auto"/>
                <w:highlight w:val="none"/>
              </w:rPr>
              <w:t>评审核验电子标书中的下列证书、证明材料：</w:t>
            </w:r>
          </w:p>
          <w:p w14:paraId="34CF53D1">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olor w:val="auto"/>
                <w:highlight w:val="none"/>
              </w:rPr>
            </w:pPr>
            <w:r>
              <w:rPr>
                <w:rFonts w:hint="eastAsia"/>
                <w:color w:val="auto"/>
                <w:highlight w:val="none"/>
              </w:rPr>
              <w:t>投标人有效的营业执照、税务登记证、组织机构码证（或“三证合一证书”）</w:t>
            </w:r>
          </w:p>
        </w:tc>
      </w:tr>
      <w:tr w14:paraId="2152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5" w:type="dxa"/>
            <w:vMerge w:val="continue"/>
            <w:vAlign w:val="center"/>
          </w:tcPr>
          <w:p w14:paraId="79F0A4AC">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ascii="宋体" w:hAnsi="宋体"/>
                <w:color w:val="auto"/>
                <w:highlight w:val="none"/>
              </w:rPr>
            </w:pPr>
          </w:p>
        </w:tc>
        <w:tc>
          <w:tcPr>
            <w:tcW w:w="1235" w:type="dxa"/>
            <w:vMerge w:val="continue"/>
            <w:vAlign w:val="center"/>
          </w:tcPr>
          <w:p w14:paraId="5676082A">
            <w:pPr>
              <w:keepNext w:val="0"/>
              <w:keepLines w:val="0"/>
              <w:suppressLineNumbers w:val="0"/>
              <w:shd w:val="clear"/>
              <w:kinsoku/>
              <w:overflowPunct/>
              <w:topLinePunct w:val="0"/>
              <w:bidi w:val="0"/>
              <w:spacing w:before="0" w:beforeAutospacing="0" w:after="0" w:afterAutospacing="0" w:line="320" w:lineRule="exact"/>
              <w:ind w:left="0" w:right="0"/>
              <w:rPr>
                <w:rFonts w:hint="default" w:ascii="宋体" w:hAnsi="宋体"/>
                <w:color w:val="auto"/>
                <w:highlight w:val="none"/>
              </w:rPr>
            </w:pPr>
          </w:p>
        </w:tc>
        <w:tc>
          <w:tcPr>
            <w:tcW w:w="5296" w:type="dxa"/>
            <w:vAlign w:val="center"/>
          </w:tcPr>
          <w:p w14:paraId="52702D4B">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hAnsi="宋体" w:cs="宋体"/>
                <w:color w:val="auto"/>
                <w:highlight w:val="none"/>
              </w:rPr>
            </w:pPr>
            <w:r>
              <w:rPr>
                <w:rFonts w:hint="eastAsia" w:ascii="宋体" w:hAnsi="宋体" w:cs="宋体"/>
                <w:color w:val="auto"/>
                <w:highlight w:val="none"/>
              </w:rPr>
              <w:t>（3）项目负责人有效身份证及证书（若注册证书上无法体现专业的，还需另行提供证明专业的证明材料）；</w:t>
            </w:r>
          </w:p>
        </w:tc>
        <w:tc>
          <w:tcPr>
            <w:tcW w:w="2757" w:type="dxa"/>
            <w:vAlign w:val="center"/>
          </w:tcPr>
          <w:p w14:paraId="6A853EBD">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b/>
                <w:color w:val="auto"/>
                <w:highlight w:val="none"/>
              </w:rPr>
            </w:pPr>
            <w:r>
              <w:rPr>
                <w:rFonts w:hint="eastAsia"/>
                <w:color w:val="auto"/>
                <w:highlight w:val="none"/>
              </w:rPr>
              <w:t>检验电子标书</w:t>
            </w:r>
          </w:p>
        </w:tc>
      </w:tr>
      <w:tr w14:paraId="7A3B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5" w:type="dxa"/>
            <w:vMerge w:val="continue"/>
            <w:vAlign w:val="center"/>
          </w:tcPr>
          <w:p w14:paraId="714547F8">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ascii="宋体" w:hAnsi="宋体"/>
                <w:color w:val="auto"/>
                <w:highlight w:val="none"/>
              </w:rPr>
            </w:pPr>
          </w:p>
        </w:tc>
        <w:tc>
          <w:tcPr>
            <w:tcW w:w="1235" w:type="dxa"/>
            <w:vMerge w:val="continue"/>
            <w:vAlign w:val="center"/>
          </w:tcPr>
          <w:p w14:paraId="5E93AA0A">
            <w:pPr>
              <w:keepNext w:val="0"/>
              <w:keepLines w:val="0"/>
              <w:suppressLineNumbers w:val="0"/>
              <w:shd w:val="clear"/>
              <w:kinsoku/>
              <w:overflowPunct/>
              <w:topLinePunct w:val="0"/>
              <w:bidi w:val="0"/>
              <w:spacing w:before="0" w:beforeAutospacing="0" w:after="0" w:afterAutospacing="0" w:line="320" w:lineRule="exact"/>
              <w:ind w:left="0" w:right="0"/>
              <w:rPr>
                <w:rFonts w:hint="default" w:ascii="宋体" w:hAnsi="宋体"/>
                <w:color w:val="auto"/>
                <w:highlight w:val="none"/>
              </w:rPr>
            </w:pPr>
          </w:p>
        </w:tc>
        <w:tc>
          <w:tcPr>
            <w:tcW w:w="5296" w:type="dxa"/>
            <w:vAlign w:val="center"/>
          </w:tcPr>
          <w:p w14:paraId="07ACDC29">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hAnsi="宋体" w:cs="宋体"/>
                <w:color w:val="auto"/>
                <w:highlight w:val="none"/>
              </w:rPr>
            </w:pPr>
            <w:r>
              <w:rPr>
                <w:rFonts w:hint="eastAsia" w:ascii="宋体" w:hAnsi="宋体" w:cs="宋体"/>
                <w:color w:val="auto"/>
                <w:highlight w:val="none"/>
              </w:rPr>
              <w:t>（4）项目组人员配备表（格式自拟）、人员有效身份证及对应证书</w:t>
            </w:r>
          </w:p>
        </w:tc>
        <w:tc>
          <w:tcPr>
            <w:tcW w:w="2757" w:type="dxa"/>
            <w:vAlign w:val="center"/>
          </w:tcPr>
          <w:p w14:paraId="7A56ADB2">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r>
              <w:rPr>
                <w:rFonts w:hint="eastAsia"/>
                <w:color w:val="auto"/>
                <w:highlight w:val="none"/>
              </w:rPr>
              <w:t>检验电子标书</w:t>
            </w:r>
          </w:p>
        </w:tc>
      </w:tr>
      <w:tr w14:paraId="2909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5" w:type="dxa"/>
            <w:vMerge w:val="continue"/>
            <w:vAlign w:val="center"/>
          </w:tcPr>
          <w:p w14:paraId="3EC7BBA1">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ascii="宋体" w:hAnsi="宋体"/>
                <w:color w:val="auto"/>
                <w:highlight w:val="none"/>
              </w:rPr>
            </w:pPr>
          </w:p>
        </w:tc>
        <w:tc>
          <w:tcPr>
            <w:tcW w:w="1235" w:type="dxa"/>
            <w:vMerge w:val="continue"/>
            <w:vAlign w:val="center"/>
          </w:tcPr>
          <w:p w14:paraId="15934419">
            <w:pPr>
              <w:keepNext w:val="0"/>
              <w:keepLines w:val="0"/>
              <w:suppressLineNumbers w:val="0"/>
              <w:shd w:val="clear"/>
              <w:kinsoku/>
              <w:overflowPunct/>
              <w:topLinePunct w:val="0"/>
              <w:bidi w:val="0"/>
              <w:spacing w:before="0" w:beforeAutospacing="0" w:after="0" w:afterAutospacing="0" w:line="320" w:lineRule="exact"/>
              <w:ind w:left="0" w:right="0"/>
              <w:rPr>
                <w:rFonts w:hint="default" w:ascii="宋体" w:hAnsi="宋体"/>
                <w:color w:val="auto"/>
                <w:highlight w:val="none"/>
              </w:rPr>
            </w:pPr>
          </w:p>
        </w:tc>
        <w:tc>
          <w:tcPr>
            <w:tcW w:w="5296" w:type="dxa"/>
            <w:vAlign w:val="center"/>
          </w:tcPr>
          <w:p w14:paraId="16296B14">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5</w:t>
            </w:r>
            <w:r>
              <w:rPr>
                <w:rFonts w:hint="eastAsia" w:ascii="宋体" w:hAnsi="宋体" w:cs="宋体"/>
                <w:color w:val="auto"/>
                <w:highlight w:val="none"/>
              </w:rPr>
              <w:t>）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tc>
        <w:tc>
          <w:tcPr>
            <w:tcW w:w="2757" w:type="dxa"/>
            <w:vAlign w:val="center"/>
          </w:tcPr>
          <w:p w14:paraId="3612B27A">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r>
              <w:rPr>
                <w:rFonts w:hint="eastAsia"/>
                <w:color w:val="auto"/>
                <w:highlight w:val="none"/>
              </w:rPr>
              <w:t>检验电子标书</w:t>
            </w:r>
          </w:p>
        </w:tc>
      </w:tr>
      <w:tr w14:paraId="611C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25" w:type="dxa"/>
            <w:vMerge w:val="continue"/>
            <w:vAlign w:val="center"/>
          </w:tcPr>
          <w:p w14:paraId="76D00111">
            <w:pPr>
              <w:keepNext w:val="0"/>
              <w:keepLines w:val="0"/>
              <w:suppressLineNumbers w:val="0"/>
              <w:shd w:val="clear"/>
              <w:kinsoku/>
              <w:overflowPunct/>
              <w:topLinePunct w:val="0"/>
              <w:bidi w:val="0"/>
              <w:spacing w:before="0" w:beforeAutospacing="0" w:after="0" w:afterAutospacing="0" w:line="320" w:lineRule="exact"/>
              <w:ind w:left="0" w:right="0"/>
              <w:jc w:val="center"/>
              <w:rPr>
                <w:rFonts w:hint="default" w:ascii="宋体" w:hAnsi="宋体"/>
                <w:color w:val="auto"/>
                <w:highlight w:val="none"/>
              </w:rPr>
            </w:pPr>
          </w:p>
        </w:tc>
        <w:tc>
          <w:tcPr>
            <w:tcW w:w="1235" w:type="dxa"/>
            <w:vMerge w:val="continue"/>
            <w:vAlign w:val="center"/>
          </w:tcPr>
          <w:p w14:paraId="36490FD4">
            <w:pPr>
              <w:keepNext w:val="0"/>
              <w:keepLines w:val="0"/>
              <w:suppressLineNumbers w:val="0"/>
              <w:shd w:val="clear"/>
              <w:kinsoku/>
              <w:overflowPunct/>
              <w:topLinePunct w:val="0"/>
              <w:bidi w:val="0"/>
              <w:spacing w:before="0" w:beforeAutospacing="0" w:after="0" w:afterAutospacing="0" w:line="320" w:lineRule="exact"/>
              <w:ind w:left="0" w:right="0"/>
              <w:rPr>
                <w:rFonts w:hint="default" w:ascii="宋体" w:hAnsi="宋体"/>
                <w:color w:val="auto"/>
                <w:highlight w:val="none"/>
              </w:rPr>
            </w:pPr>
          </w:p>
        </w:tc>
        <w:tc>
          <w:tcPr>
            <w:tcW w:w="5296" w:type="dxa"/>
            <w:vAlign w:val="center"/>
          </w:tcPr>
          <w:p w14:paraId="5415E546">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）诚信投标承诺书</w:t>
            </w:r>
          </w:p>
        </w:tc>
        <w:tc>
          <w:tcPr>
            <w:tcW w:w="2757" w:type="dxa"/>
            <w:vAlign w:val="center"/>
          </w:tcPr>
          <w:p w14:paraId="74515F75">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r>
              <w:rPr>
                <w:rFonts w:hint="eastAsia"/>
                <w:color w:val="auto"/>
                <w:highlight w:val="none"/>
              </w:rPr>
              <w:t>格式见附件，检验电子标书</w:t>
            </w:r>
          </w:p>
        </w:tc>
      </w:tr>
    </w:tbl>
    <w:p w14:paraId="5EE8D249">
      <w:pPr>
        <w:shd w:val="clear"/>
        <w:kinsoku/>
        <w:overflowPunct/>
        <w:topLinePunct w:val="0"/>
        <w:bidi w:val="0"/>
        <w:spacing w:line="440" w:lineRule="exact"/>
        <w:rPr>
          <w:rFonts w:ascii="宋体"/>
          <w:b/>
          <w:color w:val="auto"/>
          <w:highlight w:val="none"/>
        </w:rPr>
      </w:pPr>
      <w:r>
        <w:rPr>
          <w:rFonts w:hint="eastAsia" w:ascii="宋体"/>
          <w:b/>
          <w:color w:val="auto"/>
          <w:highlight w:val="none"/>
        </w:rPr>
        <w:t xml:space="preserve">3.2 </w:t>
      </w:r>
      <w:r>
        <w:rPr>
          <w:rFonts w:hint="eastAsia" w:ascii="宋体" w:hAnsi="宋体"/>
          <w:b/>
          <w:color w:val="auto"/>
          <w:highlight w:val="none"/>
        </w:rPr>
        <w:t>如评标专家在检验投标文件过程中，如果由于投标人自身原因导致评标专家无法查看并检验投标文件中相关资料的，否决其投标。即使投标人将原件携带至现场的，同样按否决投标处理</w:t>
      </w:r>
      <w:r>
        <w:rPr>
          <w:rFonts w:hint="eastAsia" w:ascii="宋体"/>
          <w:b/>
          <w:color w:val="auto"/>
          <w:highlight w:val="none"/>
        </w:rPr>
        <w:t xml:space="preserve">。 </w:t>
      </w:r>
    </w:p>
    <w:p w14:paraId="2C33E49B">
      <w:pPr>
        <w:shd w:val="clear"/>
        <w:kinsoku/>
        <w:overflowPunct/>
        <w:topLinePunct w:val="0"/>
        <w:bidi w:val="0"/>
        <w:spacing w:line="440" w:lineRule="exact"/>
        <w:ind w:firstLine="310" w:firstLineChars="147"/>
        <w:rPr>
          <w:rFonts w:ascii="宋体"/>
          <w:b/>
          <w:color w:val="auto"/>
          <w:highlight w:val="none"/>
        </w:rPr>
      </w:pPr>
      <w:r>
        <w:rPr>
          <w:rFonts w:hint="eastAsia" w:ascii="宋体"/>
          <w:b/>
          <w:color w:val="auto"/>
          <w:highlight w:val="none"/>
        </w:rPr>
        <w:t>4.符合性审查</w:t>
      </w:r>
    </w:p>
    <w:p w14:paraId="0988DD66">
      <w:pPr>
        <w:shd w:val="clear"/>
        <w:kinsoku/>
        <w:overflowPunct/>
        <w:topLinePunct w:val="0"/>
        <w:bidi w:val="0"/>
        <w:spacing w:line="440" w:lineRule="exact"/>
        <w:ind w:firstLine="315" w:firstLineChars="150"/>
        <w:rPr>
          <w:rFonts w:ascii="宋体"/>
          <w:color w:val="auto"/>
          <w:highlight w:val="none"/>
        </w:rPr>
      </w:pPr>
      <w:r>
        <w:rPr>
          <w:rFonts w:hint="eastAsia" w:ascii="宋体"/>
          <w:color w:val="auto"/>
          <w:highlight w:val="none"/>
        </w:rPr>
        <w:t>4．1评审细则</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5101"/>
      </w:tblGrid>
      <w:tr w14:paraId="733E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vAlign w:val="center"/>
          </w:tcPr>
          <w:p w14:paraId="048ACC9C">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黑体" w:eastAsia="黑体" w:cs="黑体"/>
                <w:b/>
                <w:bCs/>
                <w:color w:val="auto"/>
                <w:highlight w:val="none"/>
              </w:rPr>
            </w:pPr>
            <w:r>
              <w:rPr>
                <w:rFonts w:hint="eastAsia" w:ascii="黑体" w:eastAsia="黑体" w:cs="黑体"/>
                <w:b/>
                <w:bCs/>
                <w:color w:val="auto"/>
                <w:highlight w:val="none"/>
              </w:rPr>
              <w:t>序号</w:t>
            </w:r>
          </w:p>
        </w:tc>
        <w:tc>
          <w:tcPr>
            <w:tcW w:w="4135" w:type="dxa"/>
            <w:gridSpan w:val="2"/>
            <w:vAlign w:val="center"/>
          </w:tcPr>
          <w:p w14:paraId="0980EFD8">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黑体" w:eastAsia="黑体" w:cs="黑体"/>
                <w:b/>
                <w:bCs/>
                <w:color w:val="auto"/>
                <w:highlight w:val="none"/>
              </w:rPr>
            </w:pPr>
            <w:r>
              <w:rPr>
                <w:rFonts w:hint="eastAsia" w:ascii="黑体" w:eastAsia="黑体" w:cs="黑体"/>
                <w:b/>
                <w:bCs/>
                <w:color w:val="auto"/>
                <w:highlight w:val="none"/>
              </w:rPr>
              <w:t>审查因素</w:t>
            </w:r>
          </w:p>
        </w:tc>
        <w:tc>
          <w:tcPr>
            <w:tcW w:w="5101" w:type="dxa"/>
            <w:vAlign w:val="center"/>
          </w:tcPr>
          <w:p w14:paraId="6CCE3664">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黑体" w:eastAsia="黑体" w:cs="黑体"/>
                <w:b/>
                <w:bCs/>
                <w:color w:val="auto"/>
                <w:highlight w:val="none"/>
              </w:rPr>
            </w:pPr>
            <w:r>
              <w:rPr>
                <w:rFonts w:hint="eastAsia" w:ascii="黑体" w:eastAsia="黑体" w:cs="黑体"/>
                <w:b/>
                <w:bCs/>
                <w:color w:val="auto"/>
                <w:highlight w:val="none"/>
              </w:rPr>
              <w:t>审查内容</w:t>
            </w:r>
          </w:p>
        </w:tc>
      </w:tr>
      <w:tr w14:paraId="1894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1" w:type="dxa"/>
            <w:vMerge w:val="restart"/>
            <w:vAlign w:val="center"/>
          </w:tcPr>
          <w:p w14:paraId="2FB4EBFF">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color w:val="auto"/>
                <w:highlight w:val="none"/>
              </w:rPr>
            </w:pPr>
            <w:r>
              <w:rPr>
                <w:rFonts w:hint="eastAsia" w:ascii="宋体"/>
                <w:color w:val="auto"/>
                <w:highlight w:val="none"/>
              </w:rPr>
              <w:t>1</w:t>
            </w:r>
          </w:p>
        </w:tc>
        <w:tc>
          <w:tcPr>
            <w:tcW w:w="1204" w:type="dxa"/>
            <w:vMerge w:val="restart"/>
            <w:vAlign w:val="center"/>
          </w:tcPr>
          <w:p w14:paraId="38256C51">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投标文件的有效性</w:t>
            </w:r>
          </w:p>
        </w:tc>
        <w:tc>
          <w:tcPr>
            <w:tcW w:w="2931" w:type="dxa"/>
            <w:vAlign w:val="center"/>
          </w:tcPr>
          <w:p w14:paraId="26114D8B">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（1）投标文件签署</w:t>
            </w:r>
          </w:p>
        </w:tc>
        <w:tc>
          <w:tcPr>
            <w:tcW w:w="5101" w:type="dxa"/>
            <w:vAlign w:val="center"/>
          </w:tcPr>
          <w:p w14:paraId="126E77DA">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签字、盖章符合要求。</w:t>
            </w:r>
          </w:p>
        </w:tc>
      </w:tr>
      <w:tr w14:paraId="45ED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vAlign w:val="center"/>
          </w:tcPr>
          <w:p w14:paraId="7A4FE698">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1204" w:type="dxa"/>
            <w:vMerge w:val="continue"/>
            <w:vAlign w:val="center"/>
          </w:tcPr>
          <w:p w14:paraId="3BDF2DD3">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2931" w:type="dxa"/>
            <w:vAlign w:val="center"/>
          </w:tcPr>
          <w:p w14:paraId="06320D9A">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（2）投标方案</w:t>
            </w:r>
          </w:p>
        </w:tc>
        <w:tc>
          <w:tcPr>
            <w:tcW w:w="5101" w:type="dxa"/>
            <w:vAlign w:val="center"/>
          </w:tcPr>
          <w:p w14:paraId="33B41095">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宋体"/>
                <w:color w:val="auto"/>
                <w:highlight w:val="none"/>
              </w:rPr>
            </w:pPr>
            <w:r>
              <w:rPr>
                <w:rFonts w:hint="eastAsia" w:ascii="宋体" w:hAnsi="宋体" w:cs="仿宋_GB2312"/>
                <w:color w:val="auto"/>
                <w:highlight w:val="none"/>
                <w:lang w:val="zh-CN"/>
              </w:rPr>
              <w:t>每个分包只能有一个方案投标。</w:t>
            </w:r>
          </w:p>
        </w:tc>
      </w:tr>
      <w:tr w14:paraId="6C9B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vAlign w:val="center"/>
          </w:tcPr>
          <w:p w14:paraId="252380EC">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1204" w:type="dxa"/>
            <w:vMerge w:val="continue"/>
            <w:vAlign w:val="center"/>
          </w:tcPr>
          <w:p w14:paraId="772922FD">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2931" w:type="dxa"/>
            <w:vAlign w:val="center"/>
          </w:tcPr>
          <w:p w14:paraId="2C19EF51">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olor w:val="auto"/>
                <w:highlight w:val="none"/>
              </w:rPr>
              <w:t>（3）报价唯一</w:t>
            </w:r>
          </w:p>
        </w:tc>
        <w:tc>
          <w:tcPr>
            <w:tcW w:w="5101" w:type="dxa"/>
            <w:vAlign w:val="center"/>
          </w:tcPr>
          <w:p w14:paraId="2219FB78">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宋体"/>
                <w:color w:val="auto"/>
                <w:highlight w:val="none"/>
              </w:rPr>
            </w:pPr>
            <w:r>
              <w:rPr>
                <w:rFonts w:hint="eastAsia" w:ascii="宋体" w:cs="仿宋_GB2312"/>
                <w:color w:val="auto"/>
                <w:highlight w:val="none"/>
                <w:lang w:val="zh-CN"/>
              </w:rPr>
              <w:t>只能在限价范围内报价，</w:t>
            </w:r>
            <w:r>
              <w:rPr>
                <w:rFonts w:hint="eastAsia" w:ascii="宋体"/>
                <w:color w:val="auto"/>
                <w:highlight w:val="none"/>
              </w:rPr>
              <w:t>只能有一个有效报价，不得提交选择性报价。</w:t>
            </w:r>
          </w:p>
        </w:tc>
      </w:tr>
      <w:tr w14:paraId="4790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vAlign w:val="center"/>
          </w:tcPr>
          <w:p w14:paraId="632D0439">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1204" w:type="dxa"/>
            <w:vMerge w:val="continue"/>
            <w:vAlign w:val="center"/>
          </w:tcPr>
          <w:p w14:paraId="3D871DAE">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2931" w:type="dxa"/>
            <w:vAlign w:val="center"/>
          </w:tcPr>
          <w:p w14:paraId="3741E9C6">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olor w:val="auto"/>
                <w:highlight w:val="none"/>
              </w:rPr>
            </w:pPr>
            <w:r>
              <w:rPr>
                <w:rFonts w:hint="eastAsia" w:ascii="宋体"/>
                <w:color w:val="auto"/>
                <w:highlight w:val="none"/>
              </w:rPr>
              <w:t xml:space="preserve"> (4) 投标文件的有效期</w:t>
            </w:r>
          </w:p>
        </w:tc>
        <w:tc>
          <w:tcPr>
            <w:tcW w:w="5101" w:type="dxa"/>
            <w:vAlign w:val="center"/>
          </w:tcPr>
          <w:p w14:paraId="3B63F908">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完全响应。</w:t>
            </w:r>
          </w:p>
        </w:tc>
      </w:tr>
      <w:tr w14:paraId="19F9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731" w:type="dxa"/>
            <w:vMerge w:val="restart"/>
            <w:vAlign w:val="center"/>
          </w:tcPr>
          <w:p w14:paraId="1254DAA9">
            <w:pPr>
              <w:keepNext w:val="0"/>
              <w:keepLines w:val="0"/>
              <w:suppressLineNumbers w:val="0"/>
              <w:shd w:val="clear"/>
              <w:kinsoku/>
              <w:overflowPunct/>
              <w:topLinePunct w:val="0"/>
              <w:bidi w:val="0"/>
              <w:spacing w:before="0" w:beforeAutospacing="0" w:after="0" w:afterAutospacing="0" w:line="440" w:lineRule="exact"/>
              <w:ind w:left="0" w:right="0"/>
              <w:jc w:val="center"/>
              <w:rPr>
                <w:rFonts w:hint="default" w:ascii="宋体"/>
                <w:color w:val="auto"/>
                <w:highlight w:val="none"/>
              </w:rPr>
            </w:pPr>
            <w:r>
              <w:rPr>
                <w:rFonts w:hint="eastAsia" w:ascii="宋体"/>
                <w:color w:val="auto"/>
                <w:highlight w:val="none"/>
              </w:rPr>
              <w:t>2</w:t>
            </w:r>
          </w:p>
        </w:tc>
        <w:tc>
          <w:tcPr>
            <w:tcW w:w="1204" w:type="dxa"/>
            <w:vMerge w:val="restart"/>
            <w:vAlign w:val="center"/>
          </w:tcPr>
          <w:p w14:paraId="79A6A5E2">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投标文件的完整性</w:t>
            </w:r>
          </w:p>
        </w:tc>
        <w:tc>
          <w:tcPr>
            <w:tcW w:w="2931" w:type="dxa"/>
            <w:vAlign w:val="center"/>
          </w:tcPr>
          <w:p w14:paraId="31F94EE0">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宋体"/>
                <w:color w:val="auto"/>
                <w:highlight w:val="none"/>
              </w:rPr>
            </w:pPr>
            <w:r>
              <w:rPr>
                <w:rFonts w:hint="eastAsia" w:ascii="宋体" w:cs="仿宋_GB2312"/>
                <w:color w:val="auto"/>
                <w:highlight w:val="none"/>
                <w:lang w:val="zh-CN"/>
              </w:rPr>
              <w:t>（5）投标文件份数</w:t>
            </w:r>
          </w:p>
        </w:tc>
        <w:tc>
          <w:tcPr>
            <w:tcW w:w="5101" w:type="dxa"/>
            <w:vAlign w:val="center"/>
          </w:tcPr>
          <w:p w14:paraId="5ADFA9F8">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宋体"/>
                <w:color w:val="auto"/>
                <w:highlight w:val="none"/>
              </w:rPr>
            </w:pPr>
            <w:r>
              <w:rPr>
                <w:rFonts w:hint="eastAsia" w:ascii="宋体" w:hAnsi="宋体" w:cs="宋体"/>
                <w:color w:val="auto"/>
                <w:highlight w:val="none"/>
              </w:rPr>
              <w:t xml:space="preserve">网上递交的电子投标文件：一份。 </w:t>
            </w:r>
          </w:p>
        </w:tc>
      </w:tr>
      <w:tr w14:paraId="1805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vAlign w:val="center"/>
          </w:tcPr>
          <w:p w14:paraId="22130DA3">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1204" w:type="dxa"/>
            <w:vMerge w:val="continue"/>
            <w:vAlign w:val="center"/>
          </w:tcPr>
          <w:p w14:paraId="320A4CF8">
            <w:pPr>
              <w:keepNext w:val="0"/>
              <w:keepLines w:val="0"/>
              <w:suppressLineNumbers w:val="0"/>
              <w:shd w:val="clear"/>
              <w:kinsoku/>
              <w:overflowPunct/>
              <w:topLinePunct w:val="0"/>
              <w:bidi w:val="0"/>
              <w:spacing w:before="0" w:beforeAutospacing="0" w:after="0" w:afterAutospacing="0" w:line="440" w:lineRule="exact"/>
              <w:ind w:left="0" w:right="0"/>
              <w:rPr>
                <w:rFonts w:hint="default"/>
                <w:color w:val="auto"/>
                <w:highlight w:val="none"/>
              </w:rPr>
            </w:pPr>
          </w:p>
        </w:tc>
        <w:tc>
          <w:tcPr>
            <w:tcW w:w="2931" w:type="dxa"/>
            <w:vAlign w:val="center"/>
          </w:tcPr>
          <w:p w14:paraId="3FEA6058">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（6）投标文件形式内容</w:t>
            </w:r>
          </w:p>
        </w:tc>
        <w:tc>
          <w:tcPr>
            <w:tcW w:w="5101" w:type="dxa"/>
            <w:vAlign w:val="center"/>
          </w:tcPr>
          <w:p w14:paraId="5A7A836C">
            <w:pPr>
              <w:keepNext w:val="0"/>
              <w:keepLines w:val="0"/>
              <w:suppressLineNumbers w:val="0"/>
              <w:shd w:val="clear"/>
              <w:kinsoku/>
              <w:overflowPunct/>
              <w:topLinePunct w:val="0"/>
              <w:bidi w:val="0"/>
              <w:spacing w:before="0" w:beforeAutospacing="0" w:after="0" w:afterAutospacing="0" w:line="440" w:lineRule="exact"/>
              <w:ind w:left="0" w:right="0"/>
              <w:rPr>
                <w:rFonts w:hint="default" w:ascii="宋体" w:cs="仿宋_GB2312"/>
                <w:color w:val="auto"/>
                <w:highlight w:val="none"/>
                <w:lang w:val="zh-CN"/>
              </w:rPr>
            </w:pPr>
            <w:r>
              <w:rPr>
                <w:rFonts w:hint="eastAsia" w:ascii="宋体" w:cs="仿宋_GB2312"/>
                <w:color w:val="auto"/>
                <w:highlight w:val="none"/>
                <w:lang w:val="zh-CN"/>
              </w:rPr>
              <w:t>投标文件内容清晰、齐全无遗漏。</w:t>
            </w:r>
          </w:p>
        </w:tc>
      </w:tr>
    </w:tbl>
    <w:p w14:paraId="021D44BD">
      <w:pPr>
        <w:shd w:val="clear"/>
        <w:kinsoku/>
        <w:overflowPunct/>
        <w:topLinePunct w:val="0"/>
        <w:bidi w:val="0"/>
        <w:spacing w:line="440" w:lineRule="exact"/>
        <w:ind w:firstLine="420" w:firstLineChars="200"/>
        <w:rPr>
          <w:rFonts w:ascii="宋体"/>
          <w:color w:val="auto"/>
          <w:highlight w:val="none"/>
        </w:rPr>
      </w:pPr>
      <w:r>
        <w:rPr>
          <w:rFonts w:hint="eastAsia" w:ascii="宋体"/>
          <w:color w:val="auto"/>
          <w:highlight w:val="none"/>
        </w:rPr>
        <w:t>4.2资格审查及评分细则中涉及的有关证明材料及相关证书，电子投标文件中须按招标文件要求上传</w:t>
      </w:r>
      <w:r>
        <w:rPr>
          <w:rFonts w:hint="eastAsia" w:ascii="宋体" w:hAnsi="宋体"/>
          <w:b/>
          <w:color w:val="auto"/>
          <w:highlight w:val="none"/>
        </w:rPr>
        <w:t>扫描件</w:t>
      </w:r>
      <w:r>
        <w:rPr>
          <w:rFonts w:hint="eastAsia" w:ascii="宋体"/>
          <w:color w:val="auto"/>
          <w:highlight w:val="none"/>
        </w:rPr>
        <w:t>，以供审查。</w:t>
      </w:r>
    </w:p>
    <w:p w14:paraId="4B5CCE04">
      <w:pPr>
        <w:shd w:val="clear"/>
        <w:kinsoku/>
        <w:overflowPunct/>
        <w:topLinePunct w:val="0"/>
        <w:bidi w:val="0"/>
        <w:spacing w:line="440" w:lineRule="exact"/>
        <w:ind w:firstLine="420" w:firstLineChars="200"/>
        <w:rPr>
          <w:rFonts w:ascii="宋体"/>
          <w:color w:val="auto"/>
          <w:highlight w:val="none"/>
        </w:rPr>
      </w:pPr>
      <w:r>
        <w:rPr>
          <w:rFonts w:hint="eastAsia" w:ascii="宋体"/>
          <w:color w:val="auto"/>
          <w:highlight w:val="none"/>
        </w:rPr>
        <w:t>4.3．评标委员会判定投标文件的响应性只根据投标文件本身的内容，而不寻求外部的证据，但投标有不真实不正确的内容时除外。</w:t>
      </w:r>
    </w:p>
    <w:p w14:paraId="72B119F0">
      <w:pPr>
        <w:shd w:val="clear"/>
        <w:kinsoku/>
        <w:overflowPunct/>
        <w:topLinePunct w:val="0"/>
        <w:bidi w:val="0"/>
        <w:spacing w:line="440" w:lineRule="exact"/>
        <w:ind w:firstLine="420" w:firstLineChars="200"/>
        <w:rPr>
          <w:rFonts w:ascii="宋体" w:hAnsi="宋体" w:cs="宋体"/>
          <w:b/>
          <w:bCs/>
          <w:color w:val="auto"/>
          <w:sz w:val="24"/>
          <w:szCs w:val="24"/>
          <w:highlight w:val="none"/>
        </w:rPr>
      </w:pPr>
      <w:r>
        <w:rPr>
          <w:rFonts w:hint="eastAsia" w:ascii="宋体"/>
          <w:color w:val="auto"/>
          <w:highlight w:val="none"/>
        </w:rPr>
        <w:t>4.4如果投标文件实质上没有响应招标文件的要求，评标委员会将予以拒绝，投标人不得通过修正或撤销不符合要求的偏离或保留，而使其投标成为实质上响应的投标。</w:t>
      </w:r>
    </w:p>
    <w:p w14:paraId="42B5345B">
      <w:pPr>
        <w:shd w:val="clear"/>
        <w:kinsoku/>
        <w:overflowPunct/>
        <w:topLinePunct w:val="0"/>
        <w:bidi w:val="0"/>
        <w:spacing w:before="318" w:beforeLines="100" w:line="440" w:lineRule="exact"/>
        <w:jc w:val="center"/>
        <w:outlineLvl w:val="1"/>
        <w:rPr>
          <w:rFonts w:ascii="宋体" w:hAnsi="宋体" w:cs="宋体"/>
          <w:b/>
          <w:bCs/>
          <w:color w:val="auto"/>
          <w:sz w:val="24"/>
          <w:szCs w:val="24"/>
          <w:highlight w:val="none"/>
        </w:rPr>
      </w:pPr>
      <w:r>
        <w:rPr>
          <w:rFonts w:hint="eastAsia" w:ascii="宋体" w:hAnsi="宋体" w:cs="宋体"/>
          <w:b/>
          <w:bCs/>
          <w:color w:val="auto"/>
          <w:sz w:val="24"/>
          <w:szCs w:val="24"/>
          <w:highlight w:val="none"/>
        </w:rPr>
        <w:t>三、投标文件的澄清和补正</w:t>
      </w:r>
      <w:bookmarkEnd w:id="62"/>
    </w:p>
    <w:p w14:paraId="7907F045">
      <w:pPr>
        <w:shd w:val="clear"/>
        <w:kinsoku/>
        <w:overflowPunct/>
        <w:topLinePunct w:val="0"/>
        <w:bidi w:val="0"/>
        <w:spacing w:line="440" w:lineRule="exact"/>
        <w:ind w:firstLine="525" w:firstLineChars="250"/>
        <w:rPr>
          <w:rFonts w:ascii="宋体" w:hAnsi="宋体" w:cs="宋体"/>
          <w:color w:val="auto"/>
          <w:highlight w:val="none"/>
        </w:rPr>
      </w:pPr>
      <w:r>
        <w:rPr>
          <w:rFonts w:hint="eastAsia" w:ascii="宋体" w:hAnsi="宋体" w:cs="宋体"/>
          <w:color w:val="auto"/>
          <w:highlight w:val="none"/>
        </w:rPr>
        <w:t>5.评审阶段，评委可能会要求有关投标人就其投标书中含义不明确、同类问题表述不一致或者有明显文字和计算错误的内容进行澄清。</w:t>
      </w:r>
      <w:r>
        <w:rPr>
          <w:rFonts w:hint="eastAsia" w:ascii="宋体" w:hAnsi="宋体" w:cs="宋体"/>
          <w:b/>
          <w:bCs/>
          <w:color w:val="auto"/>
          <w:highlight w:val="none"/>
        </w:rPr>
        <w:t>如因投标人未参加开标导致开评标过程中无法澄清、说明或补正的，视同投标人放弃该权利。</w:t>
      </w:r>
    </w:p>
    <w:p w14:paraId="42BAAD84">
      <w:pPr>
        <w:shd w:val="clear"/>
        <w:kinsoku/>
        <w:overflowPunct/>
        <w:topLinePunct w:val="0"/>
        <w:bidi w:val="0"/>
        <w:spacing w:line="440" w:lineRule="exact"/>
        <w:ind w:firstLine="403" w:firstLineChars="192"/>
        <w:rPr>
          <w:rFonts w:hint="eastAsia"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1</w:t>
      </w:r>
      <w:r>
        <w:rPr>
          <w:rFonts w:hint="eastAsia" w:ascii="宋体" w:hAnsi="宋体" w:cs="宋体"/>
          <w:color w:val="auto"/>
          <w:highlight w:val="none"/>
        </w:rPr>
        <w:t>投标人的澄清、说明或者补正应当在系统进行，但不得超出投标文件的范围或者改变投标文件的实质性内容。</w:t>
      </w:r>
    </w:p>
    <w:p w14:paraId="65A61BAE">
      <w:pPr>
        <w:shd w:val="clear"/>
        <w:kinsoku/>
        <w:overflowPunct/>
        <w:topLinePunct w:val="0"/>
        <w:bidi w:val="0"/>
        <w:spacing w:line="440" w:lineRule="exact"/>
        <w:ind w:firstLine="403" w:firstLineChars="192"/>
        <w:rPr>
          <w:rFonts w:hint="eastAsia"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2</w:t>
      </w:r>
      <w:r>
        <w:rPr>
          <w:rFonts w:hint="eastAsia" w:ascii="宋体" w:hAnsi="宋体" w:cs="宋体"/>
          <w:color w:val="auto"/>
          <w:highlight w:val="none"/>
        </w:rPr>
        <w:t>评委会修正错误的原则：</w:t>
      </w:r>
    </w:p>
    <w:p w14:paraId="53A78A59">
      <w:pPr>
        <w:shd w:val="clear"/>
        <w:kinsoku/>
        <w:overflowPunct/>
        <w:topLinePunct w:val="0"/>
        <w:bidi w:val="0"/>
        <w:spacing w:line="440" w:lineRule="exact"/>
        <w:ind w:firstLine="403" w:firstLineChars="192"/>
        <w:rPr>
          <w:rFonts w:hint="eastAsia"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2</w:t>
      </w:r>
      <w:r>
        <w:rPr>
          <w:rFonts w:hint="eastAsia" w:ascii="宋体" w:hAnsi="宋体" w:cs="宋体"/>
          <w:color w:val="auto"/>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81A9295">
      <w:pPr>
        <w:shd w:val="clear"/>
        <w:kinsoku/>
        <w:overflowPunct/>
        <w:topLinePunct w:val="0"/>
        <w:bidi w:val="0"/>
        <w:spacing w:line="440" w:lineRule="exact"/>
        <w:ind w:firstLine="403" w:firstLineChars="192"/>
        <w:rPr>
          <w:rFonts w:hint="eastAsia"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2</w:t>
      </w:r>
      <w:r>
        <w:rPr>
          <w:rFonts w:hint="eastAsia" w:ascii="宋体" w:hAnsi="宋体" w:cs="宋体"/>
          <w:color w:val="auto"/>
          <w:highlight w:val="none"/>
        </w:rPr>
        <w:t>.2如果单价与数量的乘积和总价不一致，以单价为准，修正总价及开标一览表；当单价小数点有明显的错位时，评委会将以总价为准，并修正其单价。</w:t>
      </w:r>
    </w:p>
    <w:p w14:paraId="7A2E58E8">
      <w:pPr>
        <w:shd w:val="clear"/>
        <w:kinsoku/>
        <w:overflowPunct/>
        <w:topLinePunct w:val="0"/>
        <w:bidi w:val="0"/>
        <w:spacing w:line="440" w:lineRule="exact"/>
        <w:ind w:firstLine="403" w:firstLineChars="192"/>
        <w:rPr>
          <w:rFonts w:hint="eastAsia" w:ascii="宋体" w:hAnsi="宋体" w:eastAsia="宋体" w:cs="宋体"/>
          <w:color w:val="auto"/>
          <w:highlight w:val="none"/>
          <w:lang w:eastAsia="zh-CN"/>
        </w:rPr>
      </w:pPr>
      <w:r>
        <w:rPr>
          <w:rFonts w:hint="eastAsia" w:ascii="宋体" w:hAnsi="宋体" w:cs="宋体"/>
          <w:color w:val="auto"/>
          <w:highlight w:val="none"/>
        </w:rPr>
        <w:t>5.</w:t>
      </w:r>
      <w:r>
        <w:rPr>
          <w:rFonts w:hint="eastAsia" w:ascii="宋体" w:hAnsi="宋体" w:cs="宋体"/>
          <w:color w:val="auto"/>
          <w:highlight w:val="none"/>
          <w:lang w:val="en-US" w:eastAsia="zh-CN"/>
        </w:rPr>
        <w:t>3</w:t>
      </w:r>
      <w:r>
        <w:rPr>
          <w:rFonts w:hint="eastAsia" w:ascii="宋体" w:hAnsi="宋体" w:cs="宋体"/>
          <w:color w:val="auto"/>
          <w:highlight w:val="none"/>
        </w:rPr>
        <w:t>评委会将按上述修正错误的方法调整投标文件中的投标报价，调整后的价格应对投标人具有约束力。无论投标人是接受或是拒绝调整后的价格，都应当由投标人在系统中确认。</w:t>
      </w:r>
      <w:r>
        <w:rPr>
          <w:rFonts w:hint="eastAsia" w:ascii="宋体" w:hAnsi="宋体" w:cs="宋体"/>
          <w:b/>
          <w:bCs/>
          <w:color w:val="auto"/>
          <w:highlight w:val="none"/>
        </w:rPr>
        <w:t>投标人拒绝对投标文件出现的错漏按上述原则进行修正、澄清、说明，评标委员会应当否决其投标</w:t>
      </w:r>
      <w:r>
        <w:rPr>
          <w:rFonts w:hint="eastAsia" w:ascii="宋体" w:hAnsi="宋体" w:cs="宋体"/>
          <w:b/>
          <w:bCs/>
          <w:color w:val="auto"/>
          <w:highlight w:val="none"/>
          <w:lang w:eastAsia="zh-CN"/>
        </w:rPr>
        <w:t>。</w:t>
      </w:r>
    </w:p>
    <w:p w14:paraId="1D5E31A8">
      <w:pPr>
        <w:shd w:val="clear"/>
        <w:kinsoku/>
        <w:overflowPunct/>
        <w:topLinePunct w:val="0"/>
        <w:bidi w:val="0"/>
        <w:rPr>
          <w:rFonts w:ascii="宋体" w:hAnsi="宋体" w:cs="宋体"/>
          <w:b/>
          <w:bCs/>
          <w:color w:val="auto"/>
          <w:sz w:val="24"/>
          <w:szCs w:val="24"/>
          <w:highlight w:val="none"/>
        </w:rPr>
      </w:pPr>
      <w:bookmarkStart w:id="63" w:name="_Toc30419"/>
    </w:p>
    <w:p w14:paraId="12CB14F9">
      <w:pPr>
        <w:numPr>
          <w:ilvl w:val="0"/>
          <w:numId w:val="0"/>
        </w:numPr>
        <w:shd w:val="clear"/>
        <w:kinsoku/>
        <w:overflowPunct/>
        <w:topLinePunct w:val="0"/>
        <w:bidi w:val="0"/>
        <w:spacing w:before="318" w:beforeLines="100" w:line="440" w:lineRule="exact"/>
        <w:jc w:val="center"/>
        <w:outlineLvl w:val="1"/>
        <w:rPr>
          <w:rFonts w:hint="eastAsia" w:ascii="宋体" w:hAnsi="宋体" w:cs="宋体"/>
          <w:b/>
          <w:bCs/>
          <w:color w:val="auto"/>
          <w:sz w:val="24"/>
          <w:szCs w:val="24"/>
          <w:highlight w:val="none"/>
        </w:rPr>
      </w:pPr>
      <w:r>
        <w:rPr>
          <w:rFonts w:hint="eastAsia" w:ascii="宋体" w:hAnsi="宋体" w:eastAsia="宋体" w:cs="宋体"/>
          <w:b/>
          <w:bCs/>
          <w:color w:val="auto"/>
          <w:kern w:val="2"/>
          <w:sz w:val="24"/>
          <w:szCs w:val="24"/>
          <w:lang w:val="en-US" w:eastAsia="zh-CN" w:bidi="ar-SA"/>
        </w:rPr>
        <w:t>四、</w:t>
      </w:r>
      <w:bookmarkEnd w:id="63"/>
      <w:r>
        <w:rPr>
          <w:rFonts w:hint="eastAsia" w:ascii="宋体" w:hAnsi="宋体" w:cs="宋体"/>
          <w:b/>
          <w:bCs/>
          <w:color w:val="auto"/>
          <w:sz w:val="24"/>
          <w:szCs w:val="24"/>
          <w:highlight w:val="none"/>
        </w:rPr>
        <w:t xml:space="preserve">比较与评价 </w:t>
      </w:r>
    </w:p>
    <w:p w14:paraId="0E8D5282">
      <w:pPr>
        <w:shd w:val="clear"/>
        <w:kinsoku/>
        <w:overflowPunct/>
        <w:topLinePunct w:val="0"/>
        <w:bidi w:val="0"/>
        <w:spacing w:line="440" w:lineRule="exact"/>
        <w:ind w:firstLine="405" w:firstLineChars="192"/>
        <w:rPr>
          <w:rFonts w:hint="eastAsia" w:ascii="宋体" w:hAnsi="宋体" w:cs="宋体"/>
          <w:b/>
          <w:bCs/>
          <w:color w:val="auto"/>
          <w:highlight w:val="none"/>
        </w:rPr>
      </w:pPr>
      <w:r>
        <w:rPr>
          <w:rFonts w:hint="eastAsia" w:ascii="宋体" w:hAnsi="宋体" w:cs="宋体"/>
          <w:b/>
          <w:bCs/>
          <w:color w:val="auto"/>
          <w:highlight w:val="none"/>
        </w:rPr>
        <w:t>6.详细评审即按招标文件中规定的评标方法和标准，评标委员会将对通过初审的投标文件，进行综合比较与评价。</w:t>
      </w:r>
    </w:p>
    <w:tbl>
      <w:tblPr>
        <w:tblStyle w:val="47"/>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52"/>
        <w:gridCol w:w="1078"/>
        <w:gridCol w:w="840"/>
        <w:gridCol w:w="7217"/>
      </w:tblGrid>
      <w:tr w14:paraId="0B50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2" w:hRule="atLeast"/>
        </w:trPr>
        <w:tc>
          <w:tcPr>
            <w:tcW w:w="7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5A411">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序号</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22AD1">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评分因素</w:t>
            </w:r>
          </w:p>
        </w:tc>
        <w:tc>
          <w:tcPr>
            <w:tcW w:w="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27F14">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分值</w:t>
            </w:r>
          </w:p>
        </w:tc>
        <w:tc>
          <w:tcPr>
            <w:tcW w:w="72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4C11A8">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评审细则</w:t>
            </w:r>
          </w:p>
        </w:tc>
      </w:tr>
      <w:tr w14:paraId="7CD8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2" w:hRule="atLeast"/>
        </w:trPr>
        <w:tc>
          <w:tcPr>
            <w:tcW w:w="7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8D91C">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bidi="ar"/>
              </w:rPr>
              <w:t>1</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1C056">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bidi="ar"/>
              </w:rPr>
              <w:t>报价</w:t>
            </w:r>
          </w:p>
        </w:tc>
        <w:tc>
          <w:tcPr>
            <w:tcW w:w="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7C7A18">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bidi="ar"/>
              </w:rPr>
              <w:t>100分</w:t>
            </w:r>
          </w:p>
        </w:tc>
        <w:tc>
          <w:tcPr>
            <w:tcW w:w="72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C43A1">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（1）招标人设置投标报价最高限价，各投标人有效报价不得高于最高限价，否则，其投标文件按无效标处理。 </w:t>
            </w:r>
          </w:p>
          <w:p w14:paraId="0482B4B0">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（2）评标基准值=所有有效投标人投标报价的算术平均值（小数点后保留两位小数，小数点后第三位四舍五入）。</w:t>
            </w:r>
          </w:p>
          <w:p w14:paraId="11851AC6">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（3）计算报价偏差率</w:t>
            </w:r>
          </w:p>
          <w:p w14:paraId="13E44DEE">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①偏差率=|（投标报价-评标基准价）/评标基准价|×100%</w:t>
            </w:r>
          </w:p>
          <w:p w14:paraId="56516656">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（4）计算报价得分</w:t>
            </w:r>
          </w:p>
          <w:p w14:paraId="08930D15">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①投标报价等于评标基准价的得满分。</w:t>
            </w:r>
          </w:p>
          <w:p w14:paraId="1ABA1147">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②投标报价高于评标基准价的，投标报价得分=报价满分值-偏差率×100×1</w:t>
            </w:r>
          </w:p>
          <w:p w14:paraId="5548DD50">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③投标报价低于评标基准价的，投标报价得分=报价满分值-偏差率×100×0.5。</w:t>
            </w:r>
          </w:p>
          <w:p w14:paraId="614221CB">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注：计算过程中，评标基准值、偏差率、报价得分均保留两位小数，小数点后第三位四舍五入。</w:t>
            </w:r>
          </w:p>
          <w:p w14:paraId="51057492">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b w:val="0"/>
                <w:bCs w:val="0"/>
                <w:kern w:val="2"/>
                <w:sz w:val="21"/>
                <w:szCs w:val="21"/>
              </w:rPr>
            </w:pPr>
            <w:r>
              <w:rPr>
                <w:rFonts w:hint="eastAsia" w:ascii="宋体" w:hAnsi="宋体" w:eastAsia="宋体" w:cs="宋体"/>
                <w:kern w:val="2"/>
                <w:sz w:val="21"/>
                <w:szCs w:val="21"/>
                <w:lang w:val="en-US" w:eastAsia="zh-CN" w:bidi="ar"/>
              </w:rPr>
              <w:t>（5）本项分值由评标委员会计算。</w:t>
            </w:r>
          </w:p>
        </w:tc>
      </w:tr>
    </w:tbl>
    <w:p w14:paraId="4B41FB64">
      <w:pPr>
        <w:shd w:val="clear"/>
        <w:kinsoku/>
        <w:overflowPunct/>
        <w:topLinePunct w:val="0"/>
        <w:bidi w:val="0"/>
        <w:spacing w:line="440" w:lineRule="exact"/>
        <w:ind w:firstLine="405" w:firstLineChars="192"/>
        <w:rPr>
          <w:rFonts w:hint="eastAsia" w:ascii="宋体" w:hAnsi="宋体" w:cs="宋体"/>
          <w:b/>
          <w:bCs/>
          <w:color w:val="auto"/>
          <w:highlight w:val="none"/>
        </w:rPr>
      </w:pPr>
    </w:p>
    <w:p w14:paraId="4C251674">
      <w:pPr>
        <w:shd w:val="clear"/>
        <w:kinsoku/>
        <w:overflowPunct/>
        <w:topLinePunct w:val="0"/>
        <w:bidi w:val="0"/>
        <w:spacing w:before="318" w:beforeLines="100" w:line="360" w:lineRule="exact"/>
        <w:jc w:val="center"/>
        <w:outlineLvl w:val="1"/>
        <w:rPr>
          <w:rFonts w:ascii="宋体" w:hAnsi="宋体" w:cs="宋体"/>
          <w:b/>
          <w:bCs/>
          <w:color w:val="auto"/>
          <w:sz w:val="24"/>
          <w:szCs w:val="24"/>
          <w:highlight w:val="none"/>
        </w:rPr>
      </w:pPr>
      <w:bookmarkStart w:id="64" w:name="_Toc20318"/>
      <w:r>
        <w:rPr>
          <w:rFonts w:hint="eastAsia" w:ascii="宋体" w:hAnsi="宋体" w:cs="宋体"/>
          <w:b/>
          <w:bCs/>
          <w:color w:val="auto"/>
          <w:sz w:val="24"/>
          <w:szCs w:val="24"/>
          <w:highlight w:val="none"/>
        </w:rPr>
        <w:t>五、推荐中标候选人</w:t>
      </w:r>
      <w:bookmarkEnd w:id="64"/>
    </w:p>
    <w:p w14:paraId="5D74C42D">
      <w:pPr>
        <w:pStyle w:val="2"/>
        <w:shd w:val="clear"/>
        <w:kinsoku/>
        <w:overflowPunct/>
        <w:topLinePunct w:val="0"/>
        <w:bidi w:val="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7.评标委员会按照本章规定的评分标准进行打分，并按总得分由高到低顺序推荐3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3名的投标人投标文件进行评审并确定中标候选人。若排序前3名的投标人投标文件评审不通过，则按得分排序递补至3家投标人进行投标文件评审。 </w:t>
      </w:r>
    </w:p>
    <w:p w14:paraId="7E49FFCE">
      <w:pPr>
        <w:pStyle w:val="2"/>
        <w:shd w:val="clear"/>
        <w:kinsoku/>
        <w:overflowPunct/>
        <w:topLinePunct w:val="0"/>
        <w:bidi w:val="0"/>
        <w:spacing w:line="440" w:lineRule="exac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7.1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5BEB1229">
      <w:pPr>
        <w:shd w:val="clear"/>
        <w:kinsoku/>
        <w:overflowPunct/>
        <w:topLinePunct w:val="0"/>
        <w:bidi w:val="0"/>
        <w:snapToGrid w:val="0"/>
        <w:spacing w:line="440" w:lineRule="exact"/>
        <w:ind w:firstLine="570"/>
        <w:rPr>
          <w:rFonts w:ascii="宋体"/>
          <w:b/>
          <w:color w:val="auto"/>
          <w:highlight w:val="none"/>
        </w:rPr>
      </w:pPr>
      <w:r>
        <w:rPr>
          <w:rFonts w:hint="eastAsia" w:ascii="宋体"/>
          <w:b/>
          <w:color w:val="auto"/>
          <w:highlight w:val="none"/>
          <w:lang w:val="en-US" w:eastAsia="zh-CN"/>
        </w:rPr>
        <w:t>8</w:t>
      </w:r>
      <w:r>
        <w:rPr>
          <w:rFonts w:hint="eastAsia" w:ascii="宋体"/>
          <w:b/>
          <w:color w:val="auto"/>
          <w:highlight w:val="none"/>
        </w:rPr>
        <w:t>.</w:t>
      </w:r>
      <w:r>
        <w:rPr>
          <w:rFonts w:hint="eastAsia" w:ascii="宋体" w:hAnsi="宋体"/>
          <w:b/>
          <w:color w:val="auto"/>
          <w:sz w:val="24"/>
          <w:highlight w:val="none"/>
        </w:rPr>
        <w:t xml:space="preserve"> </w:t>
      </w:r>
      <w:r>
        <w:rPr>
          <w:rFonts w:hint="eastAsia" w:ascii="宋体"/>
          <w:b/>
          <w:color w:val="auto"/>
          <w:highlight w:val="none"/>
        </w:rPr>
        <w:t>无效投标条款</w:t>
      </w:r>
    </w:p>
    <w:p w14:paraId="628B3FBC">
      <w:pPr>
        <w:shd w:val="clear"/>
        <w:kinsoku/>
        <w:overflowPunct/>
        <w:topLinePunct w:val="0"/>
        <w:bidi w:val="0"/>
        <w:snapToGrid w:val="0"/>
        <w:spacing w:line="400" w:lineRule="exact"/>
        <w:ind w:firstLine="525" w:firstLineChars="250"/>
        <w:rPr>
          <w:rFonts w:ascii="宋体" w:cs="宋体"/>
          <w:color w:val="auto"/>
          <w:highlight w:val="none"/>
        </w:rPr>
      </w:pPr>
      <w:r>
        <w:rPr>
          <w:rFonts w:hint="eastAsia" w:ascii="宋体" w:cs="宋体"/>
          <w:color w:val="auto"/>
          <w:highlight w:val="none"/>
          <w:lang w:val="en-US" w:eastAsia="zh-CN"/>
        </w:rPr>
        <w:t>8</w:t>
      </w:r>
      <w:r>
        <w:rPr>
          <w:rFonts w:hint="eastAsia" w:ascii="宋体" w:cs="宋体"/>
          <w:color w:val="auto"/>
          <w:highlight w:val="none"/>
        </w:rPr>
        <w:t>.1投标文件有下列情形之一的,其投标文件拒收：</w:t>
      </w:r>
    </w:p>
    <w:p w14:paraId="07C7EC04">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（1）未在开标截止时间前通过网上招标投标系统递交有效电子投标文件的，开标系统不予接收，投标将被拒绝。</w:t>
      </w:r>
    </w:p>
    <w:p w14:paraId="5FDA216F">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2）投标企业接到远程解密指令后，须在规定时间内解密。因投标人自身原因导致投标文件在规定时间内未能解密、解密失败或解密超时，投标文件无效；解密时间：从本项目投标截止时间开始计时，至完成投标文件解密时间，不得超过30分钟，否则投标文件将被拒绝。</w:t>
      </w:r>
    </w:p>
    <w:p w14:paraId="41DB0280">
      <w:pPr>
        <w:shd w:val="clear"/>
        <w:kinsoku/>
        <w:overflowPunct/>
        <w:topLinePunct w:val="0"/>
        <w:bidi w:val="0"/>
        <w:snapToGrid w:val="0"/>
        <w:spacing w:line="400" w:lineRule="exact"/>
        <w:ind w:firstLine="525" w:firstLineChars="250"/>
        <w:rPr>
          <w:rFonts w:ascii="宋体" w:cs="宋体"/>
          <w:color w:val="auto"/>
          <w:highlight w:val="none"/>
        </w:rPr>
      </w:pPr>
      <w:r>
        <w:rPr>
          <w:rFonts w:hint="eastAsia" w:ascii="宋体" w:cs="宋体"/>
          <w:color w:val="auto"/>
          <w:highlight w:val="none"/>
          <w:lang w:val="en-US" w:eastAsia="zh-CN"/>
        </w:rPr>
        <w:t>8</w:t>
      </w:r>
      <w:r>
        <w:rPr>
          <w:rFonts w:hint="eastAsia" w:ascii="宋体" w:cs="宋体"/>
          <w:color w:val="auto"/>
          <w:highlight w:val="none"/>
        </w:rPr>
        <w:t>.2 投标人有下列情形之一的,资格审查后其投标作无效投标处理：</w:t>
      </w:r>
    </w:p>
    <w:p w14:paraId="401168DA">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(1)投标人为本项目提供招标代理服务的；</w:t>
      </w:r>
    </w:p>
    <w:p w14:paraId="5B12CDD4">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(2)投标人与在本项目代理机构存在相互任职或工作的；</w:t>
      </w:r>
    </w:p>
    <w:p w14:paraId="1FD007D1">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(3)评标专家无法查看并检验电子投标文件中相关资料的；</w:t>
      </w:r>
    </w:p>
    <w:p w14:paraId="4229E351">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(4)联合体投标未提交联合体协议的；</w:t>
      </w:r>
    </w:p>
    <w:p w14:paraId="3F72F920">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(5)被责令停产停业的；</w:t>
      </w:r>
    </w:p>
    <w:p w14:paraId="05F582B5">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(6)被暂停或取消参与政府采购项目资格的；</w:t>
      </w:r>
    </w:p>
    <w:p w14:paraId="4927F24B">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(7)投标人单位负责人为同一人或者存在直接控股、管理关系的不同单位的；</w:t>
      </w:r>
    </w:p>
    <w:p w14:paraId="715784C6">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(8)保证金不按第二章“投标人须知”及其前附表要求提交投标保证金的；</w:t>
      </w:r>
    </w:p>
    <w:p w14:paraId="515A7A47">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(9)投标人基本资格条件和特定资格条件中有一项及以上不符合要求的；</w:t>
      </w:r>
    </w:p>
    <w:p w14:paraId="6A89F001">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(10)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016DE316">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(11)投标人单方面出现其他投标人材料的；</w:t>
      </w:r>
    </w:p>
    <w:p w14:paraId="217D32A6">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(12)其它情形，经评标委员会委提出按无效投标处理；</w:t>
      </w:r>
    </w:p>
    <w:p w14:paraId="12649FDF">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(13)招标文件规定的其它无效投标情形。</w:t>
      </w:r>
    </w:p>
    <w:p w14:paraId="39DD90A5">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lang w:val="en-US" w:eastAsia="zh-CN"/>
        </w:rPr>
        <w:t>8</w:t>
      </w:r>
      <w:r>
        <w:rPr>
          <w:rFonts w:hint="eastAsia" w:ascii="宋体" w:hAnsi="宋体" w:cs="宋体"/>
          <w:bCs/>
          <w:color w:val="auto"/>
          <w:highlight w:val="none"/>
        </w:rPr>
        <w:t>.3 投标人有下列情形之一的,符合性审查后其投标按无效投标处理：</w:t>
      </w:r>
    </w:p>
    <w:p w14:paraId="0050E344">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(1)投标文件签字、盖章不全，经评标委员会一致认定对开评标内容有实质性影响的；</w:t>
      </w:r>
    </w:p>
    <w:p w14:paraId="1D1E3DF0">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(2)未按规定的格式填写导致实质性内容不全以及实质上不响应，或者关键字迹模糊、无法辨认的；</w:t>
      </w:r>
    </w:p>
    <w:p w14:paraId="09582F32">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(3)同一投标人提交两个以上不同的投标文件或者投标报价，但招标文件规定提交备选方案的除外；</w:t>
      </w:r>
    </w:p>
    <w:p w14:paraId="1FCA7349">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(4)投标文件没有对招标文件的实质性要求和条件作出响应；</w:t>
      </w:r>
    </w:p>
    <w:p w14:paraId="2AAB92DD">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 xml:space="preserve">(5)投标报价超出规定的投标限价或公布的采购预算的或投标人的投标报价各项单价高于招标文件给定的单价最高限价； </w:t>
      </w:r>
    </w:p>
    <w:p w14:paraId="1DE3EA2E">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(6)不按评标委员会要求澄清、说明或补正的，或者评标委员会根据招标文件的规定对投标文件的计算错误进行修正后，投标人不接受修正的投标报价的；</w:t>
      </w:r>
    </w:p>
    <w:p w14:paraId="19DB6E96">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(7)其它情形，经评标委员会提出按无效投标处理的；</w:t>
      </w:r>
    </w:p>
    <w:p w14:paraId="53491816">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(8)投标文件含有招标人不能接受的附加条件的；</w:t>
      </w:r>
    </w:p>
    <w:p w14:paraId="5944D965">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(9)招标文件规定的其它无效投标情形。</w:t>
      </w:r>
    </w:p>
    <w:p w14:paraId="4BD52FC1">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lang w:val="en-US" w:eastAsia="zh-CN"/>
        </w:rPr>
        <w:t>8</w:t>
      </w:r>
      <w:r>
        <w:rPr>
          <w:rFonts w:hint="eastAsia" w:ascii="宋体" w:hAnsi="宋体" w:cs="宋体"/>
          <w:bCs/>
          <w:color w:val="auto"/>
          <w:highlight w:val="none"/>
        </w:rPr>
        <w:t>.4 投标人有下列情形之一的, 详细评审后其投标按无效投标处理：</w:t>
      </w:r>
    </w:p>
    <w:p w14:paraId="3DC0EC1B">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(1)投标产品不符合必须强制执行的国家标准的；</w:t>
      </w:r>
    </w:p>
    <w:p w14:paraId="41118905">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(2)投标人有串通投标、弄虚作假、行贿等违法行为；</w:t>
      </w:r>
    </w:p>
    <w:p w14:paraId="1166E80F">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(3)投标文件含有违反国家法律、法规的内容，或附有招标人不能接受的条件的；</w:t>
      </w:r>
    </w:p>
    <w:p w14:paraId="3E6EE3F2">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(4)报价明显低于其他投标人，且不能证明报价合理性的投标无效；</w:t>
      </w:r>
    </w:p>
    <w:p w14:paraId="5DE52ACE">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(5)拒不确认评标委员会评审修正的投标无效；</w:t>
      </w:r>
    </w:p>
    <w:p w14:paraId="5BD6231F">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(6)其它情形，经评标委员会提出按无效投标处理的；</w:t>
      </w:r>
    </w:p>
    <w:p w14:paraId="17A288F2">
      <w:pPr>
        <w:shd w:val="clear"/>
        <w:kinsoku/>
        <w:overflowPunct/>
        <w:topLinePunct w:val="0"/>
        <w:bidi w:val="0"/>
        <w:snapToGrid w:val="0"/>
        <w:spacing w:line="440" w:lineRule="exact"/>
        <w:ind w:right="-212" w:rightChars="-101" w:firstLine="420" w:firstLineChars="200"/>
        <w:rPr>
          <w:rFonts w:ascii="宋体" w:hAnsi="宋体" w:cs="宋体"/>
          <w:bCs/>
          <w:color w:val="auto"/>
          <w:highlight w:val="none"/>
        </w:rPr>
      </w:pPr>
      <w:r>
        <w:rPr>
          <w:rFonts w:hint="eastAsia" w:ascii="宋体" w:hAnsi="宋体" w:cs="宋体"/>
          <w:bCs/>
          <w:color w:val="auto"/>
          <w:highlight w:val="none"/>
        </w:rPr>
        <w:t>(7)招标文件规定的其它无效投标情形。</w:t>
      </w:r>
    </w:p>
    <w:p w14:paraId="3D4D09A7">
      <w:pPr>
        <w:shd w:val="clear"/>
        <w:kinsoku/>
        <w:overflowPunct/>
        <w:topLinePunct w:val="0"/>
        <w:bidi w:val="0"/>
        <w:rPr>
          <w:color w:val="auto"/>
          <w:highlight w:val="none"/>
        </w:rPr>
      </w:pPr>
    </w:p>
    <w:bookmarkEnd w:id="54"/>
    <w:bookmarkEnd w:id="55"/>
    <w:p w14:paraId="7A2E9550">
      <w:pPr>
        <w:pStyle w:val="6"/>
        <w:pageBreakBefore/>
        <w:shd w:val="clear"/>
        <w:kinsoku/>
        <w:overflowPunct/>
        <w:topLinePunct w:val="0"/>
        <w:bidi w:val="0"/>
        <w:spacing w:before="0" w:after="0"/>
        <w:rPr>
          <w:rFonts w:ascii="宋体" w:hAnsi="宋体" w:eastAsia="宋体" w:cs="宋体"/>
          <w:color w:val="auto"/>
          <w:sz w:val="30"/>
          <w:szCs w:val="30"/>
          <w:highlight w:val="none"/>
        </w:rPr>
      </w:pPr>
      <w:bookmarkStart w:id="65" w:name="_Toc3848"/>
      <w:bookmarkStart w:id="66" w:name="_Toc25366"/>
      <w:r>
        <w:rPr>
          <w:rFonts w:hint="eastAsia" w:ascii="宋体" w:hAnsi="宋体" w:eastAsia="宋体" w:cs="宋体"/>
          <w:color w:val="auto"/>
          <w:sz w:val="30"/>
          <w:szCs w:val="30"/>
          <w:highlight w:val="none"/>
        </w:rPr>
        <w:t>第</w:t>
      </w:r>
      <w:r>
        <w:rPr>
          <w:rFonts w:hint="eastAsia" w:ascii="宋体" w:hAnsi="宋体" w:eastAsia="宋体" w:cs="宋体"/>
          <w:color w:val="auto"/>
          <w:sz w:val="30"/>
          <w:szCs w:val="30"/>
          <w:highlight w:val="none"/>
          <w:lang w:val="en-US" w:eastAsia="zh-CN"/>
        </w:rPr>
        <w:t>四</w:t>
      </w:r>
      <w:r>
        <w:rPr>
          <w:rFonts w:hint="eastAsia" w:ascii="宋体" w:hAnsi="宋体" w:eastAsia="宋体" w:cs="宋体"/>
          <w:color w:val="auto"/>
          <w:sz w:val="30"/>
          <w:szCs w:val="30"/>
          <w:highlight w:val="none"/>
        </w:rPr>
        <w:t xml:space="preserve">章 </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合同条款</w:t>
      </w:r>
      <w:bookmarkEnd w:id="65"/>
      <w:r>
        <w:rPr>
          <w:rFonts w:hint="eastAsia" w:ascii="宋体" w:hAnsi="宋体" w:eastAsia="宋体" w:cs="宋体"/>
          <w:color w:val="auto"/>
          <w:sz w:val="30"/>
          <w:szCs w:val="30"/>
          <w:highlight w:val="none"/>
        </w:rPr>
        <w:t>（参考）</w:t>
      </w:r>
      <w:bookmarkEnd w:id="66"/>
    </w:p>
    <w:p w14:paraId="23DD65BB">
      <w:pPr>
        <w:shd w:val="clear"/>
        <w:kinsoku/>
        <w:overflowPunct/>
        <w:topLinePunct w:val="0"/>
        <w:bidi w:val="0"/>
        <w:rPr>
          <w:rFonts w:ascii="宋体" w:hAnsi="宋体" w:cs="宋体"/>
          <w:color w:val="auto"/>
          <w:highlight w:val="none"/>
        </w:rPr>
      </w:pPr>
    </w:p>
    <w:p w14:paraId="436C882E">
      <w:pPr>
        <w:shd w:val="clear"/>
        <w:kinsoku/>
        <w:overflowPunct/>
        <w:topLinePunct w:val="0"/>
        <w:bidi w:val="0"/>
        <w:spacing w:line="360" w:lineRule="auto"/>
        <w:jc w:val="center"/>
        <w:rPr>
          <w:rFonts w:hint="eastAsia" w:ascii="宋体" w:hAnsi="宋体"/>
          <w:color w:val="auto"/>
          <w:w w:val="90"/>
          <w:sz w:val="72"/>
          <w:szCs w:val="52"/>
          <w:highlight w:val="none"/>
        </w:rPr>
      </w:pPr>
    </w:p>
    <w:p w14:paraId="30F6CD59">
      <w:pPr>
        <w:shd w:val="clear"/>
        <w:kinsoku/>
        <w:overflowPunct/>
        <w:topLinePunct w:val="0"/>
        <w:bidi w:val="0"/>
        <w:spacing w:line="360" w:lineRule="auto"/>
        <w:jc w:val="center"/>
        <w:rPr>
          <w:rFonts w:ascii="宋体" w:hAnsi="宋体"/>
          <w:color w:val="auto"/>
          <w:w w:val="90"/>
          <w:sz w:val="72"/>
          <w:szCs w:val="52"/>
          <w:highlight w:val="none"/>
        </w:rPr>
      </w:pPr>
      <w:r>
        <w:rPr>
          <w:rFonts w:hint="eastAsia" w:ascii="宋体" w:hAnsi="宋体"/>
          <w:color w:val="auto"/>
          <w:w w:val="90"/>
          <w:sz w:val="72"/>
          <w:szCs w:val="52"/>
          <w:highlight w:val="none"/>
        </w:rPr>
        <w:t>建设工程造价咨询合同</w:t>
      </w:r>
    </w:p>
    <w:p w14:paraId="4205A415">
      <w:pPr>
        <w:shd w:val="clear"/>
        <w:kinsoku/>
        <w:overflowPunct/>
        <w:topLinePunct w:val="0"/>
        <w:bidi w:val="0"/>
        <w:jc w:val="center"/>
        <w:rPr>
          <w:rFonts w:ascii="宋体" w:hAnsi="宋体"/>
          <w:color w:val="auto"/>
          <w:sz w:val="52"/>
          <w:szCs w:val="52"/>
          <w:highlight w:val="none"/>
        </w:rPr>
      </w:pPr>
      <w:r>
        <w:rPr>
          <w:rFonts w:hint="eastAsia" w:ascii="宋体" w:hAnsi="宋体"/>
          <w:color w:val="auto"/>
          <w:sz w:val="52"/>
          <w:szCs w:val="52"/>
          <w:highlight w:val="none"/>
        </w:rPr>
        <w:t>（工程量清单及控制价复核）</w:t>
      </w:r>
    </w:p>
    <w:p w14:paraId="01AE74D2">
      <w:pPr>
        <w:shd w:val="clear"/>
        <w:kinsoku/>
        <w:overflowPunct/>
        <w:topLinePunct w:val="0"/>
        <w:bidi w:val="0"/>
        <w:jc w:val="center"/>
        <w:rPr>
          <w:rFonts w:ascii="宋体" w:hAnsi="宋体"/>
          <w:color w:val="auto"/>
          <w:sz w:val="72"/>
          <w:szCs w:val="72"/>
          <w:highlight w:val="none"/>
        </w:rPr>
      </w:pPr>
    </w:p>
    <w:p w14:paraId="41FC1A64">
      <w:pPr>
        <w:shd w:val="clear"/>
        <w:kinsoku/>
        <w:overflowPunct/>
        <w:topLinePunct w:val="0"/>
        <w:bidi w:val="0"/>
        <w:jc w:val="center"/>
        <w:rPr>
          <w:rFonts w:ascii="宋体" w:hAnsi="宋体"/>
          <w:color w:val="auto"/>
          <w:sz w:val="72"/>
          <w:szCs w:val="72"/>
          <w:highlight w:val="none"/>
        </w:rPr>
      </w:pPr>
    </w:p>
    <w:p w14:paraId="07796175">
      <w:pPr>
        <w:shd w:val="clear"/>
        <w:kinsoku/>
        <w:overflowPunct/>
        <w:topLinePunct w:val="0"/>
        <w:bidi w:val="0"/>
        <w:jc w:val="center"/>
        <w:rPr>
          <w:rFonts w:ascii="宋体" w:hAnsi="宋体"/>
          <w:color w:val="auto"/>
          <w:sz w:val="72"/>
          <w:szCs w:val="72"/>
          <w:highlight w:val="none"/>
        </w:rPr>
      </w:pPr>
    </w:p>
    <w:p w14:paraId="7DE01F69">
      <w:pPr>
        <w:pStyle w:val="2"/>
        <w:shd w:val="clear"/>
        <w:kinsoku/>
        <w:overflowPunct/>
        <w:topLinePunct w:val="0"/>
        <w:bidi w:val="0"/>
        <w:ind w:firstLine="560"/>
        <w:rPr>
          <w:color w:val="auto"/>
          <w:highlight w:val="none"/>
        </w:rPr>
      </w:pPr>
    </w:p>
    <w:p w14:paraId="148A792D">
      <w:pPr>
        <w:shd w:val="clear"/>
        <w:kinsoku/>
        <w:overflowPunct/>
        <w:topLinePunct w:val="0"/>
        <w:bidi w:val="0"/>
        <w:rPr>
          <w:color w:val="auto"/>
          <w:highlight w:val="none"/>
        </w:rPr>
      </w:pPr>
    </w:p>
    <w:p w14:paraId="13E2A37F">
      <w:pPr>
        <w:pStyle w:val="2"/>
        <w:shd w:val="clear"/>
        <w:kinsoku/>
        <w:overflowPunct/>
        <w:topLinePunct w:val="0"/>
        <w:bidi w:val="0"/>
        <w:ind w:firstLine="560"/>
        <w:rPr>
          <w:color w:val="auto"/>
          <w:highlight w:val="none"/>
        </w:rPr>
      </w:pPr>
    </w:p>
    <w:p w14:paraId="6B051B31">
      <w:pPr>
        <w:shd w:val="clear"/>
        <w:kinsoku/>
        <w:overflowPunct/>
        <w:topLinePunct w:val="0"/>
        <w:bidi w:val="0"/>
        <w:rPr>
          <w:color w:val="auto"/>
          <w:highlight w:val="none"/>
        </w:rPr>
      </w:pPr>
    </w:p>
    <w:p w14:paraId="2AB216B0">
      <w:pPr>
        <w:shd w:val="clear"/>
        <w:kinsoku/>
        <w:overflowPunct/>
        <w:topLinePunct w:val="0"/>
        <w:bidi w:val="0"/>
        <w:spacing w:line="240" w:lineRule="exact"/>
        <w:jc w:val="center"/>
        <w:rPr>
          <w:rFonts w:ascii="宋体" w:hAnsi="宋体"/>
          <w:color w:val="auto"/>
          <w:sz w:val="72"/>
          <w:szCs w:val="72"/>
          <w:highlight w:val="none"/>
        </w:rPr>
      </w:pPr>
    </w:p>
    <w:p w14:paraId="27C70E9C">
      <w:pPr>
        <w:shd w:val="clear"/>
        <w:kinsoku/>
        <w:overflowPunct/>
        <w:topLinePunct w:val="0"/>
        <w:bidi w:val="0"/>
        <w:spacing w:line="240" w:lineRule="exact"/>
        <w:jc w:val="center"/>
        <w:rPr>
          <w:rFonts w:ascii="宋体" w:hAnsi="宋体"/>
          <w:color w:val="auto"/>
          <w:sz w:val="72"/>
          <w:szCs w:val="72"/>
          <w:highlight w:val="none"/>
        </w:rPr>
      </w:pPr>
    </w:p>
    <w:p w14:paraId="6FD3C851">
      <w:pPr>
        <w:shd w:val="clear"/>
        <w:kinsoku/>
        <w:overflowPunct/>
        <w:topLinePunct w:val="0"/>
        <w:bidi w:val="0"/>
        <w:spacing w:line="800" w:lineRule="exact"/>
        <w:rPr>
          <w:rFonts w:ascii="宋体" w:hAnsi="宋体"/>
          <w:color w:val="auto"/>
          <w:sz w:val="36"/>
          <w:szCs w:val="30"/>
          <w:highlight w:val="none"/>
          <w:u w:val="single"/>
        </w:rPr>
      </w:pPr>
      <w:r>
        <w:rPr>
          <w:rFonts w:hint="eastAsia" w:ascii="宋体" w:hAnsi="宋体"/>
          <w:color w:val="auto"/>
          <w:sz w:val="36"/>
          <w:szCs w:val="30"/>
          <w:highlight w:val="none"/>
        </w:rPr>
        <w:t>委托人：</w:t>
      </w:r>
      <w:r>
        <w:rPr>
          <w:rFonts w:hint="eastAsia" w:ascii="宋体" w:hAnsi="宋体"/>
          <w:color w:val="auto"/>
          <w:sz w:val="32"/>
          <w:szCs w:val="28"/>
          <w:highlight w:val="none"/>
          <w:u w:val="single"/>
          <w:lang w:eastAsia="zh-CN"/>
        </w:rPr>
        <w:t>安徽省琅琊山旅游发展有限公司</w:t>
      </w:r>
      <w:r>
        <w:rPr>
          <w:rFonts w:hint="eastAsia" w:ascii="宋体" w:hAnsi="宋体"/>
          <w:color w:val="auto"/>
          <w:sz w:val="36"/>
          <w:szCs w:val="30"/>
          <w:highlight w:val="none"/>
          <w:u w:val="single"/>
        </w:rPr>
        <w:t xml:space="preserve"> </w:t>
      </w:r>
    </w:p>
    <w:p w14:paraId="238F225A">
      <w:pPr>
        <w:shd w:val="clear"/>
        <w:kinsoku/>
        <w:overflowPunct/>
        <w:topLinePunct w:val="0"/>
        <w:bidi w:val="0"/>
        <w:spacing w:line="800" w:lineRule="exact"/>
        <w:rPr>
          <w:rFonts w:ascii="宋体" w:hAnsi="宋体"/>
          <w:color w:val="auto"/>
          <w:sz w:val="36"/>
          <w:szCs w:val="30"/>
          <w:highlight w:val="none"/>
        </w:rPr>
      </w:pPr>
      <w:r>
        <w:rPr>
          <w:rFonts w:hint="eastAsia" w:ascii="宋体" w:hAnsi="宋体"/>
          <w:color w:val="auto"/>
          <w:sz w:val="36"/>
          <w:szCs w:val="30"/>
          <w:highlight w:val="none"/>
        </w:rPr>
        <w:t>受托人：</w:t>
      </w:r>
      <w:r>
        <w:rPr>
          <w:rFonts w:hint="eastAsia" w:ascii="宋体" w:hAnsi="宋体" w:cs="宋体"/>
          <w:color w:val="auto"/>
          <w:kern w:val="0"/>
          <w:sz w:val="28"/>
          <w:szCs w:val="28"/>
          <w:highlight w:val="none"/>
          <w:u w:val="single"/>
        </w:rPr>
        <w:t xml:space="preserve">                              .</w:t>
      </w:r>
      <w:r>
        <w:rPr>
          <w:rFonts w:ascii="宋体" w:hAnsi="宋体"/>
          <w:color w:val="auto"/>
          <w:sz w:val="36"/>
          <w:szCs w:val="30"/>
          <w:highlight w:val="none"/>
          <w:u w:val="single"/>
        </w:rPr>
        <w:t xml:space="preserve"> </w:t>
      </w:r>
      <w:r>
        <w:rPr>
          <w:rFonts w:hint="eastAsia" w:ascii="宋体" w:hAnsi="宋体"/>
          <w:color w:val="auto"/>
          <w:sz w:val="36"/>
          <w:szCs w:val="30"/>
          <w:highlight w:val="none"/>
          <w:u w:val="single"/>
        </w:rPr>
        <w:t xml:space="preserve">   </w:t>
      </w:r>
      <w:r>
        <w:rPr>
          <w:rFonts w:ascii="宋体" w:hAnsi="宋体"/>
          <w:color w:val="auto"/>
          <w:sz w:val="36"/>
          <w:szCs w:val="30"/>
          <w:highlight w:val="none"/>
          <w:u w:val="single"/>
        </w:rPr>
        <w:t xml:space="preserve">  </w:t>
      </w:r>
      <w:r>
        <w:rPr>
          <w:rFonts w:hint="eastAsia" w:ascii="宋体" w:hAnsi="宋体"/>
          <w:color w:val="auto"/>
          <w:sz w:val="36"/>
          <w:szCs w:val="30"/>
          <w:highlight w:val="none"/>
          <w:u w:val="single"/>
        </w:rPr>
        <w:t xml:space="preserve">                                            </w:t>
      </w:r>
      <w:r>
        <w:rPr>
          <w:rFonts w:hint="eastAsia" w:ascii="宋体" w:hAnsi="宋体"/>
          <w:color w:val="auto"/>
          <w:sz w:val="36"/>
          <w:szCs w:val="30"/>
          <w:highlight w:val="none"/>
        </w:rPr>
        <w:t xml:space="preserve">        </w:t>
      </w:r>
    </w:p>
    <w:p w14:paraId="05D870F9">
      <w:pPr>
        <w:shd w:val="clear"/>
        <w:kinsoku/>
        <w:overflowPunct/>
        <w:topLinePunct w:val="0"/>
        <w:bidi w:val="0"/>
        <w:spacing w:line="800" w:lineRule="exact"/>
        <w:rPr>
          <w:rFonts w:ascii="宋体" w:hAnsi="宋体"/>
          <w:color w:val="auto"/>
          <w:sz w:val="32"/>
          <w:szCs w:val="28"/>
          <w:highlight w:val="none"/>
          <w:u w:val="single"/>
        </w:rPr>
      </w:pPr>
      <w:r>
        <w:rPr>
          <w:rFonts w:hint="eastAsia" w:ascii="宋体" w:hAnsi="宋体"/>
          <w:color w:val="auto"/>
          <w:sz w:val="36"/>
          <w:szCs w:val="30"/>
          <w:highlight w:val="none"/>
        </w:rPr>
        <w:t>工程名称：</w:t>
      </w:r>
      <w:r>
        <w:rPr>
          <w:rFonts w:hint="eastAsia" w:ascii="宋体" w:hAnsi="宋体"/>
          <w:color w:val="auto"/>
          <w:sz w:val="32"/>
          <w:szCs w:val="28"/>
          <w:highlight w:val="none"/>
          <w:u w:val="single"/>
          <w:lang w:eastAsia="zh-CN"/>
        </w:rPr>
        <w:t>琅琊山欧阳修家风家训文旅综合体项目造价复审</w:t>
      </w:r>
    </w:p>
    <w:p w14:paraId="27EE071B">
      <w:pPr>
        <w:shd w:val="clear"/>
        <w:kinsoku/>
        <w:overflowPunct/>
        <w:topLinePunct w:val="0"/>
        <w:bidi w:val="0"/>
        <w:spacing w:line="800" w:lineRule="exact"/>
        <w:rPr>
          <w:rFonts w:ascii="宋体" w:hAnsi="宋体"/>
          <w:color w:val="auto"/>
          <w:sz w:val="36"/>
          <w:szCs w:val="30"/>
          <w:highlight w:val="none"/>
        </w:rPr>
      </w:pPr>
      <w:r>
        <w:rPr>
          <w:rFonts w:hint="eastAsia" w:ascii="宋体" w:hAnsi="宋体"/>
          <w:color w:val="auto"/>
          <w:sz w:val="36"/>
          <w:szCs w:val="30"/>
          <w:highlight w:val="none"/>
        </w:rPr>
        <w:t>签订时间：</w:t>
      </w:r>
      <w:r>
        <w:rPr>
          <w:rFonts w:ascii="宋体" w:hAnsi="宋体"/>
          <w:color w:val="auto"/>
          <w:sz w:val="36"/>
          <w:szCs w:val="30"/>
          <w:highlight w:val="none"/>
          <w:u w:val="single"/>
        </w:rPr>
        <w:t xml:space="preserve"> 20</w:t>
      </w:r>
      <w:r>
        <w:rPr>
          <w:rFonts w:hint="eastAsia" w:ascii="宋体" w:hAnsi="宋体"/>
          <w:color w:val="auto"/>
          <w:sz w:val="36"/>
          <w:szCs w:val="30"/>
          <w:highlight w:val="none"/>
          <w:u w:val="single"/>
        </w:rPr>
        <w:t>26</w:t>
      </w:r>
      <w:r>
        <w:rPr>
          <w:rFonts w:hint="eastAsia" w:ascii="宋体" w:hAnsi="宋体"/>
          <w:color w:val="auto"/>
          <w:sz w:val="36"/>
          <w:szCs w:val="30"/>
          <w:highlight w:val="none"/>
        </w:rPr>
        <w:t>年</w:t>
      </w:r>
      <w:r>
        <w:rPr>
          <w:rFonts w:ascii="宋体" w:hAnsi="宋体"/>
          <w:color w:val="auto"/>
          <w:sz w:val="36"/>
          <w:szCs w:val="30"/>
          <w:highlight w:val="none"/>
          <w:u w:val="single"/>
        </w:rPr>
        <w:t xml:space="preserve">  </w:t>
      </w:r>
      <w:r>
        <w:rPr>
          <w:rFonts w:hint="eastAsia" w:ascii="宋体" w:hAnsi="宋体"/>
          <w:color w:val="auto"/>
          <w:sz w:val="36"/>
          <w:szCs w:val="30"/>
          <w:highlight w:val="none"/>
          <w:u w:val="single"/>
        </w:rPr>
        <w:t xml:space="preserve">   </w:t>
      </w:r>
      <w:r>
        <w:rPr>
          <w:rFonts w:ascii="宋体" w:hAnsi="宋体"/>
          <w:color w:val="auto"/>
          <w:sz w:val="36"/>
          <w:szCs w:val="30"/>
          <w:highlight w:val="none"/>
          <w:u w:val="single"/>
        </w:rPr>
        <w:t xml:space="preserve"> </w:t>
      </w:r>
      <w:r>
        <w:rPr>
          <w:rFonts w:hint="eastAsia" w:ascii="宋体" w:hAnsi="宋体"/>
          <w:color w:val="auto"/>
          <w:sz w:val="36"/>
          <w:szCs w:val="30"/>
          <w:highlight w:val="none"/>
        </w:rPr>
        <w:t>月</w:t>
      </w:r>
      <w:r>
        <w:rPr>
          <w:rFonts w:ascii="宋体" w:hAnsi="宋体"/>
          <w:color w:val="auto"/>
          <w:sz w:val="36"/>
          <w:szCs w:val="30"/>
          <w:highlight w:val="none"/>
          <w:u w:val="single"/>
        </w:rPr>
        <w:t xml:space="preserve"> </w:t>
      </w:r>
      <w:r>
        <w:rPr>
          <w:rFonts w:hint="eastAsia" w:ascii="宋体" w:hAnsi="宋体"/>
          <w:color w:val="auto"/>
          <w:sz w:val="36"/>
          <w:szCs w:val="30"/>
          <w:highlight w:val="none"/>
          <w:u w:val="single"/>
        </w:rPr>
        <w:t xml:space="preserve">   </w:t>
      </w:r>
      <w:r>
        <w:rPr>
          <w:rFonts w:ascii="宋体" w:hAnsi="宋体"/>
          <w:color w:val="auto"/>
          <w:sz w:val="36"/>
          <w:szCs w:val="30"/>
          <w:highlight w:val="none"/>
          <w:u w:val="single"/>
        </w:rPr>
        <w:t xml:space="preserve">  </w:t>
      </w:r>
      <w:r>
        <w:rPr>
          <w:rFonts w:hint="eastAsia" w:ascii="宋体" w:hAnsi="宋体"/>
          <w:color w:val="auto"/>
          <w:sz w:val="36"/>
          <w:szCs w:val="30"/>
          <w:highlight w:val="none"/>
        </w:rPr>
        <w:t>日</w:t>
      </w:r>
    </w:p>
    <w:p w14:paraId="201A67F0">
      <w:pPr>
        <w:pStyle w:val="2"/>
        <w:shd w:val="clear"/>
        <w:kinsoku/>
        <w:overflowPunct/>
        <w:topLinePunct w:val="0"/>
        <w:bidi w:val="0"/>
        <w:ind w:firstLine="560"/>
        <w:rPr>
          <w:color w:val="auto"/>
          <w:highlight w:val="none"/>
        </w:rPr>
      </w:pPr>
    </w:p>
    <w:p w14:paraId="3056210A">
      <w:pPr>
        <w:pStyle w:val="6"/>
        <w:shd w:val="clear"/>
        <w:kinsoku/>
        <w:overflowPunct/>
        <w:topLinePunct w:val="0"/>
        <w:bidi w:val="0"/>
        <w:spacing w:line="240" w:lineRule="auto"/>
        <w:rPr>
          <w:rFonts w:ascii="宋体" w:hAnsi="宋体"/>
          <w:b w:val="0"/>
          <w:color w:val="auto"/>
          <w:sz w:val="44"/>
          <w:highlight w:val="none"/>
        </w:rPr>
      </w:pPr>
      <w:r>
        <w:rPr>
          <w:rFonts w:hint="eastAsia" w:ascii="宋体" w:hAnsi="宋体"/>
          <w:b w:val="0"/>
          <w:color w:val="auto"/>
          <w:highlight w:val="none"/>
        </w:rPr>
        <w:br w:type="page"/>
      </w:r>
      <w:bookmarkStart w:id="67" w:name="_Toc29112"/>
      <w:bookmarkStart w:id="68" w:name="_Toc27645"/>
      <w:r>
        <w:rPr>
          <w:rFonts w:hint="eastAsia" w:ascii="宋体" w:hAnsi="宋体"/>
          <w:b w:val="0"/>
          <w:color w:val="auto"/>
          <w:sz w:val="44"/>
          <w:highlight w:val="none"/>
        </w:rPr>
        <w:t>工程量清单及</w:t>
      </w:r>
      <w:r>
        <w:rPr>
          <w:rFonts w:hint="eastAsia" w:ascii="宋体" w:hAnsi="宋体"/>
          <w:b w:val="0"/>
          <w:color w:val="auto"/>
          <w:sz w:val="44"/>
          <w:highlight w:val="none"/>
          <w:lang w:val="en-US" w:eastAsia="zh-CN"/>
        </w:rPr>
        <w:t>控制价</w:t>
      </w:r>
      <w:r>
        <w:rPr>
          <w:rFonts w:hint="eastAsia" w:ascii="宋体" w:hAnsi="宋体"/>
          <w:b w:val="0"/>
          <w:color w:val="auto"/>
          <w:sz w:val="44"/>
          <w:highlight w:val="none"/>
          <w:lang w:eastAsia="zh-CN"/>
        </w:rPr>
        <w:t>复审</w:t>
      </w:r>
      <w:r>
        <w:rPr>
          <w:rFonts w:hint="eastAsia" w:ascii="宋体" w:hAnsi="宋体"/>
          <w:b w:val="0"/>
          <w:color w:val="auto"/>
          <w:sz w:val="44"/>
          <w:highlight w:val="none"/>
        </w:rPr>
        <w:t>委托协议</w:t>
      </w:r>
      <w:bookmarkEnd w:id="67"/>
      <w:bookmarkEnd w:id="68"/>
    </w:p>
    <w:p w14:paraId="41168DF8">
      <w:pPr>
        <w:shd w:val="clear"/>
        <w:kinsoku/>
        <w:overflowPunct/>
        <w:topLinePunct w:val="0"/>
        <w:bidi w:val="0"/>
        <w:adjustRightInd w:val="0"/>
        <w:snapToGrid w:val="0"/>
        <w:jc w:val="left"/>
        <w:rPr>
          <w:rFonts w:ascii="宋体" w:hAnsi="宋体"/>
          <w:color w:val="auto"/>
          <w:sz w:val="18"/>
          <w:szCs w:val="18"/>
          <w:highlight w:val="none"/>
        </w:rPr>
      </w:pPr>
    </w:p>
    <w:p w14:paraId="07A9875D">
      <w:pPr>
        <w:shd w:val="clear"/>
        <w:kinsoku/>
        <w:overflowPunct/>
        <w:topLinePunct w:val="0"/>
        <w:bidi w:val="0"/>
        <w:adjustRightInd w:val="0"/>
        <w:snapToGrid w:val="0"/>
        <w:spacing w:line="360" w:lineRule="auto"/>
        <w:jc w:val="left"/>
        <w:rPr>
          <w:rFonts w:ascii="宋体" w:hAnsi="宋体"/>
          <w:color w:val="auto"/>
          <w:sz w:val="30"/>
          <w:szCs w:val="30"/>
          <w:highlight w:val="none"/>
        </w:rPr>
      </w:pPr>
      <w:r>
        <w:rPr>
          <w:rFonts w:hint="eastAsia" w:ascii="宋体" w:hAnsi="宋体"/>
          <w:color w:val="auto"/>
          <w:sz w:val="30"/>
          <w:szCs w:val="30"/>
          <w:highlight w:val="none"/>
        </w:rPr>
        <w:t>委托人（全称）：</w:t>
      </w:r>
      <w:r>
        <w:rPr>
          <w:rFonts w:hint="eastAsia" w:ascii="宋体" w:hAnsi="宋体" w:cs="仿宋_GB2312"/>
          <w:color w:val="auto"/>
          <w:sz w:val="30"/>
          <w:szCs w:val="30"/>
          <w:highlight w:val="none"/>
          <w:u w:val="single"/>
          <w:lang w:eastAsia="zh-CN"/>
        </w:rPr>
        <w:t>安徽省琅琊山旅游发展有限公司</w:t>
      </w:r>
      <w:r>
        <w:rPr>
          <w:rFonts w:ascii="宋体" w:hAnsi="宋体" w:cs="仿宋_GB2312"/>
          <w:color w:val="auto"/>
          <w:sz w:val="30"/>
          <w:szCs w:val="30"/>
          <w:highlight w:val="none"/>
          <w:u w:val="single"/>
        </w:rPr>
        <w:t xml:space="preserve"> </w:t>
      </w:r>
    </w:p>
    <w:p w14:paraId="017F0371">
      <w:pPr>
        <w:shd w:val="clear"/>
        <w:kinsoku/>
        <w:overflowPunct/>
        <w:topLinePunct w:val="0"/>
        <w:bidi w:val="0"/>
        <w:adjustRightInd w:val="0"/>
        <w:snapToGrid w:val="0"/>
        <w:spacing w:line="360" w:lineRule="auto"/>
        <w:rPr>
          <w:rFonts w:ascii="宋体" w:hAnsi="宋体"/>
          <w:color w:val="auto"/>
          <w:sz w:val="30"/>
          <w:szCs w:val="30"/>
          <w:highlight w:val="none"/>
        </w:rPr>
      </w:pPr>
      <w:r>
        <w:rPr>
          <w:rFonts w:hint="eastAsia" w:ascii="宋体" w:hAnsi="宋体"/>
          <w:color w:val="auto"/>
          <w:sz w:val="30"/>
          <w:szCs w:val="30"/>
          <w:highlight w:val="none"/>
        </w:rPr>
        <w:t>受托人（全称）：</w:t>
      </w:r>
      <w:r>
        <w:rPr>
          <w:rFonts w:hint="eastAsia" w:ascii="宋体" w:hAnsi="宋体" w:cs="宋体"/>
          <w:color w:val="auto"/>
          <w:kern w:val="0"/>
          <w:sz w:val="28"/>
          <w:szCs w:val="28"/>
          <w:highlight w:val="none"/>
          <w:u w:val="single"/>
        </w:rPr>
        <w:t xml:space="preserve">                   </w:t>
      </w:r>
      <w:r>
        <w:rPr>
          <w:rFonts w:hint="eastAsia" w:ascii="宋体" w:hAnsi="宋体"/>
          <w:color w:val="auto"/>
          <w:sz w:val="30"/>
          <w:szCs w:val="30"/>
          <w:highlight w:val="none"/>
          <w:u w:val="single"/>
        </w:rPr>
        <w:t xml:space="preserve">   </w:t>
      </w:r>
      <w:r>
        <w:rPr>
          <w:rFonts w:hint="eastAsia" w:ascii="宋体" w:hAnsi="宋体" w:cs="仿宋_GB2312"/>
          <w:color w:val="auto"/>
          <w:sz w:val="30"/>
          <w:szCs w:val="30"/>
          <w:highlight w:val="none"/>
        </w:rPr>
        <w:t xml:space="preserve">        </w:t>
      </w:r>
    </w:p>
    <w:p w14:paraId="2F0E4C46">
      <w:pPr>
        <w:shd w:val="clear"/>
        <w:kinsoku/>
        <w:overflowPunct/>
        <w:topLinePunct w:val="0"/>
        <w:bidi w:val="0"/>
        <w:ind w:firstLine="600" w:firstLineChars="200"/>
        <w:jc w:val="left"/>
        <w:rPr>
          <w:rFonts w:ascii="宋体" w:hAnsi="宋体"/>
          <w:color w:val="auto"/>
          <w:sz w:val="30"/>
          <w:szCs w:val="30"/>
          <w:highlight w:val="none"/>
        </w:rPr>
      </w:pPr>
      <w:r>
        <w:rPr>
          <w:rFonts w:hint="eastAsia" w:ascii="宋体" w:hAnsi="宋体"/>
          <w:color w:val="auto"/>
          <w:sz w:val="30"/>
          <w:szCs w:val="30"/>
          <w:highlight w:val="none"/>
        </w:rPr>
        <w:t>为保证滁州市政府投资项目审计工作质量和效率，依据《中华人民共和国民法典》等有关法律规定，遵循平等、自愿、公平和诚实信用的原则，双方就</w:t>
      </w:r>
      <w:r>
        <w:rPr>
          <w:rFonts w:hint="eastAsia" w:ascii="宋体" w:hAnsi="宋体"/>
          <w:color w:val="auto"/>
          <w:sz w:val="30"/>
          <w:szCs w:val="30"/>
          <w:highlight w:val="none"/>
          <w:u w:val="single"/>
          <w:lang w:eastAsia="zh-CN"/>
        </w:rPr>
        <w:t>琅琊山欧阳修家风家训文旅综合体项目造价复审</w:t>
      </w:r>
      <w:r>
        <w:rPr>
          <w:rFonts w:hint="eastAsia" w:ascii="宋体" w:hAnsi="宋体"/>
          <w:color w:val="auto"/>
          <w:sz w:val="30"/>
          <w:szCs w:val="30"/>
          <w:highlight w:val="none"/>
        </w:rPr>
        <w:t>及有关事项协商一致，共同达成如下协议：</w:t>
      </w:r>
    </w:p>
    <w:p w14:paraId="331FAC56">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rPr>
        <w:t>一、项目概况</w:t>
      </w:r>
    </w:p>
    <w:p w14:paraId="5D5B8940">
      <w:pPr>
        <w:shd w:val="clear"/>
        <w:kinsoku/>
        <w:overflowPunct/>
        <w:topLinePunct w:val="0"/>
        <w:bidi w:val="0"/>
        <w:ind w:left="596" w:leftChars="284"/>
        <w:jc w:val="left"/>
        <w:rPr>
          <w:rFonts w:ascii="宋体" w:hAnsi="宋体"/>
          <w:color w:val="auto"/>
          <w:sz w:val="32"/>
          <w:szCs w:val="28"/>
          <w:highlight w:val="none"/>
          <w:u w:val="single"/>
        </w:rPr>
      </w:pPr>
      <w:r>
        <w:rPr>
          <w:rFonts w:hint="eastAsia" w:ascii="宋体" w:hAnsi="宋体"/>
          <w:bCs/>
          <w:color w:val="auto"/>
          <w:sz w:val="30"/>
          <w:szCs w:val="30"/>
          <w:highlight w:val="none"/>
        </w:rPr>
        <w:t>1、项目名称</w:t>
      </w:r>
      <w:r>
        <w:rPr>
          <w:rFonts w:hint="eastAsia" w:ascii="宋体" w:hAnsi="宋体"/>
          <w:color w:val="auto"/>
          <w:sz w:val="30"/>
          <w:szCs w:val="30"/>
          <w:highlight w:val="none"/>
        </w:rPr>
        <w:t>：</w:t>
      </w:r>
      <w:r>
        <w:rPr>
          <w:rFonts w:hint="eastAsia" w:ascii="宋体" w:hAnsi="宋体"/>
          <w:color w:val="auto"/>
          <w:sz w:val="32"/>
          <w:szCs w:val="28"/>
          <w:highlight w:val="none"/>
          <w:u w:val="single"/>
          <w:lang w:eastAsia="zh-CN"/>
        </w:rPr>
        <w:t>琅琊山欧阳修家风家训文旅综合体项目造价复审</w:t>
      </w:r>
    </w:p>
    <w:p w14:paraId="4406E16B">
      <w:pPr>
        <w:shd w:val="clear"/>
        <w:kinsoku/>
        <w:overflowPunct/>
        <w:topLinePunct w:val="0"/>
        <w:bidi w:val="0"/>
        <w:ind w:left="596" w:leftChars="284"/>
        <w:jc w:val="left"/>
        <w:rPr>
          <w:rFonts w:ascii="宋体" w:hAnsi="宋体"/>
          <w:color w:val="auto"/>
          <w:sz w:val="30"/>
          <w:szCs w:val="30"/>
          <w:highlight w:val="none"/>
        </w:rPr>
      </w:pPr>
      <w:r>
        <w:rPr>
          <w:rFonts w:hint="eastAsia" w:ascii="宋体" w:hAnsi="宋体"/>
          <w:color w:val="auto"/>
          <w:sz w:val="30"/>
          <w:szCs w:val="32"/>
          <w:highlight w:val="none"/>
        </w:rPr>
        <w:t>2、项目造价</w:t>
      </w:r>
      <w:r>
        <w:rPr>
          <w:rFonts w:hint="eastAsia" w:ascii="宋体" w:hAnsi="宋体"/>
          <w:bCs/>
          <w:color w:val="auto"/>
          <w:sz w:val="30"/>
          <w:szCs w:val="30"/>
          <w:highlight w:val="none"/>
        </w:rPr>
        <w:t>：</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u w:val="single"/>
        </w:rPr>
        <w:t xml:space="preserve">                  </w:t>
      </w:r>
    </w:p>
    <w:p w14:paraId="18D1F855">
      <w:pPr>
        <w:shd w:val="clear"/>
        <w:kinsoku/>
        <w:overflowPunct/>
        <w:topLinePunct w:val="0"/>
        <w:bidi w:val="0"/>
        <w:ind w:firstLine="600" w:firstLineChars="200"/>
        <w:jc w:val="left"/>
        <w:rPr>
          <w:rFonts w:ascii="宋体" w:hAnsi="宋体" w:cs="仿宋_GB2312"/>
          <w:color w:val="auto"/>
          <w:sz w:val="30"/>
          <w:szCs w:val="30"/>
          <w:highlight w:val="none"/>
          <w:u w:val="single"/>
        </w:rPr>
      </w:pPr>
      <w:r>
        <w:rPr>
          <w:rFonts w:hint="eastAsia" w:ascii="宋体" w:hAnsi="宋体" w:cs="仿宋_GB2312"/>
          <w:color w:val="auto"/>
          <w:sz w:val="30"/>
          <w:szCs w:val="30"/>
          <w:highlight w:val="none"/>
        </w:rPr>
        <w:t>3、委托内容：</w:t>
      </w:r>
      <w:r>
        <w:rPr>
          <w:rFonts w:hint="eastAsia" w:ascii="宋体" w:hAnsi="宋体"/>
          <w:color w:val="auto"/>
          <w:sz w:val="32"/>
          <w:szCs w:val="28"/>
          <w:highlight w:val="none"/>
          <w:u w:val="single"/>
        </w:rPr>
        <w:t>工程量清单及</w:t>
      </w:r>
      <w:r>
        <w:rPr>
          <w:rFonts w:hint="eastAsia" w:ascii="宋体" w:hAnsi="宋体"/>
          <w:color w:val="auto"/>
          <w:sz w:val="32"/>
          <w:szCs w:val="28"/>
          <w:highlight w:val="none"/>
          <w:u w:val="single"/>
          <w:lang w:val="en-US" w:eastAsia="zh-CN"/>
        </w:rPr>
        <w:t>控制价</w:t>
      </w:r>
      <w:r>
        <w:rPr>
          <w:rFonts w:hint="eastAsia" w:ascii="宋体" w:hAnsi="宋体"/>
          <w:color w:val="auto"/>
          <w:sz w:val="32"/>
          <w:szCs w:val="28"/>
          <w:highlight w:val="none"/>
          <w:u w:val="single"/>
        </w:rPr>
        <w:t>复审</w:t>
      </w:r>
      <w:r>
        <w:rPr>
          <w:rFonts w:hint="eastAsia" w:ascii="宋体" w:hAnsi="宋体" w:cs="仿宋_GB2312"/>
          <w:color w:val="auto"/>
          <w:sz w:val="30"/>
          <w:szCs w:val="30"/>
          <w:highlight w:val="none"/>
          <w:u w:val="single"/>
        </w:rPr>
        <w:t>。</w:t>
      </w:r>
    </w:p>
    <w:p w14:paraId="4D35511B">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rPr>
        <w:t>二、项目复核人员配备</w:t>
      </w:r>
    </w:p>
    <w:p w14:paraId="6CCD807C">
      <w:pPr>
        <w:widowControl/>
        <w:shd w:val="clear"/>
        <w:kinsoku/>
        <w:overflowPunct/>
        <w:topLinePunct w:val="0"/>
        <w:bidi w:val="0"/>
        <w:ind w:firstLine="600" w:firstLineChars="200"/>
        <w:rPr>
          <w:b/>
          <w:bCs/>
          <w:color w:val="auto"/>
          <w:highlight w:val="none"/>
        </w:rPr>
      </w:pPr>
      <w:r>
        <w:rPr>
          <w:rFonts w:hint="eastAsia" w:ascii="宋体" w:hAnsi="宋体"/>
          <w:color w:val="auto"/>
          <w:sz w:val="30"/>
          <w:szCs w:val="30"/>
          <w:highlight w:val="none"/>
        </w:rPr>
        <w:t>项目组成人员要求：项目负责人：注册造价工程师（或一级造价师）</w:t>
      </w:r>
      <w:r>
        <w:rPr>
          <w:rFonts w:hint="eastAsia" w:ascii="宋体" w:hAnsi="宋体"/>
          <w:color w:val="auto"/>
          <w:sz w:val="30"/>
          <w:szCs w:val="30"/>
          <w:highlight w:val="none"/>
          <w:u w:val="single"/>
        </w:rPr>
        <w:t>1</w:t>
      </w:r>
      <w:r>
        <w:rPr>
          <w:rFonts w:hint="eastAsia" w:ascii="宋体" w:hAnsi="宋体"/>
          <w:color w:val="auto"/>
          <w:sz w:val="30"/>
          <w:szCs w:val="30"/>
          <w:highlight w:val="none"/>
        </w:rPr>
        <w:t>名；项目组成人员：注册造价工程师（或一级造价师）</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名、二级（或以上）注册造价师</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名。</w:t>
      </w:r>
    </w:p>
    <w:p w14:paraId="3528A58F">
      <w:pPr>
        <w:widowControl/>
        <w:shd w:val="clear"/>
        <w:kinsoku/>
        <w:overflowPunct/>
        <w:topLinePunct w:val="0"/>
        <w:bidi w:val="0"/>
        <w:ind w:left="570"/>
        <w:rPr>
          <w:rFonts w:ascii="宋体" w:hAnsi="宋体"/>
          <w:color w:val="auto"/>
          <w:sz w:val="30"/>
          <w:szCs w:val="30"/>
          <w:highlight w:val="none"/>
        </w:rPr>
      </w:pPr>
      <w:r>
        <w:rPr>
          <w:rFonts w:hint="eastAsia" w:ascii="宋体" w:hAnsi="宋体"/>
          <w:color w:val="auto"/>
          <w:sz w:val="30"/>
          <w:szCs w:val="30"/>
          <w:highlight w:val="none"/>
        </w:rPr>
        <w:t>本项目复核人员为：</w:t>
      </w:r>
    </w:p>
    <w:p w14:paraId="593C6801">
      <w:pPr>
        <w:widowControl/>
        <w:shd w:val="clear"/>
        <w:kinsoku/>
        <w:wordWrap w:val="0"/>
        <w:overflowPunct/>
        <w:topLinePunct w:val="0"/>
        <w:bidi w:val="0"/>
        <w:ind w:left="573"/>
        <w:rPr>
          <w:rFonts w:ascii="宋体" w:hAnsi="宋体" w:cs="仿宋_GB2312"/>
          <w:color w:val="auto"/>
          <w:sz w:val="30"/>
          <w:szCs w:val="30"/>
          <w:highlight w:val="none"/>
          <w:u w:val="single"/>
        </w:rPr>
      </w:pPr>
      <w:r>
        <w:rPr>
          <w:rFonts w:hint="eastAsia" w:ascii="宋体" w:hAnsi="宋体"/>
          <w:color w:val="auto"/>
          <w:sz w:val="30"/>
          <w:szCs w:val="30"/>
          <w:highlight w:val="none"/>
        </w:rPr>
        <w:t>项目负责人：</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 xml:space="preserve"> </w:t>
      </w:r>
      <w:r>
        <w:rPr>
          <w:rFonts w:hint="eastAsia" w:ascii="宋体" w:hAnsi="宋体" w:cs="仿宋_GB2312"/>
          <w:color w:val="auto"/>
          <w:sz w:val="30"/>
          <w:szCs w:val="30"/>
          <w:highlight w:val="none"/>
        </w:rPr>
        <w:t>；身份证号：</w:t>
      </w:r>
      <w:r>
        <w:rPr>
          <w:rFonts w:hint="eastAsia" w:ascii="宋体" w:hAnsi="宋体" w:cs="仿宋_GB2312"/>
          <w:color w:val="auto"/>
          <w:sz w:val="30"/>
          <w:szCs w:val="30"/>
          <w:highlight w:val="none"/>
          <w:u w:val="single"/>
        </w:rPr>
        <w:t xml:space="preserve">      </w:t>
      </w:r>
      <w:r>
        <w:rPr>
          <w:rFonts w:hint="eastAsia" w:ascii="宋体" w:hAnsi="宋体" w:cs="仿宋_GB2312"/>
          <w:color w:val="auto"/>
          <w:sz w:val="30"/>
          <w:szCs w:val="30"/>
          <w:highlight w:val="none"/>
        </w:rPr>
        <w:t>；证书编号：</w:t>
      </w:r>
    </w:p>
    <w:p w14:paraId="0C7D6419">
      <w:pPr>
        <w:widowControl/>
        <w:shd w:val="clear"/>
        <w:kinsoku/>
        <w:wordWrap w:val="0"/>
        <w:overflowPunct/>
        <w:topLinePunct w:val="0"/>
        <w:bidi w:val="0"/>
        <w:ind w:left="573"/>
        <w:rPr>
          <w:rFonts w:ascii="宋体" w:hAnsi="宋体" w:cs="仿宋_GB2312"/>
          <w:color w:val="auto"/>
          <w:sz w:val="30"/>
          <w:szCs w:val="30"/>
          <w:highlight w:val="none"/>
        </w:rPr>
      </w:pPr>
      <w:r>
        <w:rPr>
          <w:rFonts w:hint="eastAsia" w:ascii="宋体" w:hAnsi="宋体"/>
          <w:color w:val="auto"/>
          <w:sz w:val="30"/>
          <w:szCs w:val="30"/>
          <w:highlight w:val="none"/>
        </w:rPr>
        <w:t>项目组成人员1：</w:t>
      </w:r>
      <w:r>
        <w:rPr>
          <w:rFonts w:hint="eastAsia" w:ascii="宋体" w:hAnsi="宋体"/>
          <w:color w:val="auto"/>
          <w:sz w:val="30"/>
          <w:szCs w:val="30"/>
          <w:highlight w:val="none"/>
          <w:u w:val="single"/>
        </w:rPr>
        <w:t xml:space="preserve">       </w:t>
      </w:r>
      <w:r>
        <w:rPr>
          <w:rFonts w:hint="eastAsia" w:ascii="宋体" w:hAnsi="宋体" w:cs="仿宋_GB2312"/>
          <w:color w:val="auto"/>
          <w:sz w:val="30"/>
          <w:szCs w:val="30"/>
          <w:highlight w:val="none"/>
        </w:rPr>
        <w:t>；身份证号：</w:t>
      </w:r>
      <w:r>
        <w:rPr>
          <w:rFonts w:hint="eastAsia" w:ascii="宋体" w:hAnsi="宋体" w:cs="仿宋_GB2312"/>
          <w:color w:val="auto"/>
          <w:sz w:val="30"/>
          <w:szCs w:val="30"/>
          <w:highlight w:val="none"/>
          <w:u w:val="single"/>
        </w:rPr>
        <w:t xml:space="preserve">      </w:t>
      </w:r>
      <w:r>
        <w:rPr>
          <w:rFonts w:hint="eastAsia" w:ascii="宋体" w:hAnsi="宋体" w:cs="仿宋_GB2312"/>
          <w:color w:val="auto"/>
          <w:sz w:val="30"/>
          <w:szCs w:val="30"/>
          <w:highlight w:val="none"/>
        </w:rPr>
        <w:t>；证书编号：</w:t>
      </w:r>
    </w:p>
    <w:p w14:paraId="6AC4AFD5">
      <w:pPr>
        <w:widowControl/>
        <w:shd w:val="clear"/>
        <w:kinsoku/>
        <w:wordWrap w:val="0"/>
        <w:overflowPunct/>
        <w:topLinePunct w:val="0"/>
        <w:bidi w:val="0"/>
        <w:ind w:left="573"/>
        <w:rPr>
          <w:rFonts w:ascii="宋体" w:hAnsi="宋体" w:cs="仿宋_GB2312"/>
          <w:color w:val="auto"/>
          <w:sz w:val="30"/>
          <w:szCs w:val="30"/>
          <w:highlight w:val="none"/>
          <w:u w:val="single"/>
        </w:rPr>
      </w:pPr>
      <w:r>
        <w:rPr>
          <w:rFonts w:hint="eastAsia" w:ascii="宋体" w:hAnsi="宋体"/>
          <w:color w:val="auto"/>
          <w:sz w:val="30"/>
          <w:szCs w:val="30"/>
          <w:highlight w:val="none"/>
        </w:rPr>
        <w:t>项目组成人员2：</w:t>
      </w:r>
      <w:r>
        <w:rPr>
          <w:rFonts w:hint="eastAsia" w:ascii="宋体" w:hAnsi="宋体"/>
          <w:color w:val="auto"/>
          <w:sz w:val="30"/>
          <w:szCs w:val="30"/>
          <w:highlight w:val="none"/>
          <w:u w:val="single"/>
        </w:rPr>
        <w:t xml:space="preserve">       </w:t>
      </w:r>
      <w:r>
        <w:rPr>
          <w:rFonts w:hint="eastAsia" w:ascii="宋体" w:hAnsi="宋体" w:cs="仿宋_GB2312"/>
          <w:color w:val="auto"/>
          <w:sz w:val="30"/>
          <w:szCs w:val="30"/>
          <w:highlight w:val="none"/>
        </w:rPr>
        <w:t>；身份证号：</w:t>
      </w:r>
      <w:r>
        <w:rPr>
          <w:rFonts w:hint="eastAsia" w:ascii="宋体" w:hAnsi="宋体" w:cs="仿宋_GB2312"/>
          <w:color w:val="auto"/>
          <w:sz w:val="30"/>
          <w:szCs w:val="30"/>
          <w:highlight w:val="none"/>
          <w:u w:val="single"/>
        </w:rPr>
        <w:t xml:space="preserve">      </w:t>
      </w:r>
      <w:r>
        <w:rPr>
          <w:rFonts w:hint="eastAsia" w:ascii="宋体" w:hAnsi="宋体" w:cs="仿宋_GB2312"/>
          <w:color w:val="auto"/>
          <w:sz w:val="30"/>
          <w:szCs w:val="30"/>
          <w:highlight w:val="none"/>
        </w:rPr>
        <w:t>；证书编号：</w:t>
      </w:r>
    </w:p>
    <w:p w14:paraId="78C98954">
      <w:pPr>
        <w:shd w:val="clear"/>
        <w:kinsoku/>
        <w:overflowPunct/>
        <w:topLinePunct w:val="0"/>
        <w:bidi w:val="0"/>
        <w:ind w:firstLine="640" w:firstLineChars="200"/>
        <w:jc w:val="left"/>
        <w:rPr>
          <w:rFonts w:ascii="宋体" w:hAnsi="宋体"/>
          <w:color w:val="auto"/>
          <w:sz w:val="32"/>
          <w:szCs w:val="32"/>
          <w:highlight w:val="none"/>
        </w:rPr>
      </w:pPr>
      <w:r>
        <w:rPr>
          <w:rFonts w:hint="eastAsia" w:ascii="宋体" w:hAnsi="宋体"/>
          <w:color w:val="auto"/>
          <w:sz w:val="32"/>
          <w:szCs w:val="32"/>
          <w:highlight w:val="none"/>
        </w:rPr>
        <w:t>三、咨询期限</w:t>
      </w:r>
    </w:p>
    <w:p w14:paraId="5CDFF892">
      <w:pPr>
        <w:shd w:val="clear"/>
        <w:kinsoku/>
        <w:overflowPunct/>
        <w:topLinePunct w:val="0"/>
        <w:bidi w:val="0"/>
        <w:spacing w:line="580" w:lineRule="exact"/>
        <w:ind w:firstLine="588" w:firstLineChars="196"/>
        <w:rPr>
          <w:rFonts w:ascii="宋体" w:hAnsi="宋体"/>
          <w:bCs/>
          <w:color w:val="auto"/>
          <w:sz w:val="30"/>
          <w:szCs w:val="30"/>
          <w:highlight w:val="none"/>
        </w:rPr>
      </w:pPr>
      <w:r>
        <w:rPr>
          <w:rFonts w:hint="eastAsia" w:ascii="宋体" w:hAnsi="宋体"/>
          <w:bCs/>
          <w:color w:val="auto"/>
          <w:sz w:val="30"/>
          <w:szCs w:val="30"/>
          <w:highlight w:val="none"/>
        </w:rPr>
        <w:t>1、计划开始日期：</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年</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hint="eastAsia" w:ascii="宋体" w:hAnsi="宋体"/>
          <w:bCs/>
          <w:color w:val="auto"/>
          <w:sz w:val="30"/>
          <w:szCs w:val="30"/>
          <w:highlight w:val="none"/>
        </w:rPr>
        <w:t>月</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日。</w:t>
      </w:r>
    </w:p>
    <w:p w14:paraId="73CA69E7">
      <w:pPr>
        <w:shd w:val="clear"/>
        <w:kinsoku/>
        <w:overflowPunct/>
        <w:topLinePunct w:val="0"/>
        <w:bidi w:val="0"/>
        <w:ind w:firstLine="600" w:firstLineChars="200"/>
        <w:rPr>
          <w:rFonts w:ascii="宋体" w:hAnsi="宋体"/>
          <w:bCs/>
          <w:color w:val="auto"/>
          <w:sz w:val="30"/>
          <w:szCs w:val="30"/>
          <w:highlight w:val="none"/>
        </w:rPr>
      </w:pPr>
      <w:r>
        <w:rPr>
          <w:rFonts w:hint="eastAsia" w:ascii="宋体" w:hAnsi="宋体"/>
          <w:bCs/>
          <w:color w:val="auto"/>
          <w:sz w:val="30"/>
          <w:szCs w:val="30"/>
          <w:highlight w:val="none"/>
        </w:rPr>
        <w:t>2、计划结束日期：</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年</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hint="eastAsia" w:ascii="宋体" w:hAnsi="宋体"/>
          <w:bCs/>
          <w:color w:val="auto"/>
          <w:sz w:val="30"/>
          <w:szCs w:val="30"/>
          <w:highlight w:val="none"/>
        </w:rPr>
        <w:t>月</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日。</w:t>
      </w:r>
    </w:p>
    <w:p w14:paraId="6C44D532">
      <w:pPr>
        <w:pStyle w:val="2"/>
        <w:shd w:val="clear"/>
        <w:kinsoku/>
        <w:overflowPunct/>
        <w:topLinePunct w:val="0"/>
        <w:bidi w:val="0"/>
        <w:ind w:firstLine="600"/>
        <w:rPr>
          <w:rFonts w:hint="eastAsia" w:hAnsi="宋体" w:eastAsia="宋体" w:cs="仿宋_GB2312"/>
          <w:color w:val="auto"/>
          <w:sz w:val="30"/>
          <w:szCs w:val="30"/>
          <w:highlight w:val="none"/>
          <w:lang w:eastAsia="zh-CN"/>
        </w:rPr>
      </w:pPr>
      <w:r>
        <w:rPr>
          <w:rFonts w:hint="eastAsia" w:hAnsi="宋体"/>
          <w:bCs/>
          <w:color w:val="auto"/>
          <w:sz w:val="30"/>
          <w:szCs w:val="30"/>
          <w:highlight w:val="none"/>
        </w:rPr>
        <w:t>3、复核时限要求：</w:t>
      </w:r>
      <w:r>
        <w:rPr>
          <w:rFonts w:hint="eastAsia" w:hAnsi="宋体"/>
          <w:bCs/>
          <w:color w:val="auto"/>
          <w:sz w:val="30"/>
          <w:szCs w:val="30"/>
          <w:highlight w:val="none"/>
          <w:lang w:eastAsia="zh-CN"/>
        </w:rPr>
        <w:t>自收到造价编制成果文件之日起10日内完成复审。</w:t>
      </w:r>
    </w:p>
    <w:p w14:paraId="6285B836">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rPr>
        <w:t>四、质量标准</w:t>
      </w:r>
    </w:p>
    <w:p w14:paraId="514E04EF">
      <w:pPr>
        <w:shd w:val="clear"/>
        <w:kinsoku/>
        <w:overflowPunct/>
        <w:topLinePunct w:val="0"/>
        <w:bidi w:val="0"/>
        <w:ind w:firstLine="640" w:firstLineChars="200"/>
        <w:rPr>
          <w:rFonts w:hint="eastAsia" w:ascii="宋体" w:hAnsi="宋体"/>
          <w:color w:val="auto"/>
          <w:sz w:val="32"/>
          <w:szCs w:val="32"/>
          <w:highlight w:val="none"/>
          <w:lang w:eastAsia="zh-CN"/>
        </w:rPr>
      </w:pPr>
      <w:r>
        <w:rPr>
          <w:rFonts w:hint="eastAsia" w:ascii="宋体" w:hAnsi="宋体"/>
          <w:color w:val="auto"/>
          <w:sz w:val="32"/>
          <w:szCs w:val="32"/>
          <w:highlight w:val="none"/>
        </w:rPr>
        <w:t>投标人出具的工程造价咨询成果文件质量应符合现行国家或行业工程计价有关规定、标准、规范的要求。</w:t>
      </w:r>
    </w:p>
    <w:p w14:paraId="6E9D65FC">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rPr>
        <w:t>五、咨询酬金</w:t>
      </w:r>
      <w:r>
        <w:rPr>
          <w:rFonts w:ascii="宋体" w:hAnsi="宋体"/>
          <w:color w:val="auto"/>
          <w:sz w:val="32"/>
          <w:szCs w:val="32"/>
          <w:highlight w:val="none"/>
        </w:rPr>
        <w:t xml:space="preserve"> </w:t>
      </w:r>
    </w:p>
    <w:tbl>
      <w:tblPr>
        <w:tblStyle w:val="47"/>
        <w:tblW w:w="9420" w:type="dxa"/>
        <w:tblInd w:w="582" w:type="dxa"/>
        <w:tblLayout w:type="fixed"/>
        <w:tblCellMar>
          <w:top w:w="0" w:type="dxa"/>
          <w:left w:w="108" w:type="dxa"/>
          <w:bottom w:w="0" w:type="dxa"/>
          <w:right w:w="108" w:type="dxa"/>
        </w:tblCellMar>
      </w:tblPr>
      <w:tblGrid>
        <w:gridCol w:w="4650"/>
        <w:gridCol w:w="4770"/>
      </w:tblGrid>
      <w:tr w14:paraId="28B068C3">
        <w:tblPrEx>
          <w:tblCellMar>
            <w:top w:w="0" w:type="dxa"/>
            <w:left w:w="108" w:type="dxa"/>
            <w:bottom w:w="0" w:type="dxa"/>
            <w:right w:w="108" w:type="dxa"/>
          </w:tblCellMar>
        </w:tblPrEx>
        <w:trPr>
          <w:trHeight w:val="435" w:hRule="atLeast"/>
        </w:trPr>
        <w:tc>
          <w:tcPr>
            <w:tcW w:w="4650" w:type="dxa"/>
            <w:tcBorders>
              <w:top w:val="single" w:color="auto" w:sz="4" w:space="0"/>
              <w:left w:val="single" w:color="auto" w:sz="4" w:space="0"/>
              <w:bottom w:val="single" w:color="auto" w:sz="4" w:space="0"/>
              <w:right w:val="single" w:color="auto" w:sz="4" w:space="0"/>
            </w:tcBorders>
            <w:vAlign w:val="center"/>
          </w:tcPr>
          <w:p w14:paraId="26550BCD">
            <w:pPr>
              <w:keepNext w:val="0"/>
              <w:keepLines w:val="0"/>
              <w:widowControl/>
              <w:suppressLineNumbers w:val="0"/>
              <w:spacing w:before="0" w:beforeAutospacing="0" w:after="0" w:afterAutospacing="0" w:line="600" w:lineRule="exact"/>
              <w:ind w:left="0" w:right="0"/>
              <w:jc w:val="center"/>
              <w:rPr>
                <w:rFonts w:hint="default" w:ascii="宋体" w:hAnsi="宋体" w:cs="宋体"/>
                <w:color w:val="auto"/>
                <w:kern w:val="0"/>
                <w:sz w:val="28"/>
                <w:szCs w:val="28"/>
                <w:highlight w:val="none"/>
              </w:rPr>
            </w:pPr>
            <w:r>
              <w:rPr>
                <w:rFonts w:hint="eastAsia" w:ascii="宋体" w:hAnsi="宋体" w:cs="宋体"/>
                <w:color w:val="auto"/>
                <w:kern w:val="0"/>
                <w:sz w:val="28"/>
                <w:szCs w:val="28"/>
                <w:highlight w:val="none"/>
              </w:rPr>
              <w:t>工程造价金额（万元）</w:t>
            </w:r>
          </w:p>
        </w:tc>
        <w:tc>
          <w:tcPr>
            <w:tcW w:w="4770" w:type="dxa"/>
            <w:tcBorders>
              <w:top w:val="single" w:color="auto" w:sz="4" w:space="0"/>
              <w:left w:val="nil"/>
              <w:bottom w:val="single" w:color="auto" w:sz="4" w:space="0"/>
              <w:right w:val="single" w:color="auto" w:sz="4" w:space="0"/>
            </w:tcBorders>
            <w:vAlign w:val="center"/>
          </w:tcPr>
          <w:p w14:paraId="6BFA4C08">
            <w:pPr>
              <w:keepNext w:val="0"/>
              <w:keepLines w:val="0"/>
              <w:widowControl/>
              <w:suppressLineNumbers w:val="0"/>
              <w:spacing w:before="0" w:beforeAutospacing="0" w:after="0" w:afterAutospacing="0" w:line="600" w:lineRule="exact"/>
              <w:ind w:left="0" w:right="0"/>
              <w:jc w:val="center"/>
              <w:rPr>
                <w:rFonts w:hint="default" w:ascii="宋体" w:hAnsi="宋体" w:cs="宋体"/>
                <w:color w:val="auto"/>
                <w:kern w:val="0"/>
                <w:sz w:val="28"/>
                <w:szCs w:val="28"/>
                <w:highlight w:val="none"/>
              </w:rPr>
            </w:pPr>
            <w:r>
              <w:rPr>
                <w:rFonts w:hint="eastAsia" w:ascii="宋体" w:hAnsi="宋体" w:cs="宋体"/>
                <w:color w:val="auto"/>
                <w:kern w:val="0"/>
                <w:sz w:val="28"/>
                <w:szCs w:val="28"/>
                <w:highlight w:val="none"/>
                <w:lang w:val="en-US" w:eastAsia="zh-CN"/>
              </w:rPr>
              <w:t>咨询</w:t>
            </w:r>
            <w:r>
              <w:rPr>
                <w:rFonts w:hint="eastAsia" w:ascii="宋体" w:hAnsi="宋体" w:cs="宋体"/>
                <w:color w:val="auto"/>
                <w:kern w:val="0"/>
                <w:sz w:val="28"/>
                <w:szCs w:val="28"/>
                <w:highlight w:val="none"/>
              </w:rPr>
              <w:t>酬金（元）</w:t>
            </w:r>
          </w:p>
        </w:tc>
      </w:tr>
      <w:tr w14:paraId="2D228D94">
        <w:tblPrEx>
          <w:tblCellMar>
            <w:top w:w="0" w:type="dxa"/>
            <w:left w:w="108" w:type="dxa"/>
            <w:bottom w:w="0" w:type="dxa"/>
            <w:right w:w="108" w:type="dxa"/>
          </w:tblCellMar>
        </w:tblPrEx>
        <w:trPr>
          <w:trHeight w:val="430" w:hRule="atLeast"/>
        </w:trPr>
        <w:tc>
          <w:tcPr>
            <w:tcW w:w="4650" w:type="dxa"/>
            <w:tcBorders>
              <w:top w:val="nil"/>
              <w:left w:val="single" w:color="auto" w:sz="4" w:space="0"/>
              <w:bottom w:val="single" w:color="auto" w:sz="4" w:space="0"/>
              <w:right w:val="single" w:color="auto" w:sz="4" w:space="0"/>
            </w:tcBorders>
            <w:vAlign w:val="center"/>
          </w:tcPr>
          <w:p w14:paraId="4FDCA253">
            <w:pPr>
              <w:keepNext w:val="0"/>
              <w:keepLines w:val="0"/>
              <w:widowControl/>
              <w:suppressLineNumbers w:val="0"/>
              <w:spacing w:before="0" w:beforeAutospacing="0" w:after="0" w:afterAutospacing="0" w:line="600" w:lineRule="exact"/>
              <w:ind w:left="0" w:right="0"/>
              <w:jc w:val="center"/>
              <w:rPr>
                <w:rFonts w:hint="default" w:ascii="宋体" w:hAnsi="宋体" w:cs="宋体"/>
                <w:color w:val="auto"/>
                <w:kern w:val="0"/>
                <w:sz w:val="28"/>
                <w:szCs w:val="28"/>
                <w:highlight w:val="none"/>
              </w:rPr>
            </w:pPr>
          </w:p>
          <w:p w14:paraId="32DB7ADF">
            <w:pPr>
              <w:keepNext w:val="0"/>
              <w:keepLines w:val="0"/>
              <w:suppressLineNumbers w:val="0"/>
              <w:spacing w:before="0" w:beforeAutospacing="0" w:after="0" w:afterAutospacing="0"/>
              <w:ind w:left="0" w:right="0"/>
              <w:rPr>
                <w:rFonts w:hint="default"/>
                <w:color w:val="auto"/>
                <w:highlight w:val="none"/>
              </w:rPr>
            </w:pPr>
          </w:p>
        </w:tc>
        <w:tc>
          <w:tcPr>
            <w:tcW w:w="4770" w:type="dxa"/>
            <w:tcBorders>
              <w:top w:val="nil"/>
              <w:left w:val="nil"/>
              <w:bottom w:val="single" w:color="auto" w:sz="4" w:space="0"/>
              <w:right w:val="single" w:color="auto" w:sz="4" w:space="0"/>
            </w:tcBorders>
            <w:vAlign w:val="center"/>
          </w:tcPr>
          <w:p w14:paraId="1DB8ECD4">
            <w:pPr>
              <w:keepNext w:val="0"/>
              <w:keepLines w:val="0"/>
              <w:widowControl/>
              <w:suppressLineNumbers w:val="0"/>
              <w:spacing w:before="0" w:beforeAutospacing="0" w:after="0" w:afterAutospacing="0" w:line="600" w:lineRule="exact"/>
              <w:ind w:left="0" w:right="0"/>
              <w:jc w:val="both"/>
              <w:rPr>
                <w:rFonts w:hint="default" w:ascii="宋体" w:hAnsi="宋体" w:cs="宋体"/>
                <w:color w:val="auto"/>
                <w:kern w:val="0"/>
                <w:sz w:val="28"/>
                <w:szCs w:val="28"/>
                <w:highlight w:val="none"/>
              </w:rPr>
            </w:pPr>
          </w:p>
        </w:tc>
      </w:tr>
    </w:tbl>
    <w:p w14:paraId="1A17E71B">
      <w:pPr>
        <w:shd w:val="clear"/>
        <w:kinsoku/>
        <w:overflowPunct/>
        <w:topLinePunct w:val="0"/>
        <w:bidi w:val="0"/>
        <w:rPr>
          <w:rFonts w:hint="eastAsia" w:ascii="宋体" w:hAnsi="宋体" w:cs="宋体"/>
          <w:color w:val="auto"/>
          <w:sz w:val="28"/>
          <w:szCs w:val="28"/>
          <w:highlight w:val="none"/>
          <w:u w:val="single"/>
          <w:lang w:val="en-US" w:eastAsia="zh-CN"/>
        </w:rPr>
      </w:pPr>
      <w:r>
        <w:rPr>
          <w:rFonts w:hint="eastAsia" w:ascii="宋体" w:hAnsi="宋体" w:cs="宋体"/>
          <w:b/>
          <w:bCs/>
          <w:color w:val="auto"/>
          <w:sz w:val="28"/>
          <w:szCs w:val="28"/>
          <w:highlight w:val="none"/>
          <w:lang w:val="en-US" w:eastAsia="zh-CN"/>
        </w:rPr>
        <w:t xml:space="preserve">    </w:t>
      </w:r>
      <w:r>
        <w:rPr>
          <w:rFonts w:hint="eastAsia" w:ascii="宋体" w:hAnsi="宋体" w:cs="宋体"/>
          <w:b/>
          <w:bCs/>
          <w:color w:val="auto"/>
          <w:sz w:val="28"/>
          <w:szCs w:val="28"/>
          <w:highlight w:val="none"/>
        </w:rPr>
        <w:t>付款方式：</w:t>
      </w:r>
      <w:r>
        <w:rPr>
          <w:rFonts w:hint="eastAsia" w:ascii="宋体" w:hAnsi="宋体" w:cs="宋体"/>
          <w:b/>
          <w:bCs/>
          <w:color w:val="auto"/>
          <w:sz w:val="28"/>
          <w:szCs w:val="28"/>
          <w:highlight w:val="none"/>
          <w:u w:val="single"/>
          <w:lang w:val="en-US" w:eastAsia="zh-CN"/>
        </w:rPr>
        <w:t xml:space="preserve"> 完成并出具复审报告后一次性付清。</w:t>
      </w:r>
      <w:r>
        <w:rPr>
          <w:rFonts w:hint="eastAsia" w:ascii="宋体" w:hAnsi="宋体" w:cs="宋体"/>
          <w:color w:val="auto"/>
          <w:sz w:val="28"/>
          <w:szCs w:val="28"/>
          <w:highlight w:val="none"/>
          <w:u w:val="single"/>
          <w:lang w:val="en-US" w:eastAsia="zh-CN"/>
        </w:rPr>
        <w:t xml:space="preserve">   </w:t>
      </w:r>
    </w:p>
    <w:p w14:paraId="16DD103B">
      <w:pPr>
        <w:shd w:val="clear"/>
        <w:kinsoku/>
        <w:overflowPunct/>
        <w:topLinePunct w:val="0"/>
        <w:bidi w:val="0"/>
        <w:ind w:firstLine="640" w:firstLineChars="200"/>
        <w:rPr>
          <w:rFonts w:hint="eastAsia" w:ascii="宋体" w:hAnsi="宋体" w:eastAsia="宋体" w:cs="Times New Roman"/>
          <w:color w:val="auto"/>
          <w:sz w:val="32"/>
          <w:szCs w:val="32"/>
          <w:highlight w:val="none"/>
        </w:rPr>
      </w:pPr>
      <w:r>
        <w:rPr>
          <w:rFonts w:hint="eastAsia" w:ascii="宋体" w:hAnsi="宋体" w:eastAsia="宋体" w:cs="Times New Roman"/>
          <w:color w:val="auto"/>
          <w:sz w:val="32"/>
          <w:szCs w:val="32"/>
          <w:highlight w:val="none"/>
        </w:rPr>
        <w:t>六、处罚规定</w:t>
      </w:r>
    </w:p>
    <w:p w14:paraId="0285E155">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1.中标单位应在规定时间内提交复审成果文件，因中标单位原因未能按时提交，超过5日的，扣咨询服务费500元/日；超过15日的，扣咨询服务费1000元/日。</w:t>
      </w:r>
    </w:p>
    <w:p w14:paraId="031D2FD1">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2.中标单位（人员）不得接受项目施工单位的影响审计独立性的业务，一经发现，终止复审委托协议，并抄送市审计局，市住建局，市财政局，市公管局。</w:t>
      </w:r>
    </w:p>
    <w:p w14:paraId="40E7AF08">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3.中标单位有下列情形之一的，可扣减服务费用，终止结算复核委托协议，提请行政主管部门给予警告、通报，有限期或无限期禁止从事我中心项目等处罚，构成犯罪的，依法追究刑事责任：</w:t>
      </w:r>
    </w:p>
    <w:p w14:paraId="3150914A">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（一）复审报告存在重大失误或质量低劣；</w:t>
      </w:r>
    </w:p>
    <w:p w14:paraId="1605E8CB">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（二）因自身工作错误或过失造成重大损失；</w:t>
      </w:r>
    </w:p>
    <w:p w14:paraId="2E867C55">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（三）未经允许私自向施工单位透露审核情况或信息；</w:t>
      </w:r>
    </w:p>
    <w:p w14:paraId="7EAAD230">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（四）向相关单位或个人索要财物等谋取不正当利益；</w:t>
      </w:r>
    </w:p>
    <w:p w14:paraId="18BC5426">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（五）单独或与其他各方串通舞弊、弄虚作假；</w:t>
      </w:r>
    </w:p>
    <w:p w14:paraId="139F4FBE">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（六）其他违反法律法规和规定的行为。</w:t>
      </w:r>
    </w:p>
    <w:p w14:paraId="7023939F">
      <w:pPr>
        <w:shd w:val="clear"/>
        <w:kinsoku/>
        <w:overflowPunct/>
        <w:topLinePunct w:val="0"/>
        <w:bidi w:val="0"/>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4.中标单位存在转包、违法分包等行为的，无证人员执业、挂靠执业、执业人员不到岗等违反相关法规的，将按相关法规进行处罚，终止委托业务。</w:t>
      </w:r>
    </w:p>
    <w:p w14:paraId="16F7AB6F">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七</w:t>
      </w:r>
      <w:r>
        <w:rPr>
          <w:rFonts w:hint="eastAsia" w:ascii="宋体" w:hAnsi="宋体"/>
          <w:color w:val="auto"/>
          <w:sz w:val="32"/>
          <w:szCs w:val="32"/>
          <w:highlight w:val="none"/>
        </w:rPr>
        <w:t>、签订时间</w:t>
      </w:r>
    </w:p>
    <w:p w14:paraId="4487356D">
      <w:pPr>
        <w:shd w:val="clear"/>
        <w:kinsoku/>
        <w:overflowPunct/>
        <w:topLinePunct w:val="0"/>
        <w:bidi w:val="0"/>
        <w:ind w:firstLine="600" w:firstLineChars="200"/>
        <w:rPr>
          <w:rFonts w:ascii="宋体" w:hAnsi="宋体"/>
          <w:color w:val="auto"/>
          <w:sz w:val="30"/>
          <w:szCs w:val="30"/>
          <w:highlight w:val="none"/>
        </w:rPr>
      </w:pPr>
      <w:r>
        <w:rPr>
          <w:rFonts w:hint="eastAsia" w:ascii="宋体" w:hAnsi="宋体"/>
          <w:bCs/>
          <w:color w:val="auto"/>
          <w:sz w:val="30"/>
          <w:szCs w:val="30"/>
          <w:highlight w:val="none"/>
        </w:rPr>
        <w:t>本合同于</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 xml:space="preserve">  </w:t>
      </w:r>
      <w:r>
        <w:rPr>
          <w:rFonts w:ascii="宋体" w:hAnsi="宋体"/>
          <w:color w:val="auto"/>
          <w:sz w:val="30"/>
          <w:szCs w:val="30"/>
          <w:highlight w:val="none"/>
          <w:u w:val="single"/>
        </w:rPr>
        <w:t xml:space="preserve">  </w:t>
      </w:r>
      <w:r>
        <w:rPr>
          <w:rFonts w:hint="eastAsia" w:ascii="宋体" w:hAnsi="宋体"/>
          <w:color w:val="auto"/>
          <w:sz w:val="30"/>
          <w:szCs w:val="30"/>
          <w:highlight w:val="none"/>
        </w:rPr>
        <w:t>年</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 xml:space="preserve"> </w:t>
      </w:r>
      <w:r>
        <w:rPr>
          <w:rFonts w:ascii="宋体" w:hAnsi="宋体"/>
          <w:color w:val="auto"/>
          <w:sz w:val="30"/>
          <w:szCs w:val="30"/>
          <w:highlight w:val="none"/>
          <w:u w:val="single"/>
        </w:rPr>
        <w:t xml:space="preserve">  </w:t>
      </w:r>
      <w:r>
        <w:rPr>
          <w:rFonts w:hint="eastAsia" w:ascii="宋体" w:hAnsi="宋体"/>
          <w:color w:val="auto"/>
          <w:sz w:val="30"/>
          <w:szCs w:val="30"/>
          <w:highlight w:val="none"/>
        </w:rPr>
        <w:t>月</w:t>
      </w:r>
      <w:r>
        <w:rPr>
          <w:rFonts w:ascii="宋体" w:hAnsi="宋体"/>
          <w:color w:val="auto"/>
          <w:sz w:val="30"/>
          <w:szCs w:val="30"/>
          <w:highlight w:val="none"/>
          <w:u w:val="single"/>
        </w:rPr>
        <w:t xml:space="preserve">       </w:t>
      </w:r>
      <w:r>
        <w:rPr>
          <w:rFonts w:hint="eastAsia" w:ascii="宋体" w:hAnsi="宋体"/>
          <w:color w:val="auto"/>
          <w:sz w:val="30"/>
          <w:szCs w:val="30"/>
          <w:highlight w:val="none"/>
        </w:rPr>
        <w:t>日</w:t>
      </w:r>
      <w:r>
        <w:rPr>
          <w:rFonts w:hint="eastAsia" w:ascii="宋体" w:hAnsi="宋体"/>
          <w:bCs/>
          <w:color w:val="auto"/>
          <w:sz w:val="30"/>
          <w:szCs w:val="30"/>
          <w:highlight w:val="none"/>
        </w:rPr>
        <w:t>签订</w:t>
      </w:r>
      <w:r>
        <w:rPr>
          <w:rFonts w:hint="eastAsia" w:ascii="宋体" w:hAnsi="宋体"/>
          <w:color w:val="auto"/>
          <w:sz w:val="30"/>
          <w:szCs w:val="30"/>
          <w:highlight w:val="none"/>
        </w:rPr>
        <w:t>。</w:t>
      </w:r>
    </w:p>
    <w:p w14:paraId="0DBD97BC">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八</w:t>
      </w:r>
      <w:r>
        <w:rPr>
          <w:rFonts w:hint="eastAsia" w:ascii="宋体" w:hAnsi="宋体"/>
          <w:color w:val="auto"/>
          <w:sz w:val="32"/>
          <w:szCs w:val="32"/>
          <w:highlight w:val="none"/>
        </w:rPr>
        <w:t>、签订地点</w:t>
      </w:r>
    </w:p>
    <w:p w14:paraId="45EECA41">
      <w:pPr>
        <w:shd w:val="clear"/>
        <w:kinsoku/>
        <w:overflowPunct/>
        <w:topLinePunct w:val="0"/>
        <w:bidi w:val="0"/>
        <w:ind w:firstLine="600" w:firstLineChars="200"/>
        <w:rPr>
          <w:rFonts w:ascii="宋体" w:hAnsi="宋体"/>
          <w:color w:val="auto"/>
          <w:sz w:val="30"/>
          <w:szCs w:val="30"/>
          <w:highlight w:val="none"/>
        </w:rPr>
      </w:pPr>
      <w:r>
        <w:rPr>
          <w:rFonts w:hint="eastAsia" w:ascii="宋体" w:hAnsi="宋体"/>
          <w:bCs/>
          <w:color w:val="auto"/>
          <w:sz w:val="30"/>
          <w:szCs w:val="30"/>
          <w:highlight w:val="none"/>
        </w:rPr>
        <w:t>本合同在</w:t>
      </w:r>
      <w:r>
        <w:rPr>
          <w:rFonts w:ascii="宋体" w:hAnsi="宋体"/>
          <w:color w:val="auto"/>
          <w:sz w:val="30"/>
          <w:szCs w:val="30"/>
          <w:highlight w:val="none"/>
          <w:u w:val="single"/>
        </w:rPr>
        <w:t xml:space="preserve">  </w:t>
      </w:r>
      <w:r>
        <w:rPr>
          <w:rFonts w:hint="eastAsia" w:ascii="宋体" w:hAnsi="宋体" w:cs="仿宋_GB2312"/>
          <w:color w:val="auto"/>
          <w:sz w:val="30"/>
          <w:szCs w:val="30"/>
          <w:highlight w:val="none"/>
          <w:u w:val="single"/>
        </w:rPr>
        <w:t xml:space="preserve"> </w:t>
      </w:r>
      <w:r>
        <w:rPr>
          <w:rFonts w:hint="eastAsia" w:ascii="宋体" w:hAnsi="宋体"/>
          <w:color w:val="auto"/>
          <w:sz w:val="30"/>
          <w:szCs w:val="30"/>
          <w:highlight w:val="none"/>
          <w:u w:val="single"/>
          <w:lang w:eastAsia="zh-CN"/>
        </w:rPr>
        <w:t>安徽省琅琊山旅游发展有限公司</w:t>
      </w:r>
      <w:r>
        <w:rPr>
          <w:rFonts w:hint="eastAsia" w:ascii="宋体" w:hAnsi="宋体" w:cs="仿宋_GB2312"/>
          <w:color w:val="auto"/>
          <w:sz w:val="30"/>
          <w:szCs w:val="30"/>
          <w:highlight w:val="none"/>
          <w:u w:val="single"/>
        </w:rPr>
        <w:t xml:space="preserve">   </w:t>
      </w:r>
      <w:r>
        <w:rPr>
          <w:rFonts w:hint="eastAsia" w:ascii="宋体" w:hAnsi="宋体"/>
          <w:color w:val="auto"/>
          <w:sz w:val="30"/>
          <w:szCs w:val="30"/>
          <w:highlight w:val="none"/>
          <w:u w:val="single"/>
        </w:rPr>
        <w:t xml:space="preserve"> </w:t>
      </w:r>
      <w:r>
        <w:rPr>
          <w:rFonts w:ascii="宋体" w:hAnsi="宋体"/>
          <w:color w:val="auto"/>
          <w:sz w:val="30"/>
          <w:szCs w:val="30"/>
          <w:highlight w:val="none"/>
          <w:u w:val="single"/>
        </w:rPr>
        <w:t xml:space="preserve"> </w:t>
      </w:r>
      <w:r>
        <w:rPr>
          <w:rFonts w:hint="eastAsia" w:ascii="宋体" w:hAnsi="宋体"/>
          <w:color w:val="auto"/>
          <w:sz w:val="30"/>
          <w:szCs w:val="30"/>
          <w:highlight w:val="none"/>
        </w:rPr>
        <w:t>签订。</w:t>
      </w:r>
    </w:p>
    <w:p w14:paraId="569E7E4C">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九</w:t>
      </w:r>
      <w:r>
        <w:rPr>
          <w:rFonts w:hint="eastAsia" w:ascii="宋体" w:hAnsi="宋体"/>
          <w:color w:val="auto"/>
          <w:sz w:val="32"/>
          <w:szCs w:val="32"/>
          <w:highlight w:val="none"/>
        </w:rPr>
        <w:t>、补充协议</w:t>
      </w:r>
    </w:p>
    <w:p w14:paraId="471BE24B">
      <w:pPr>
        <w:shd w:val="clear"/>
        <w:kinsoku/>
        <w:overflowPunct/>
        <w:topLinePunct w:val="0"/>
        <w:bidi w:val="0"/>
        <w:ind w:firstLine="600" w:firstLineChars="200"/>
        <w:rPr>
          <w:rFonts w:ascii="宋体" w:hAnsi="宋体"/>
          <w:color w:val="auto"/>
          <w:sz w:val="30"/>
          <w:szCs w:val="30"/>
          <w:highlight w:val="none"/>
        </w:rPr>
      </w:pPr>
      <w:r>
        <w:rPr>
          <w:rFonts w:hint="eastAsia" w:ascii="宋体" w:hAnsi="宋体"/>
          <w:color w:val="auto"/>
          <w:sz w:val="30"/>
          <w:szCs w:val="30"/>
          <w:highlight w:val="none"/>
        </w:rPr>
        <w:t>合同未尽事宜，合同当事人另行签订补充协议，补充协议是合同的组成部分。</w:t>
      </w:r>
    </w:p>
    <w:p w14:paraId="18D1CC8F">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十</w:t>
      </w:r>
      <w:r>
        <w:rPr>
          <w:rFonts w:hint="eastAsia" w:ascii="宋体" w:hAnsi="宋体"/>
          <w:color w:val="auto"/>
          <w:sz w:val="32"/>
          <w:szCs w:val="32"/>
          <w:highlight w:val="none"/>
        </w:rPr>
        <w:t>、合同生效</w:t>
      </w:r>
    </w:p>
    <w:p w14:paraId="6370DCE1">
      <w:pPr>
        <w:shd w:val="clear"/>
        <w:kinsoku/>
        <w:overflowPunct/>
        <w:topLinePunct w:val="0"/>
        <w:bidi w:val="0"/>
        <w:ind w:firstLine="600" w:firstLineChars="200"/>
        <w:rPr>
          <w:rFonts w:ascii="宋体" w:hAnsi="宋体"/>
          <w:color w:val="auto"/>
          <w:sz w:val="30"/>
          <w:szCs w:val="30"/>
          <w:highlight w:val="none"/>
        </w:rPr>
      </w:pPr>
      <w:r>
        <w:rPr>
          <w:rFonts w:hint="eastAsia" w:ascii="宋体" w:hAnsi="宋体"/>
          <w:color w:val="auto"/>
          <w:sz w:val="30"/>
          <w:szCs w:val="30"/>
          <w:highlight w:val="none"/>
        </w:rPr>
        <w:t>本合同自</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签订之日起</w:t>
      </w:r>
      <w:r>
        <w:rPr>
          <w:rFonts w:ascii="宋体" w:hAnsi="宋体"/>
          <w:color w:val="auto"/>
          <w:sz w:val="30"/>
          <w:szCs w:val="30"/>
          <w:highlight w:val="none"/>
          <w:u w:val="single"/>
        </w:rPr>
        <w:t xml:space="preserve">   </w:t>
      </w:r>
      <w:r>
        <w:rPr>
          <w:rFonts w:hint="eastAsia" w:ascii="宋体" w:hAnsi="宋体"/>
          <w:color w:val="auto"/>
          <w:sz w:val="30"/>
          <w:szCs w:val="30"/>
          <w:highlight w:val="none"/>
        </w:rPr>
        <w:t>生效。</w:t>
      </w:r>
    </w:p>
    <w:p w14:paraId="230942C5">
      <w:pPr>
        <w:shd w:val="clear"/>
        <w:kinsoku/>
        <w:overflowPunct/>
        <w:topLinePunct w:val="0"/>
        <w:bidi w:val="0"/>
        <w:ind w:firstLine="640" w:firstLineChars="200"/>
        <w:rPr>
          <w:rFonts w:hint="eastAsia" w:ascii="宋体" w:hAnsi="宋体"/>
          <w:color w:val="auto"/>
          <w:sz w:val="32"/>
          <w:szCs w:val="32"/>
          <w:highlight w:val="none"/>
        </w:rPr>
      </w:pPr>
    </w:p>
    <w:p w14:paraId="309B4552">
      <w:pPr>
        <w:shd w:val="clear"/>
        <w:kinsoku/>
        <w:overflowPunct/>
        <w:topLinePunct w:val="0"/>
        <w:bidi w:val="0"/>
        <w:ind w:firstLine="640" w:firstLineChars="200"/>
        <w:rPr>
          <w:rFonts w:hint="eastAsia" w:ascii="宋体" w:hAnsi="宋体"/>
          <w:color w:val="auto"/>
          <w:sz w:val="32"/>
          <w:szCs w:val="32"/>
          <w:highlight w:val="none"/>
        </w:rPr>
      </w:pPr>
    </w:p>
    <w:p w14:paraId="0D45CD72">
      <w:pPr>
        <w:shd w:val="clear"/>
        <w:kinsoku/>
        <w:overflowPunct/>
        <w:topLinePunct w:val="0"/>
        <w:bidi w:val="0"/>
        <w:ind w:firstLine="640" w:firstLineChars="200"/>
        <w:rPr>
          <w:rFonts w:hint="eastAsia" w:ascii="宋体" w:hAnsi="宋体"/>
          <w:color w:val="auto"/>
          <w:sz w:val="32"/>
          <w:szCs w:val="32"/>
          <w:highlight w:val="none"/>
        </w:rPr>
      </w:pPr>
    </w:p>
    <w:p w14:paraId="0F2BE78B">
      <w:pPr>
        <w:shd w:val="clear"/>
        <w:kinsoku/>
        <w:overflowPunct/>
        <w:topLinePunct w:val="0"/>
        <w:bidi w:val="0"/>
        <w:ind w:firstLine="640" w:firstLineChars="200"/>
        <w:rPr>
          <w:rFonts w:hint="eastAsia" w:ascii="宋体" w:hAnsi="宋体"/>
          <w:color w:val="auto"/>
          <w:sz w:val="32"/>
          <w:szCs w:val="32"/>
          <w:highlight w:val="none"/>
        </w:rPr>
      </w:pPr>
    </w:p>
    <w:p w14:paraId="513BCD8D">
      <w:pPr>
        <w:shd w:val="clear"/>
        <w:kinsoku/>
        <w:overflowPunct/>
        <w:topLinePunct w:val="0"/>
        <w:bidi w:val="0"/>
        <w:ind w:firstLine="640" w:firstLineChars="200"/>
        <w:rPr>
          <w:rFonts w:ascii="宋体" w:hAnsi="宋体"/>
          <w:color w:val="auto"/>
          <w:sz w:val="32"/>
          <w:szCs w:val="32"/>
          <w:highlight w:val="none"/>
        </w:rPr>
      </w:pPr>
      <w:r>
        <w:rPr>
          <w:rFonts w:hint="eastAsia" w:ascii="宋体" w:hAnsi="宋体"/>
          <w:color w:val="auto"/>
          <w:sz w:val="32"/>
          <w:szCs w:val="32"/>
          <w:highlight w:val="none"/>
        </w:rPr>
        <w:t>十</w:t>
      </w:r>
      <w:r>
        <w:rPr>
          <w:rFonts w:hint="eastAsia" w:ascii="宋体" w:hAnsi="宋体"/>
          <w:color w:val="auto"/>
          <w:sz w:val="32"/>
          <w:szCs w:val="32"/>
          <w:highlight w:val="none"/>
          <w:lang w:val="en-US" w:eastAsia="zh-CN"/>
        </w:rPr>
        <w:t>一</w:t>
      </w:r>
      <w:r>
        <w:rPr>
          <w:rFonts w:hint="eastAsia" w:ascii="宋体" w:hAnsi="宋体"/>
          <w:color w:val="auto"/>
          <w:sz w:val="32"/>
          <w:szCs w:val="32"/>
          <w:highlight w:val="none"/>
        </w:rPr>
        <w:t>、合同份数</w:t>
      </w:r>
    </w:p>
    <w:p w14:paraId="60067468">
      <w:pPr>
        <w:shd w:val="clear"/>
        <w:kinsoku/>
        <w:overflowPunct/>
        <w:topLinePunct w:val="0"/>
        <w:bidi w:val="0"/>
        <w:ind w:firstLine="600" w:firstLineChars="200"/>
        <w:rPr>
          <w:rFonts w:hAnsi="宋体"/>
          <w:bCs/>
          <w:color w:val="auto"/>
          <w:sz w:val="30"/>
          <w:szCs w:val="30"/>
          <w:highlight w:val="none"/>
        </w:rPr>
      </w:pPr>
      <w:r>
        <w:rPr>
          <w:rFonts w:hint="eastAsia" w:ascii="宋体" w:hAnsi="宋体"/>
          <w:color w:val="auto"/>
          <w:sz w:val="30"/>
          <w:szCs w:val="30"/>
          <w:highlight w:val="none"/>
        </w:rPr>
        <w:t>本合同一式</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肆</w:t>
      </w:r>
      <w:r>
        <w:rPr>
          <w:rFonts w:ascii="宋体" w:hAnsi="宋体"/>
          <w:color w:val="auto"/>
          <w:sz w:val="30"/>
          <w:szCs w:val="30"/>
          <w:highlight w:val="none"/>
          <w:u w:val="single"/>
        </w:rPr>
        <w:t xml:space="preserve">  </w:t>
      </w:r>
      <w:r>
        <w:rPr>
          <w:rFonts w:hint="eastAsia" w:ascii="宋体" w:hAnsi="宋体"/>
          <w:color w:val="auto"/>
          <w:sz w:val="30"/>
          <w:szCs w:val="30"/>
          <w:highlight w:val="none"/>
        </w:rPr>
        <w:t>份，均具有同等法律效力，委托人</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贰</w:t>
      </w:r>
      <w:r>
        <w:rPr>
          <w:rFonts w:ascii="宋体" w:hAnsi="宋体"/>
          <w:color w:val="auto"/>
          <w:sz w:val="30"/>
          <w:szCs w:val="30"/>
          <w:highlight w:val="none"/>
          <w:u w:val="single"/>
        </w:rPr>
        <w:t xml:space="preserve">  </w:t>
      </w:r>
      <w:r>
        <w:rPr>
          <w:rFonts w:hint="eastAsia" w:ascii="宋体" w:hAnsi="宋体"/>
          <w:color w:val="auto"/>
          <w:sz w:val="30"/>
          <w:szCs w:val="30"/>
          <w:highlight w:val="none"/>
        </w:rPr>
        <w:t>份，咨询人</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贰</w:t>
      </w:r>
      <w:r>
        <w:rPr>
          <w:rFonts w:ascii="宋体" w:hAnsi="宋体"/>
          <w:color w:val="auto"/>
          <w:sz w:val="30"/>
          <w:szCs w:val="30"/>
          <w:highlight w:val="none"/>
          <w:u w:val="single"/>
        </w:rPr>
        <w:t xml:space="preserve">  </w:t>
      </w:r>
      <w:r>
        <w:rPr>
          <w:rFonts w:hint="eastAsia" w:ascii="宋体" w:hAnsi="宋体"/>
          <w:color w:val="auto"/>
          <w:sz w:val="30"/>
          <w:szCs w:val="30"/>
          <w:highlight w:val="none"/>
        </w:rPr>
        <w:t>份。</w:t>
      </w:r>
    </w:p>
    <w:p w14:paraId="1EE01399">
      <w:pPr>
        <w:shd w:val="clear"/>
        <w:tabs>
          <w:tab w:val="left" w:pos="4830"/>
        </w:tabs>
        <w:kinsoku/>
        <w:overflowPunct/>
        <w:topLinePunct w:val="0"/>
        <w:bidi w:val="0"/>
        <w:rPr>
          <w:rFonts w:ascii="宋体" w:hAnsi="宋体"/>
          <w:color w:val="auto"/>
          <w:sz w:val="30"/>
          <w:szCs w:val="30"/>
          <w:highlight w:val="none"/>
        </w:rPr>
      </w:pPr>
      <w:bookmarkStart w:id="69" w:name="_Toc407261893"/>
      <w:r>
        <w:rPr>
          <w:rFonts w:hint="eastAsia" w:ascii="宋体" w:hAnsi="宋体"/>
          <w:color w:val="auto"/>
          <w:sz w:val="30"/>
          <w:szCs w:val="30"/>
          <w:highlight w:val="none"/>
        </w:rPr>
        <w:t>委托人：</w:t>
      </w:r>
      <w:r>
        <w:rPr>
          <w:rFonts w:ascii="宋体" w:hAnsi="宋体"/>
          <w:color w:val="auto"/>
          <w:sz w:val="30"/>
          <w:szCs w:val="30"/>
          <w:highlight w:val="none"/>
        </w:rPr>
        <w:t xml:space="preserve">  (</w:t>
      </w:r>
      <w:r>
        <w:rPr>
          <w:rFonts w:hint="eastAsia" w:ascii="宋体" w:hAnsi="宋体"/>
          <w:color w:val="auto"/>
          <w:sz w:val="30"/>
          <w:szCs w:val="30"/>
          <w:highlight w:val="none"/>
        </w:rPr>
        <w:t>公章</w:t>
      </w:r>
      <w:r>
        <w:rPr>
          <w:rFonts w:ascii="宋体" w:hAnsi="宋体"/>
          <w:color w:val="auto"/>
          <w:sz w:val="30"/>
          <w:szCs w:val="30"/>
          <w:highlight w:val="none"/>
        </w:rPr>
        <w:t xml:space="preserve">)                </w:t>
      </w:r>
      <w:r>
        <w:rPr>
          <w:rFonts w:hint="eastAsia" w:ascii="宋体" w:hAnsi="宋体"/>
          <w:color w:val="auto"/>
          <w:sz w:val="30"/>
          <w:szCs w:val="30"/>
          <w:highlight w:val="none"/>
        </w:rPr>
        <w:t>受托人：</w:t>
      </w:r>
      <w:r>
        <w:rPr>
          <w:rFonts w:ascii="宋体" w:hAnsi="宋体"/>
          <w:color w:val="auto"/>
          <w:sz w:val="30"/>
          <w:szCs w:val="30"/>
          <w:highlight w:val="none"/>
        </w:rPr>
        <w:t xml:space="preserve">  (</w:t>
      </w:r>
      <w:r>
        <w:rPr>
          <w:rFonts w:hint="eastAsia" w:ascii="宋体" w:hAnsi="宋体"/>
          <w:color w:val="auto"/>
          <w:sz w:val="30"/>
          <w:szCs w:val="30"/>
          <w:highlight w:val="none"/>
        </w:rPr>
        <w:t>公章</w:t>
      </w:r>
      <w:r>
        <w:rPr>
          <w:rFonts w:ascii="宋体" w:hAnsi="宋体"/>
          <w:color w:val="auto"/>
          <w:sz w:val="30"/>
          <w:szCs w:val="30"/>
          <w:highlight w:val="none"/>
        </w:rPr>
        <w:t xml:space="preserve">)         </w:t>
      </w:r>
    </w:p>
    <w:p w14:paraId="6F9923B7">
      <w:pPr>
        <w:shd w:val="clear"/>
        <w:tabs>
          <w:tab w:val="left" w:pos="4830"/>
        </w:tabs>
        <w:kinsoku/>
        <w:overflowPunct/>
        <w:topLinePunct w:val="0"/>
        <w:bidi w:val="0"/>
        <w:rPr>
          <w:rFonts w:ascii="宋体" w:hAnsi="宋体"/>
          <w:color w:val="auto"/>
          <w:sz w:val="30"/>
          <w:szCs w:val="30"/>
          <w:highlight w:val="none"/>
        </w:rPr>
      </w:pPr>
      <w:r>
        <w:rPr>
          <w:rFonts w:ascii="宋体" w:hAnsi="宋体"/>
          <w:color w:val="auto"/>
          <w:sz w:val="30"/>
          <w:szCs w:val="30"/>
          <w:highlight w:val="none"/>
        </w:rPr>
        <w:t xml:space="preserve">                </w:t>
      </w:r>
    </w:p>
    <w:p w14:paraId="0EA53E7B">
      <w:pPr>
        <w:shd w:val="clear"/>
        <w:kinsoku/>
        <w:overflowPunct/>
        <w:topLinePunct w:val="0"/>
        <w:bidi w:val="0"/>
        <w:rPr>
          <w:rFonts w:ascii="宋体" w:hAnsi="宋体"/>
          <w:color w:val="auto"/>
          <w:sz w:val="30"/>
          <w:szCs w:val="30"/>
          <w:highlight w:val="none"/>
        </w:rPr>
      </w:pPr>
      <w:r>
        <w:rPr>
          <w:rFonts w:hint="eastAsia" w:ascii="宋体" w:hAnsi="宋体"/>
          <w:color w:val="auto"/>
          <w:sz w:val="30"/>
          <w:szCs w:val="30"/>
          <w:highlight w:val="none"/>
        </w:rPr>
        <w:t>法定代表人或其委托代理人：</w:t>
      </w:r>
      <w:r>
        <w:rPr>
          <w:rFonts w:ascii="宋体" w:hAnsi="宋体"/>
          <w:color w:val="auto"/>
          <w:sz w:val="30"/>
          <w:szCs w:val="30"/>
          <w:highlight w:val="none"/>
        </w:rPr>
        <w:t xml:space="preserve">     </w:t>
      </w:r>
      <w:r>
        <w:rPr>
          <w:rFonts w:hint="eastAsia" w:ascii="宋体" w:hAnsi="宋体"/>
          <w:color w:val="auto"/>
          <w:sz w:val="30"/>
          <w:szCs w:val="30"/>
          <w:highlight w:val="none"/>
        </w:rPr>
        <w:t>法定代表人或其委托代理人：</w:t>
      </w:r>
    </w:p>
    <w:p w14:paraId="10A6E80E">
      <w:pPr>
        <w:shd w:val="clear"/>
        <w:kinsoku/>
        <w:overflowPunct/>
        <w:topLinePunct w:val="0"/>
        <w:bidi w:val="0"/>
        <w:rPr>
          <w:rFonts w:ascii="宋体" w:hAnsi="宋体"/>
          <w:color w:val="auto"/>
          <w:sz w:val="30"/>
          <w:szCs w:val="30"/>
          <w:highlight w:val="none"/>
        </w:rPr>
      </w:pPr>
      <w:r>
        <w:rPr>
          <w:rFonts w:hint="eastAsia" w:ascii="宋体" w:hAnsi="宋体"/>
          <w:color w:val="auto"/>
          <w:sz w:val="30"/>
          <w:szCs w:val="30"/>
          <w:highlight w:val="none"/>
        </w:rPr>
        <w:t>（签字）</w:t>
      </w:r>
      <w:r>
        <w:rPr>
          <w:rFonts w:ascii="宋体" w:hAnsi="宋体"/>
          <w:color w:val="auto"/>
          <w:sz w:val="30"/>
          <w:szCs w:val="30"/>
          <w:highlight w:val="none"/>
        </w:rPr>
        <w:t xml:space="preserve">                       </w:t>
      </w:r>
      <w:r>
        <w:rPr>
          <w:rFonts w:hint="eastAsia" w:ascii="宋体" w:hAnsi="宋体"/>
          <w:color w:val="auto"/>
          <w:sz w:val="30"/>
          <w:szCs w:val="30"/>
          <w:highlight w:val="none"/>
        </w:rPr>
        <w:t>（签字）</w:t>
      </w:r>
    </w:p>
    <w:p w14:paraId="01195E9F">
      <w:pPr>
        <w:shd w:val="clear"/>
        <w:kinsoku/>
        <w:overflowPunct/>
        <w:topLinePunct w:val="0"/>
        <w:bidi w:val="0"/>
        <w:rPr>
          <w:rFonts w:ascii="宋体" w:hAnsi="宋体"/>
          <w:color w:val="auto"/>
          <w:sz w:val="30"/>
          <w:szCs w:val="30"/>
          <w:highlight w:val="none"/>
        </w:rPr>
      </w:pPr>
      <w:r>
        <w:rPr>
          <w:rFonts w:hint="eastAsia" w:ascii="宋体" w:hAnsi="宋体"/>
          <w:color w:val="auto"/>
          <w:sz w:val="30"/>
          <w:szCs w:val="30"/>
          <w:highlight w:val="none"/>
        </w:rPr>
        <w:t>年  月  日                    年  月  日</w:t>
      </w:r>
    </w:p>
    <w:bookmarkEnd w:id="69"/>
    <w:p w14:paraId="26D77623">
      <w:pPr>
        <w:shd w:val="clear"/>
        <w:kinsoku/>
        <w:overflowPunct/>
        <w:topLinePunct w:val="0"/>
        <w:bidi w:val="0"/>
        <w:rPr>
          <w:rFonts w:ascii="宋体" w:hAnsi="宋体" w:cs="宋体"/>
          <w:color w:val="auto"/>
          <w:kern w:val="44"/>
          <w:sz w:val="18"/>
          <w:szCs w:val="18"/>
          <w:highlight w:val="none"/>
        </w:rPr>
      </w:pPr>
      <w:r>
        <w:rPr>
          <w:rFonts w:hint="eastAsia" w:ascii="宋体" w:hAnsi="宋体" w:cs="宋体"/>
          <w:color w:val="auto"/>
          <w:sz w:val="28"/>
          <w:szCs w:val="28"/>
          <w:highlight w:val="none"/>
          <w:lang w:bidi="ar"/>
        </w:rPr>
        <w:br w:type="page"/>
      </w:r>
    </w:p>
    <w:p w14:paraId="0715B92E">
      <w:pPr>
        <w:shd w:val="clear"/>
        <w:kinsoku/>
        <w:overflowPunct/>
        <w:topLinePunct w:val="0"/>
        <w:bidi w:val="0"/>
        <w:rPr>
          <w:rFonts w:ascii="宋体" w:hAnsi="宋体" w:cs="宋体"/>
          <w:color w:val="auto"/>
          <w:kern w:val="44"/>
          <w:sz w:val="18"/>
          <w:szCs w:val="18"/>
          <w:highlight w:val="none"/>
        </w:rPr>
        <w:sectPr>
          <w:footerReference r:id="rId6" w:type="default"/>
          <w:pgSz w:w="12240" w:h="15840"/>
          <w:pgMar w:top="935" w:right="1106" w:bottom="936" w:left="1259" w:header="680" w:footer="680" w:gutter="0"/>
          <w:cols w:space="0" w:num="1"/>
          <w:docGrid w:type="lines" w:linePitch="318" w:charSpace="0"/>
        </w:sectPr>
      </w:pPr>
    </w:p>
    <w:p w14:paraId="3A324F4D">
      <w:pPr>
        <w:pStyle w:val="6"/>
        <w:pageBreakBefore/>
        <w:shd w:val="clear"/>
        <w:kinsoku/>
        <w:overflowPunct/>
        <w:topLinePunct w:val="0"/>
        <w:bidi w:val="0"/>
        <w:spacing w:before="0" w:after="0"/>
        <w:rPr>
          <w:rFonts w:ascii="宋体" w:hAnsi="宋体" w:eastAsia="宋体" w:cs="宋体"/>
          <w:color w:val="auto"/>
          <w:highlight w:val="none"/>
        </w:rPr>
      </w:pPr>
      <w:bookmarkStart w:id="70" w:name="_Toc30675"/>
      <w:bookmarkStart w:id="71" w:name="_Toc18018"/>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投标文件格式</w:t>
      </w:r>
      <w:bookmarkEnd w:id="70"/>
      <w:bookmarkEnd w:id="71"/>
    </w:p>
    <w:p w14:paraId="577B42D1">
      <w:pPr>
        <w:shd w:val="clear"/>
        <w:kinsoku/>
        <w:overflowPunct/>
        <w:topLinePunct w:val="0"/>
        <w:bidi w:val="0"/>
        <w:jc w:val="center"/>
        <w:rPr>
          <w:rFonts w:ascii="宋体" w:hAnsi="宋体" w:cs="宋体"/>
          <w:color w:val="auto"/>
          <w:sz w:val="28"/>
          <w:szCs w:val="28"/>
          <w:highlight w:val="none"/>
          <w:u w:val="single"/>
        </w:rPr>
      </w:pPr>
    </w:p>
    <w:p w14:paraId="464324D6">
      <w:pPr>
        <w:shd w:val="clear"/>
        <w:kinsoku/>
        <w:overflowPunct/>
        <w:topLinePunct w:val="0"/>
        <w:bidi w:val="0"/>
        <w:jc w:val="center"/>
        <w:rPr>
          <w:rFonts w:ascii="宋体" w:hAnsi="宋体" w:cs="宋体"/>
          <w:color w:val="auto"/>
          <w:sz w:val="20"/>
          <w:szCs w:val="20"/>
          <w:highlight w:val="none"/>
        </w:rPr>
      </w:pP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 xml:space="preserve">（项目名称）   </w:t>
      </w:r>
    </w:p>
    <w:p w14:paraId="67FE6CC5">
      <w:pPr>
        <w:shd w:val="clear"/>
        <w:kinsoku/>
        <w:overflowPunct/>
        <w:topLinePunct w:val="0"/>
        <w:bidi w:val="0"/>
        <w:jc w:val="center"/>
        <w:rPr>
          <w:rFonts w:ascii="宋体" w:hAnsi="宋体" w:cs="宋体"/>
          <w:color w:val="auto"/>
          <w:sz w:val="20"/>
          <w:szCs w:val="20"/>
          <w:highlight w:val="none"/>
        </w:rPr>
      </w:pPr>
    </w:p>
    <w:p w14:paraId="79D294F2">
      <w:pPr>
        <w:shd w:val="clear"/>
        <w:kinsoku/>
        <w:overflowPunct/>
        <w:topLinePunct w:val="0"/>
        <w:bidi w:val="0"/>
        <w:jc w:val="center"/>
        <w:rPr>
          <w:rFonts w:ascii="宋体" w:hAnsi="宋体" w:cs="宋体"/>
          <w:color w:val="auto"/>
          <w:sz w:val="20"/>
          <w:szCs w:val="20"/>
          <w:highlight w:val="none"/>
        </w:rPr>
      </w:pPr>
    </w:p>
    <w:p w14:paraId="5BE2F3EF">
      <w:pPr>
        <w:shd w:val="clear"/>
        <w:kinsoku/>
        <w:overflowPunct/>
        <w:topLinePunct w:val="0"/>
        <w:bidi w:val="0"/>
        <w:jc w:val="center"/>
        <w:rPr>
          <w:rFonts w:ascii="宋体" w:hAnsi="宋体" w:cs="宋体"/>
          <w:color w:val="auto"/>
          <w:sz w:val="20"/>
          <w:szCs w:val="20"/>
          <w:highlight w:val="none"/>
        </w:rPr>
      </w:pPr>
    </w:p>
    <w:p w14:paraId="60BD4AB3">
      <w:pPr>
        <w:shd w:val="clear"/>
        <w:kinsoku/>
        <w:overflowPunct/>
        <w:topLinePunct w:val="0"/>
        <w:bidi w:val="0"/>
        <w:rPr>
          <w:rFonts w:ascii="宋体" w:hAnsi="宋体" w:cs="宋体"/>
          <w:color w:val="auto"/>
          <w:sz w:val="20"/>
          <w:szCs w:val="20"/>
          <w:highlight w:val="none"/>
        </w:rPr>
      </w:pPr>
    </w:p>
    <w:p w14:paraId="2560729F">
      <w:pPr>
        <w:shd w:val="clear"/>
        <w:kinsoku/>
        <w:overflowPunct/>
        <w:topLinePunct w:val="0"/>
        <w:bidi w:val="0"/>
        <w:jc w:val="center"/>
        <w:rPr>
          <w:rFonts w:ascii="宋体" w:hAnsi="宋体" w:cs="宋体"/>
          <w:color w:val="auto"/>
          <w:sz w:val="44"/>
          <w:szCs w:val="44"/>
          <w:highlight w:val="none"/>
        </w:rPr>
      </w:pPr>
      <w:r>
        <w:rPr>
          <w:rFonts w:hint="eastAsia" w:ascii="宋体" w:hAnsi="宋体" w:cs="宋体"/>
          <w:color w:val="auto"/>
          <w:sz w:val="44"/>
          <w:szCs w:val="44"/>
          <w:highlight w:val="none"/>
        </w:rPr>
        <w:t>投标文件</w:t>
      </w:r>
    </w:p>
    <w:p w14:paraId="078F9CA1">
      <w:pPr>
        <w:shd w:val="clear"/>
        <w:kinsoku/>
        <w:overflowPunct/>
        <w:topLinePunct w:val="0"/>
        <w:bidi w:val="0"/>
        <w:ind w:firstLine="2880" w:firstLineChars="900"/>
        <w:rPr>
          <w:rFonts w:ascii="宋体" w:hAnsi="宋体" w:cs="宋体"/>
          <w:color w:val="auto"/>
          <w:sz w:val="32"/>
          <w:highlight w:val="none"/>
        </w:rPr>
      </w:pPr>
    </w:p>
    <w:p w14:paraId="3C4501B6">
      <w:pPr>
        <w:shd w:val="clear"/>
        <w:kinsoku/>
        <w:overflowPunct/>
        <w:topLinePunct w:val="0"/>
        <w:bidi w:val="0"/>
        <w:ind w:firstLine="2880" w:firstLineChars="900"/>
        <w:rPr>
          <w:rFonts w:ascii="宋体" w:hAnsi="宋体" w:cs="宋体"/>
          <w:color w:val="auto"/>
          <w:sz w:val="44"/>
          <w:szCs w:val="44"/>
          <w:highlight w:val="none"/>
          <w:u w:val="single"/>
        </w:rPr>
      </w:pPr>
      <w:r>
        <w:rPr>
          <w:rFonts w:hint="eastAsia" w:ascii="宋体" w:hAnsi="宋体" w:cs="宋体"/>
          <w:color w:val="auto"/>
          <w:sz w:val="32"/>
          <w:highlight w:val="none"/>
        </w:rPr>
        <w:t xml:space="preserve">项目编号：          </w:t>
      </w:r>
    </w:p>
    <w:p w14:paraId="53F99F2A">
      <w:pPr>
        <w:shd w:val="clear"/>
        <w:kinsoku/>
        <w:overflowPunct/>
        <w:topLinePunct w:val="0"/>
        <w:bidi w:val="0"/>
        <w:rPr>
          <w:rFonts w:ascii="宋体" w:hAnsi="宋体" w:cs="宋体"/>
          <w:color w:val="auto"/>
          <w:sz w:val="28"/>
          <w:szCs w:val="28"/>
          <w:highlight w:val="none"/>
        </w:rPr>
      </w:pPr>
    </w:p>
    <w:p w14:paraId="497CF947">
      <w:pPr>
        <w:shd w:val="clear"/>
        <w:kinsoku/>
        <w:overflowPunct/>
        <w:topLinePunct w:val="0"/>
        <w:bidi w:val="0"/>
        <w:rPr>
          <w:rFonts w:ascii="宋体" w:hAnsi="宋体" w:cs="宋体"/>
          <w:color w:val="auto"/>
          <w:sz w:val="28"/>
          <w:szCs w:val="28"/>
          <w:highlight w:val="none"/>
        </w:rPr>
      </w:pPr>
    </w:p>
    <w:p w14:paraId="26EF9E79">
      <w:pPr>
        <w:shd w:val="clear"/>
        <w:kinsoku/>
        <w:overflowPunct/>
        <w:topLinePunct w:val="0"/>
        <w:bidi w:val="0"/>
        <w:rPr>
          <w:rFonts w:ascii="宋体" w:hAnsi="宋体" w:cs="宋体"/>
          <w:color w:val="auto"/>
          <w:sz w:val="28"/>
          <w:szCs w:val="28"/>
          <w:highlight w:val="none"/>
        </w:rPr>
      </w:pPr>
    </w:p>
    <w:p w14:paraId="0F47BA3D">
      <w:pPr>
        <w:shd w:val="clear"/>
        <w:kinsoku/>
        <w:overflowPunct/>
        <w:topLinePunct w:val="0"/>
        <w:bidi w:val="0"/>
        <w:rPr>
          <w:rFonts w:ascii="宋体" w:hAnsi="宋体" w:cs="宋体"/>
          <w:color w:val="auto"/>
          <w:sz w:val="28"/>
          <w:szCs w:val="28"/>
          <w:highlight w:val="none"/>
        </w:rPr>
      </w:pPr>
    </w:p>
    <w:p w14:paraId="6732FA50">
      <w:pPr>
        <w:shd w:val="clear"/>
        <w:kinsoku/>
        <w:overflowPunct/>
        <w:topLinePunct w:val="0"/>
        <w:bidi w:val="0"/>
        <w:rPr>
          <w:rFonts w:ascii="宋体" w:hAnsi="宋体" w:cs="宋体"/>
          <w:color w:val="auto"/>
          <w:sz w:val="28"/>
          <w:szCs w:val="28"/>
          <w:highlight w:val="none"/>
        </w:rPr>
      </w:pPr>
    </w:p>
    <w:p w14:paraId="224F18AE">
      <w:pPr>
        <w:shd w:val="clear"/>
        <w:kinsoku/>
        <w:overflowPunct/>
        <w:topLinePunct w:val="0"/>
        <w:bidi w:val="0"/>
        <w:rPr>
          <w:rFonts w:ascii="宋体" w:hAnsi="宋体" w:cs="宋体"/>
          <w:color w:val="auto"/>
          <w:sz w:val="28"/>
          <w:szCs w:val="28"/>
          <w:highlight w:val="none"/>
        </w:rPr>
      </w:pPr>
    </w:p>
    <w:p w14:paraId="27268322">
      <w:pPr>
        <w:shd w:val="clear"/>
        <w:kinsoku/>
        <w:overflowPunct/>
        <w:topLinePunct w:val="0"/>
        <w:bidi w:val="0"/>
        <w:rPr>
          <w:rFonts w:ascii="宋体" w:hAnsi="宋体" w:cs="宋体"/>
          <w:color w:val="auto"/>
          <w:sz w:val="28"/>
          <w:szCs w:val="28"/>
          <w:highlight w:val="none"/>
        </w:rPr>
      </w:pPr>
    </w:p>
    <w:p w14:paraId="6FC8D16D">
      <w:pPr>
        <w:shd w:val="clear"/>
        <w:kinsoku/>
        <w:overflowPunct/>
        <w:topLinePunct w:val="0"/>
        <w:bidi w:val="0"/>
        <w:jc w:val="center"/>
        <w:rPr>
          <w:rFonts w:ascii="宋体" w:hAnsi="宋体" w:cs="宋体"/>
          <w:color w:val="auto"/>
          <w:sz w:val="28"/>
          <w:szCs w:val="28"/>
          <w:highlight w:val="none"/>
          <w:u w:val="single"/>
        </w:rPr>
      </w:pPr>
      <w:r>
        <w:rPr>
          <w:rFonts w:hint="eastAsia" w:ascii="宋体" w:hAnsi="宋体" w:cs="宋体"/>
          <w:color w:val="auto"/>
          <w:sz w:val="28"/>
          <w:szCs w:val="28"/>
          <w:highlight w:val="none"/>
        </w:rPr>
        <w:t>投标人：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r>
        <w:rPr>
          <w:rFonts w:hint="eastAsia" w:ascii="宋体"/>
          <w:color w:val="auto"/>
          <w:sz w:val="28"/>
          <w:szCs w:val="28"/>
          <w:highlight w:val="none"/>
        </w:rPr>
        <w:t>签章</w:t>
      </w:r>
      <w:r>
        <w:rPr>
          <w:rFonts w:hint="eastAsia" w:ascii="宋体" w:hAnsi="宋体" w:cs="宋体"/>
          <w:color w:val="auto"/>
          <w:sz w:val="28"/>
          <w:szCs w:val="28"/>
          <w:highlight w:val="none"/>
        </w:rPr>
        <w:t>）</w:t>
      </w:r>
    </w:p>
    <w:p w14:paraId="72D6D22E">
      <w:pPr>
        <w:shd w:val="clear"/>
        <w:kinsoku/>
        <w:overflowPunct/>
        <w:topLinePunct w:val="0"/>
        <w:bidi w:val="0"/>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法定代表人或委托代理人：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r>
        <w:rPr>
          <w:rFonts w:hint="eastAsia" w:ascii="宋体"/>
          <w:color w:val="auto"/>
          <w:sz w:val="28"/>
          <w:szCs w:val="28"/>
          <w:highlight w:val="none"/>
        </w:rPr>
        <w:t>签章</w:t>
      </w:r>
      <w:r>
        <w:rPr>
          <w:rFonts w:hint="eastAsia" w:ascii="宋体" w:hAnsi="宋体" w:cs="宋体"/>
          <w:color w:val="auto"/>
          <w:sz w:val="28"/>
          <w:szCs w:val="28"/>
          <w:highlight w:val="none"/>
        </w:rPr>
        <w:t>）</w:t>
      </w:r>
    </w:p>
    <w:p w14:paraId="0C3A3191">
      <w:pPr>
        <w:shd w:val="clear"/>
        <w:kinsoku/>
        <w:overflowPunct/>
        <w:topLinePunct w:val="0"/>
        <w:bidi w:val="0"/>
        <w:jc w:val="center"/>
        <w:rPr>
          <w:rFonts w:ascii="宋体" w:hAnsi="宋体" w:cs="宋体"/>
          <w:color w:val="auto"/>
          <w:sz w:val="28"/>
          <w:szCs w:val="28"/>
          <w:highlight w:val="none"/>
        </w:rPr>
      </w:pP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月</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日</w:t>
      </w:r>
    </w:p>
    <w:p w14:paraId="26AC19BA">
      <w:pPr>
        <w:shd w:val="clear"/>
        <w:kinsoku/>
        <w:overflowPunct/>
        <w:topLinePunct w:val="0"/>
        <w:bidi w:val="0"/>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0A90EFEE">
      <w:pPr>
        <w:shd w:val="clear"/>
        <w:kinsoku/>
        <w:overflowPunct/>
        <w:topLinePunct w:val="0"/>
        <w:bidi w:val="0"/>
        <w:spacing w:line="480" w:lineRule="auto"/>
        <w:ind w:right="980" w:firstLine="602" w:firstLineChars="200"/>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目 录</w:t>
      </w:r>
    </w:p>
    <w:p w14:paraId="00A90D76">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（1）法定代表人身份证明及其有效身份证复印件（或法定代表人授权委托书及其有效身份证复印件）（格式见附件）； </w:t>
      </w:r>
    </w:p>
    <w:p w14:paraId="34EE2726">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（2）投标人营业执照；</w:t>
      </w:r>
    </w:p>
    <w:p w14:paraId="329D9BA9">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（3）项目负责人有效身份证及证书（若注册证书上无法体现专业的，还需另行提供证明专业的证明材料）；</w:t>
      </w:r>
    </w:p>
    <w:p w14:paraId="7DA75381">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（4）项目组人员配备表（格式自拟）、人员有效身份证及对应证书；</w:t>
      </w:r>
    </w:p>
    <w:p w14:paraId="7317DCF3">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5）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p w14:paraId="075C738A">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（6）诚信投标承诺书（格式见附件）；</w:t>
      </w:r>
    </w:p>
    <w:p w14:paraId="52EC85FB">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（7）服务承诺书（格式见附件）；</w:t>
      </w:r>
    </w:p>
    <w:p w14:paraId="716A4BEC">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（8）开标一览表（格式见附件）；</w:t>
      </w:r>
    </w:p>
    <w:p w14:paraId="5B8C8131">
      <w:pPr>
        <w:shd w:val="clear"/>
        <w:kinsoku/>
        <w:overflowPunct/>
        <w:topLinePunct w:val="0"/>
        <w:bidi w:val="0"/>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（9）投标函（格式见附件）；</w:t>
      </w:r>
    </w:p>
    <w:p w14:paraId="4B6C14D4">
      <w:pPr>
        <w:shd w:val="clear"/>
        <w:kinsoku/>
        <w:overflowPunct/>
        <w:topLinePunct w:val="0"/>
        <w:bidi w:val="0"/>
        <w:spacing w:line="500" w:lineRule="exact"/>
        <w:ind w:firstLine="420" w:firstLineChars="200"/>
        <w:rPr>
          <w:rFonts w:ascii="宋体" w:hAnsi="宋体" w:cs="宋体"/>
          <w:color w:val="auto"/>
          <w:highlight w:val="none"/>
        </w:rPr>
      </w:pPr>
      <w:r>
        <w:rPr>
          <w:rFonts w:hint="eastAsia" w:ascii="宋体" w:hAnsi="宋体" w:cs="宋体"/>
          <w:color w:val="auto"/>
          <w:highlight w:val="none"/>
        </w:rPr>
        <w:t>（10）招标文件中评分细则所需提供的证明材料。</w:t>
      </w:r>
    </w:p>
    <w:p w14:paraId="6147DC70">
      <w:pPr>
        <w:shd w:val="clear"/>
        <w:kinsoku/>
        <w:overflowPunct/>
        <w:topLinePunct w:val="0"/>
        <w:bidi w:val="0"/>
        <w:rPr>
          <w:rFonts w:ascii="宋体" w:hAnsi="宋体" w:cs="宋体"/>
          <w:b/>
          <w:color w:val="auto"/>
          <w:highlight w:val="none"/>
        </w:rPr>
      </w:pPr>
      <w:r>
        <w:rPr>
          <w:rFonts w:hint="eastAsia" w:ascii="宋体" w:hAnsi="宋体" w:cs="宋体"/>
          <w:b/>
          <w:color w:val="auto"/>
          <w:highlight w:val="none"/>
        </w:rPr>
        <w:br w:type="page"/>
      </w:r>
    </w:p>
    <w:p w14:paraId="070B5C2A">
      <w:pPr>
        <w:shd w:val="clear"/>
        <w:kinsoku/>
        <w:overflowPunct/>
        <w:topLinePunct w:val="0"/>
        <w:bidi w:val="0"/>
        <w:jc w:val="both"/>
        <w:rPr>
          <w:rFonts w:hint="eastAsia" w:ascii="宋体" w:hAnsi="宋体" w:cs="宋体"/>
          <w:b/>
          <w:color w:val="auto"/>
          <w:sz w:val="28"/>
          <w:szCs w:val="28"/>
          <w:highlight w:val="none"/>
        </w:rPr>
      </w:pPr>
      <w:r>
        <w:rPr>
          <w:rFonts w:hint="eastAsia" w:ascii="宋体" w:hAnsi="宋体" w:cs="宋体"/>
          <w:b/>
          <w:color w:val="auto"/>
          <w:sz w:val="28"/>
          <w:szCs w:val="28"/>
          <w:highlight w:val="none"/>
        </w:rPr>
        <w:t>附件1</w:t>
      </w:r>
    </w:p>
    <w:p w14:paraId="7061AC7E">
      <w:pPr>
        <w:shd w:val="clear"/>
        <w:kinsoku/>
        <w:overflowPunct/>
        <w:topLinePunct w:val="0"/>
        <w:bidi w:val="0"/>
        <w:jc w:val="center"/>
        <w:rPr>
          <w:rFonts w:ascii="宋体" w:hAnsi="宋体" w:cs="宋体"/>
          <w:color w:val="auto"/>
          <w:sz w:val="32"/>
          <w:szCs w:val="32"/>
          <w:highlight w:val="none"/>
        </w:rPr>
      </w:pPr>
      <w:r>
        <w:rPr>
          <w:rFonts w:hint="eastAsia" w:ascii="宋体" w:hAnsi="宋体" w:cs="宋体"/>
          <w:b/>
          <w:color w:val="auto"/>
          <w:sz w:val="28"/>
          <w:szCs w:val="28"/>
          <w:highlight w:val="none"/>
        </w:rPr>
        <w:t>法定代表人身份证明或授权委托书</w:t>
      </w:r>
    </w:p>
    <w:p w14:paraId="61D787C1">
      <w:pPr>
        <w:pStyle w:val="147"/>
        <w:shd w:val="clear"/>
        <w:kinsoku/>
        <w:overflowPunct/>
        <w:topLinePunct w:val="0"/>
        <w:bidi w:val="0"/>
        <w:spacing w:before="318" w:beforeLines="100" w:after="318" w:afterLines="100" w:line="480" w:lineRule="exact"/>
        <w:ind w:firstLine="180" w:firstLineChars="75"/>
        <w:rPr>
          <w:rFonts w:ascii="宋体" w:hAnsi="宋体" w:cs="宋体"/>
          <w:b/>
          <w:color w:val="auto"/>
          <w:sz w:val="24"/>
          <w:szCs w:val="24"/>
          <w:highlight w:val="none"/>
        </w:rPr>
      </w:pPr>
      <w:bookmarkStart w:id="72" w:name="OLE_LINK13"/>
      <w:r>
        <w:rPr>
          <w:rFonts w:hint="eastAsia" w:ascii="宋体" w:hAnsi="宋体" w:cs="宋体"/>
          <w:color w:val="auto"/>
          <w:sz w:val="24"/>
          <w:szCs w:val="24"/>
          <w:highlight w:val="none"/>
        </w:rPr>
        <w:t>1、法定代表人身份证明</w:t>
      </w:r>
    </w:p>
    <w:p w14:paraId="6E8B4991">
      <w:pPr>
        <w:shd w:val="clear"/>
        <w:kinsoku/>
        <w:overflowPunct/>
        <w:topLinePunct w:val="0"/>
        <w:bidi w:val="0"/>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715A488D">
      <w:pPr>
        <w:shd w:val="clear"/>
        <w:kinsoku/>
        <w:overflowPunct/>
        <w:topLinePunct w:val="0"/>
        <w:bidi w:val="0"/>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单位性质：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6EECACF1">
      <w:pPr>
        <w:shd w:val="clear"/>
        <w:kinsoku/>
        <w:overflowPunct/>
        <w:topLinePunct w:val="0"/>
        <w:bidi w:val="0"/>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0638BDF8">
      <w:pPr>
        <w:shd w:val="clear"/>
        <w:kinsoku/>
        <w:overflowPunct/>
        <w:topLinePunct w:val="0"/>
        <w:bidi w:val="0"/>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成立时间：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0FF3CA69">
      <w:pPr>
        <w:shd w:val="clear"/>
        <w:kinsoku/>
        <w:overflowPunct/>
        <w:topLinePunct w:val="0"/>
        <w:bidi w:val="0"/>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经营期限：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2079A898">
      <w:pPr>
        <w:shd w:val="clear"/>
        <w:kinsoku/>
        <w:overflowPunct/>
        <w:topLinePunct w:val="0"/>
        <w:bidi w:val="0"/>
        <w:spacing w:line="480" w:lineRule="exact"/>
        <w:ind w:firstLine="1440" w:firstLineChars="200"/>
        <w:rPr>
          <w:rFonts w:ascii="宋体" w:hAnsi="宋体" w:cs="宋体"/>
          <w:color w:val="auto"/>
          <w:sz w:val="24"/>
          <w:szCs w:val="24"/>
          <w:highlight w:val="none"/>
        </w:rPr>
      </w:pPr>
      <w:r>
        <w:rPr>
          <w:rFonts w:hint="eastAsia" w:ascii="宋体" w:hAnsi="宋体" w:cs="宋体"/>
          <w:color w:val="auto"/>
          <w:spacing w:val="240"/>
          <w:sz w:val="24"/>
          <w:szCs w:val="24"/>
          <w:highlight w:val="none"/>
        </w:rPr>
        <w:t>姓</w:t>
      </w:r>
      <w:r>
        <w:rPr>
          <w:rFonts w:hint="eastAsia" w:ascii="宋体" w:hAnsi="宋体" w:cs="宋体"/>
          <w:color w:val="auto"/>
          <w:sz w:val="24"/>
          <w:szCs w:val="24"/>
          <w:highlight w:val="none"/>
        </w:rPr>
        <w:t>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性别：</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职务：</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_</w:t>
      </w:r>
    </w:p>
    <w:p w14:paraId="7DD9EFDC">
      <w:pPr>
        <w:shd w:val="clear"/>
        <w:kinsoku/>
        <w:overflowPunct/>
        <w:topLinePunct w:val="0"/>
        <w:bidi w:val="0"/>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（投标人名称）的法定代表人。</w:t>
      </w:r>
    </w:p>
    <w:p w14:paraId="1CFBC030">
      <w:pPr>
        <w:shd w:val="clear"/>
        <w:kinsoku/>
        <w:overflowPunct/>
        <w:topLinePunct w:val="0"/>
        <w:bidi w:val="0"/>
        <w:spacing w:line="480" w:lineRule="exact"/>
        <w:ind w:firstLine="960" w:firstLineChars="400"/>
        <w:rPr>
          <w:rFonts w:ascii="宋体" w:hAnsi="宋体" w:cs="宋体"/>
          <w:color w:val="auto"/>
          <w:sz w:val="24"/>
          <w:szCs w:val="24"/>
          <w:highlight w:val="none"/>
        </w:rPr>
      </w:pPr>
      <w:r>
        <w:rPr>
          <w:rFonts w:hint="eastAsia" w:ascii="宋体" w:hAnsi="宋体" w:cs="宋体"/>
          <w:color w:val="auto"/>
          <w:sz w:val="24"/>
          <w:szCs w:val="24"/>
          <w:highlight w:val="none"/>
        </w:rPr>
        <w:t>特此证明。</w:t>
      </w:r>
    </w:p>
    <w:p w14:paraId="7D79FFD5">
      <w:pPr>
        <w:shd w:val="clear"/>
        <w:kinsoku/>
        <w:overflowPunct/>
        <w:topLinePunct w:val="0"/>
        <w:bidi w:val="0"/>
        <w:spacing w:line="360" w:lineRule="auto"/>
        <w:ind w:firstLine="3480" w:firstLineChars="1450"/>
        <w:rPr>
          <w:rFonts w:ascii="宋体" w:hAnsi="宋体" w:cs="宋体"/>
          <w:color w:val="auto"/>
          <w:sz w:val="24"/>
          <w:szCs w:val="24"/>
          <w:highlight w:val="none"/>
        </w:rPr>
      </w:pPr>
      <w:r>
        <w:rPr>
          <w:rFonts w:hint="eastAsia" w:ascii="宋体" w:hAnsi="宋体" w:cs="宋体"/>
          <w:color w:val="auto"/>
          <w:sz w:val="24"/>
          <w:szCs w:val="24"/>
          <w:highlight w:val="none"/>
        </w:rPr>
        <w:t>投标人：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（签章）</w:t>
      </w:r>
    </w:p>
    <w:p w14:paraId="3250589F">
      <w:pPr>
        <w:shd w:val="clear"/>
        <w:kinsoku/>
        <w:overflowPunct/>
        <w:topLinePunct w:val="0"/>
        <w:bidi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bookmarkEnd w:id="72"/>
    <w:p w14:paraId="4C01D7B0">
      <w:pPr>
        <w:shd w:val="clear"/>
        <w:kinsoku/>
        <w:overflowPunct/>
        <w:topLinePunct w:val="0"/>
        <w:bidi w:val="0"/>
        <w:rPr>
          <w:rFonts w:ascii="宋体" w:hAnsi="宋体" w:cs="宋体"/>
          <w:color w:val="auto"/>
          <w:sz w:val="24"/>
          <w:szCs w:val="24"/>
          <w:highlight w:val="none"/>
        </w:rPr>
      </w:pPr>
    </w:p>
    <w:p w14:paraId="655E761B">
      <w:pPr>
        <w:shd w:val="clear"/>
        <w:kinsoku/>
        <w:overflowPunct/>
        <w:topLinePunct w:val="0"/>
        <w:bidi w:val="0"/>
        <w:spacing w:line="48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2、授权委托书</w:t>
      </w:r>
    </w:p>
    <w:p w14:paraId="2388299F">
      <w:pPr>
        <w:shd w:val="clear"/>
        <w:kinsoku/>
        <w:overflowPunct/>
        <w:topLinePunct w:val="0"/>
        <w:bidi w:val="0"/>
        <w:spacing w:line="480" w:lineRule="auto"/>
        <w:ind w:left="239" w:leftChars="114"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w:t>
      </w:r>
      <w:r>
        <w:rPr>
          <w:rFonts w:hint="eastAsia" w:ascii="宋体" w:hAnsi="宋体" w:cs="宋体"/>
          <w:color w:val="auto"/>
          <w:sz w:val="24"/>
          <w:szCs w:val="24"/>
          <w:highlight w:val="none"/>
          <w:u w:val="single"/>
        </w:rPr>
        <w:t xml:space="preserve">   （姓名）</w:t>
      </w:r>
      <w:r>
        <w:rPr>
          <w:rFonts w:hint="eastAsia" w:ascii="宋体" w:hAnsi="宋体" w:cs="宋体"/>
          <w:color w:val="auto"/>
          <w:sz w:val="24"/>
          <w:szCs w:val="24"/>
          <w:highlight w:val="none"/>
        </w:rPr>
        <w:t>系</w:t>
      </w:r>
      <w:r>
        <w:rPr>
          <w:rFonts w:hint="eastAsia" w:ascii="宋体" w:hAnsi="宋体" w:cs="宋体"/>
          <w:color w:val="auto"/>
          <w:sz w:val="24"/>
          <w:szCs w:val="24"/>
          <w:highlight w:val="none"/>
          <w:u w:val="single"/>
        </w:rPr>
        <w:t xml:space="preserve">       （投标人名称）</w:t>
      </w:r>
      <w:r>
        <w:rPr>
          <w:rFonts w:hint="eastAsia" w:ascii="宋体" w:hAnsi="宋体" w:cs="宋体"/>
          <w:color w:val="auto"/>
          <w:sz w:val="24"/>
          <w:szCs w:val="24"/>
          <w:highlight w:val="none"/>
        </w:rPr>
        <w:t>的法定代表人，现授权委托</w:t>
      </w:r>
      <w:r>
        <w:rPr>
          <w:rFonts w:hint="eastAsia" w:ascii="宋体" w:hAnsi="宋体" w:cs="宋体"/>
          <w:color w:val="auto"/>
          <w:sz w:val="24"/>
          <w:szCs w:val="24"/>
          <w:highlight w:val="none"/>
          <w:u w:val="single"/>
        </w:rPr>
        <w:t xml:space="preserve">    （单位名称）</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 xml:space="preserve">    （姓名）</w:t>
      </w:r>
      <w:r>
        <w:rPr>
          <w:rFonts w:hint="eastAsia" w:ascii="宋体" w:hAnsi="宋体" w:cs="宋体"/>
          <w:color w:val="auto"/>
          <w:sz w:val="24"/>
          <w:szCs w:val="24"/>
          <w:highlight w:val="none"/>
        </w:rPr>
        <w:t>为我公司法定代表人授权委托代理人，参加</w:t>
      </w:r>
      <w:r>
        <w:rPr>
          <w:rFonts w:hint="eastAsia" w:ascii="宋体" w:hAnsi="宋体" w:cs="宋体"/>
          <w:color w:val="auto"/>
          <w:sz w:val="24"/>
          <w:szCs w:val="24"/>
          <w:highlight w:val="none"/>
          <w:u w:val="single"/>
        </w:rPr>
        <w:t xml:space="preserve">    招标人</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工程的投标活动。代理人在投标、开标、评标、合同谈判过程中所签署的一切文件和处理与之有关的一切事务，我均予以承认。</w:t>
      </w:r>
    </w:p>
    <w:p w14:paraId="623AEC72">
      <w:pPr>
        <w:shd w:val="clear"/>
        <w:kinsoku/>
        <w:overflowPunct/>
        <w:topLinePunct w:val="0"/>
        <w:bidi w:val="0"/>
        <w:spacing w:line="480" w:lineRule="auto"/>
        <w:ind w:firstLine="480" w:firstLineChars="200"/>
        <w:rPr>
          <w:rFonts w:ascii="宋体" w:hAnsi="宋体" w:cs="宋体"/>
          <w:color w:val="auto"/>
          <w:sz w:val="24"/>
          <w:szCs w:val="24"/>
          <w:highlight w:val="none"/>
        </w:rPr>
      </w:pPr>
      <w:r>
        <w:rPr>
          <w:rFonts w:hint="eastAsia" w:ascii="宋体"/>
          <w:color w:val="auto"/>
          <w:sz w:val="24"/>
          <w:highlight w:val="none"/>
        </w:rPr>
        <w:t>委托期限：</w:t>
      </w:r>
      <w:r>
        <w:rPr>
          <w:rFonts w:hint="eastAsia" w:ascii="宋体"/>
          <w:color w:val="auto"/>
          <w:sz w:val="24"/>
          <w:highlight w:val="none"/>
          <w:u w:val="single"/>
        </w:rPr>
        <w:t xml:space="preserve">                         </w:t>
      </w:r>
      <w:r>
        <w:rPr>
          <w:rFonts w:hint="eastAsia" w:ascii="宋体"/>
          <w:color w:val="auto"/>
          <w:sz w:val="24"/>
          <w:highlight w:val="none"/>
        </w:rPr>
        <w:t>。</w:t>
      </w:r>
    </w:p>
    <w:p w14:paraId="60906DD1">
      <w:pPr>
        <w:shd w:val="clear"/>
        <w:kinsoku/>
        <w:overflowPunct/>
        <w:topLinePunct w:val="0"/>
        <w:bidi w:val="0"/>
        <w:spacing w:line="48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代理人无转委托权，特此委托。</w:t>
      </w:r>
    </w:p>
    <w:p w14:paraId="62219DF6">
      <w:pPr>
        <w:shd w:val="clear"/>
        <w:kinsoku/>
        <w:overflowPunct/>
        <w:topLinePunct w:val="0"/>
        <w:bidi w:val="0"/>
        <w:spacing w:line="480" w:lineRule="exact"/>
        <w:ind w:firstLine="480" w:firstLineChars="200"/>
        <w:rPr>
          <w:rFonts w:ascii="宋体"/>
          <w:color w:val="auto"/>
          <w:sz w:val="24"/>
          <w:highlight w:val="none"/>
        </w:rPr>
      </w:pPr>
      <w:r>
        <w:rPr>
          <w:rFonts w:hint="eastAsia" w:ascii="宋体" w:hAnsi="宋体" w:cs="宋体"/>
          <w:color w:val="auto"/>
          <w:sz w:val="24"/>
          <w:szCs w:val="24"/>
          <w:highlight w:val="none"/>
        </w:rPr>
        <w:t>附：</w:t>
      </w:r>
      <w:r>
        <w:rPr>
          <w:rFonts w:hint="eastAsia" w:ascii="宋体"/>
          <w:color w:val="auto"/>
          <w:sz w:val="24"/>
          <w:highlight w:val="none"/>
        </w:rPr>
        <w:t>授权委托人有效身份证及法定代表人有效身份证</w:t>
      </w:r>
    </w:p>
    <w:p w14:paraId="2F8C4F79">
      <w:pPr>
        <w:shd w:val="clear"/>
        <w:kinsoku/>
        <w:overflowPunct/>
        <w:topLinePunct w:val="0"/>
        <w:bidi w:val="0"/>
        <w:spacing w:line="480" w:lineRule="exact"/>
        <w:ind w:firstLine="480" w:firstLineChars="200"/>
        <w:jc w:val="right"/>
        <w:rPr>
          <w:rFonts w:ascii="宋体"/>
          <w:color w:val="auto"/>
          <w:sz w:val="24"/>
          <w:highlight w:val="none"/>
        </w:rPr>
      </w:pPr>
      <w:r>
        <w:rPr>
          <w:rFonts w:hint="eastAsia" w:ascii="宋体"/>
          <w:color w:val="auto"/>
          <w:sz w:val="24"/>
          <w:highlight w:val="none"/>
        </w:rPr>
        <w:t xml:space="preserve">                                     投标人：             （签章）</w:t>
      </w:r>
    </w:p>
    <w:p w14:paraId="58574AC7">
      <w:pPr>
        <w:shd w:val="clear"/>
        <w:kinsoku/>
        <w:overflowPunct/>
        <w:topLinePunct w:val="0"/>
        <w:bidi w:val="0"/>
        <w:spacing w:line="480" w:lineRule="exact"/>
        <w:ind w:firstLine="480" w:firstLineChars="200"/>
        <w:jc w:val="right"/>
        <w:rPr>
          <w:rFonts w:ascii="宋体"/>
          <w:color w:val="auto"/>
          <w:sz w:val="24"/>
          <w:highlight w:val="none"/>
        </w:rPr>
      </w:pPr>
      <w:r>
        <w:rPr>
          <w:rFonts w:hint="eastAsia" w:ascii="宋体"/>
          <w:color w:val="auto"/>
          <w:sz w:val="24"/>
          <w:highlight w:val="none"/>
        </w:rPr>
        <w:t>法定代表人（身份证号码）：             （签字或盖章）</w:t>
      </w:r>
    </w:p>
    <w:p w14:paraId="5330CAB5">
      <w:pPr>
        <w:shd w:val="clear"/>
        <w:kinsoku/>
        <w:overflowPunct/>
        <w:topLinePunct w:val="0"/>
        <w:bidi w:val="0"/>
        <w:spacing w:line="480" w:lineRule="exact"/>
        <w:ind w:firstLine="480" w:firstLineChars="200"/>
        <w:jc w:val="right"/>
        <w:rPr>
          <w:rFonts w:ascii="宋体"/>
          <w:color w:val="auto"/>
          <w:sz w:val="24"/>
          <w:highlight w:val="none"/>
        </w:rPr>
      </w:pPr>
      <w:r>
        <w:rPr>
          <w:rFonts w:hint="eastAsia" w:ascii="宋体"/>
          <w:color w:val="auto"/>
          <w:sz w:val="24"/>
          <w:highlight w:val="none"/>
        </w:rPr>
        <w:t xml:space="preserve">              年    月    日</w:t>
      </w:r>
    </w:p>
    <w:p w14:paraId="44CA15B6">
      <w:pPr>
        <w:shd w:val="clear"/>
        <w:kinsoku/>
        <w:overflowPunct/>
        <w:topLinePunct w:val="0"/>
        <w:bidi w:val="0"/>
        <w:rPr>
          <w:rFonts w:ascii="宋体" w:hAnsi="宋体" w:cs="宋体"/>
          <w:b/>
          <w:color w:val="auto"/>
          <w:sz w:val="28"/>
          <w:szCs w:val="28"/>
          <w:highlight w:val="none"/>
        </w:rPr>
      </w:pPr>
      <w:r>
        <w:rPr>
          <w:rFonts w:hint="eastAsia" w:ascii="宋体" w:hAnsi="宋体" w:cs="宋体"/>
          <w:b/>
          <w:bCs/>
          <w:color w:val="auto"/>
          <w:kern w:val="0"/>
          <w:sz w:val="30"/>
          <w:szCs w:val="30"/>
          <w:highlight w:val="none"/>
        </w:rPr>
        <w:br w:type="page"/>
      </w:r>
    </w:p>
    <w:p w14:paraId="61619EC0">
      <w:pPr>
        <w:pStyle w:val="44"/>
        <w:shd w:val="clear"/>
        <w:kinsoku/>
        <w:overflowPunct/>
        <w:topLinePunct w:val="0"/>
        <w:bidi w:val="0"/>
        <w:snapToGrid w:val="0"/>
        <w:spacing w:before="0" w:beforeAutospacing="0" w:after="0" w:afterAutospacing="0" w:line="500" w:lineRule="exact"/>
        <w:jc w:val="both"/>
        <w:rPr>
          <w:rFonts w:hint="eastAsia"/>
          <w:b/>
          <w:color w:val="auto"/>
          <w:kern w:val="2"/>
          <w:sz w:val="28"/>
          <w:szCs w:val="28"/>
          <w:highlight w:val="none"/>
        </w:rPr>
      </w:pPr>
      <w:r>
        <w:rPr>
          <w:rFonts w:hint="eastAsia"/>
          <w:b/>
          <w:color w:val="auto"/>
          <w:kern w:val="2"/>
          <w:sz w:val="28"/>
          <w:szCs w:val="28"/>
          <w:highlight w:val="none"/>
        </w:rPr>
        <w:t>附件2</w:t>
      </w:r>
    </w:p>
    <w:p w14:paraId="69B78C0E">
      <w:pPr>
        <w:pStyle w:val="44"/>
        <w:shd w:val="clear"/>
        <w:kinsoku/>
        <w:overflowPunct/>
        <w:topLinePunct w:val="0"/>
        <w:bidi w:val="0"/>
        <w:snapToGrid w:val="0"/>
        <w:spacing w:before="0" w:beforeAutospacing="0" w:after="0" w:afterAutospacing="0" w:line="500" w:lineRule="exact"/>
        <w:jc w:val="center"/>
        <w:rPr>
          <w:b/>
          <w:color w:val="auto"/>
          <w:kern w:val="2"/>
          <w:sz w:val="28"/>
          <w:szCs w:val="28"/>
          <w:highlight w:val="none"/>
        </w:rPr>
      </w:pPr>
      <w:r>
        <w:rPr>
          <w:rFonts w:hint="eastAsia"/>
          <w:b/>
          <w:color w:val="auto"/>
          <w:kern w:val="2"/>
          <w:sz w:val="28"/>
          <w:szCs w:val="28"/>
          <w:highlight w:val="none"/>
        </w:rPr>
        <w:t>诚信投标承诺书</w:t>
      </w:r>
    </w:p>
    <w:p w14:paraId="369C7889">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right="0" w:rightChars="0"/>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本人以企业法定代表人的身份郑重承诺：</w:t>
      </w:r>
    </w:p>
    <w:p w14:paraId="5E809E7B">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一、将遵循公开、公正和诚实信用的原则自愿参加</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项目的投标；</w:t>
      </w:r>
    </w:p>
    <w:p w14:paraId="24F69CE7">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二、所提供的一切材料都是真实、有效、合法的；</w:t>
      </w:r>
    </w:p>
    <w:p w14:paraId="73ADE863">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三、不出借、转让资质证书，不让他人挂靠投标，不以他人名义投标或者以其他方式弄虚作假，骗取中标；</w:t>
      </w:r>
    </w:p>
    <w:p w14:paraId="7C105EFB">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四、不与其他投标人相互串通投标报价，不排挤其他投标人的公平竞争、损害招标人的合法权益；</w:t>
      </w:r>
    </w:p>
    <w:p w14:paraId="711737AC">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五、不与招标人、招标代理机构或其他投标人串通投标，损害国家利益、社会公共利益或者他人的合法权益；</w:t>
      </w:r>
    </w:p>
    <w:p w14:paraId="58185C2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六、我公司（包括联合体各成员）没有下列情形：①被列入“信用中国”网站“失信被执行人”的；②被列入“信用中国”网站“重大税收违法失信主体”的；③被列入“信用中国”网站“拖欠农民工工资失信联合惩戒对象名单”的；④被列入“信用中国”网站“安全生产严重失信主体名单”的；⑤被列入国家企业信用信息公示系统网站“严重违法失信名单”的；（若招标文件对投标人（包括联合体各成员）所属分公司、办事处等分支机构有上述1-5项信誉要求，在此一并承诺我公司（包括联合体各成员）所属分公司、办事处等分支机构没有上述1-5项情形）</w:t>
      </w:r>
    </w:p>
    <w:p w14:paraId="76C78617">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七、严格遵守开标现场纪律，服从监管人员管理；</w:t>
      </w:r>
    </w:p>
    <w:p w14:paraId="78226927">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八、保证中标后不转包，若有分包征得招标人同意；</w:t>
      </w:r>
    </w:p>
    <w:p w14:paraId="146EB110">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九、保证中标之后，按照投标文件要求提供相关后续服务；</w:t>
      </w:r>
    </w:p>
    <w:p w14:paraId="4EDF2F8B">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十、保证企业及所属相关人员在本次投标中无行贿等犯罪行为；</w:t>
      </w:r>
    </w:p>
    <w:p w14:paraId="22ED4B09">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45BA7A28">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以上内容我已仔细阅读，本公司若有违反承诺内容的行为，自愿接受取消投标或者中标资格、记入不良行为记录等有关处理，愿意承担法律责任，给招标人造成损失的，依法承担赔偿责任。</w:t>
      </w:r>
    </w:p>
    <w:p w14:paraId="4E373BCE">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 xml:space="preserve"> </w:t>
      </w:r>
    </w:p>
    <w:p w14:paraId="6044E9EF">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开户银行：</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基本账户：</w:t>
      </w:r>
    </w:p>
    <w:p w14:paraId="3B30D838">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投标单位（盖单位章）：</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法定代表人（签字或盖章）：</w:t>
      </w:r>
    </w:p>
    <w:p w14:paraId="19EF1C0D">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both"/>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 xml:space="preserve"> </w:t>
      </w:r>
    </w:p>
    <w:p w14:paraId="3460509F">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leftChars="0" w:right="0" w:rightChars="0" w:firstLine="415" w:firstLineChars="198"/>
        <w:jc w:val="right"/>
        <w:textAlignment w:val="auto"/>
        <w:rPr>
          <w:rFonts w:hint="eastAsia" w:ascii="仿宋_GB2312" w:hAnsi="Times New Roman" w:eastAsia="仿宋_GB2312" w:cs="Times New Roman"/>
          <w:kern w:val="2"/>
          <w:sz w:val="32"/>
          <w:szCs w:val="32"/>
        </w:rPr>
      </w:pPr>
      <w:r>
        <w:rPr>
          <w:rFonts w:hint="eastAsia" w:ascii="宋体" w:hAnsi="宋体" w:eastAsia="宋体" w:cs="宋体"/>
          <w:kern w:val="2"/>
          <w:sz w:val="21"/>
          <w:szCs w:val="21"/>
          <w:lang w:val="en-US" w:eastAsia="zh-CN" w:bidi="ar"/>
        </w:rPr>
        <w:t>日期：</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年</w:t>
      </w:r>
      <w:r>
        <w:rPr>
          <w:rFonts w:hint="eastAsia" w:ascii="宋体" w:hAnsi="宋体" w:eastAsia="宋体" w:cs="Times New Roman"/>
          <w:kern w:val="2"/>
          <w:sz w:val="21"/>
          <w:szCs w:val="21"/>
          <w:lang w:val="en-US" w:eastAsia="zh-CN" w:bidi="ar"/>
        </w:rPr>
        <w:t xml:space="preserve"> </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宋体" w:hAnsi="宋体" w:eastAsia="宋体" w:cs="Times New Roman"/>
          <w:kern w:val="2"/>
          <w:sz w:val="21"/>
          <w:szCs w:val="21"/>
          <w:lang w:val="en-US" w:eastAsia="zh-CN" w:bidi="ar"/>
        </w:rPr>
        <w:t xml:space="preserve"> </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w:t>
      </w:r>
    </w:p>
    <w:p w14:paraId="30A4AA27">
      <w:pPr>
        <w:keepNext w:val="0"/>
        <w:keepLines w:val="0"/>
        <w:widowControl w:val="0"/>
        <w:suppressLineNumbers w:val="0"/>
        <w:spacing w:before="0" w:beforeAutospacing="0" w:after="0" w:afterAutospacing="0" w:line="360" w:lineRule="auto"/>
        <w:ind w:left="0" w:right="0"/>
        <w:jc w:val="center"/>
        <w:rPr>
          <w:rFonts w:hint="eastAsia" w:ascii="Times New Roman" w:hAnsi="Times New Roman" w:eastAsia="宋体" w:cs="Times New Roman"/>
          <w:b/>
          <w:bCs w:val="0"/>
          <w:kern w:val="2"/>
          <w:sz w:val="28"/>
          <w:szCs w:val="28"/>
        </w:rPr>
      </w:pPr>
      <w:r>
        <w:rPr>
          <w:rFonts w:hint="eastAsia" w:ascii="Times New Roman" w:hAnsi="Times New Roman" w:eastAsia="宋体" w:cs="Times New Roman"/>
          <w:b/>
          <w:bCs w:val="0"/>
          <w:kern w:val="2"/>
          <w:sz w:val="28"/>
          <w:szCs w:val="28"/>
          <w:lang w:val="en-US" w:eastAsia="zh-CN" w:bidi="ar"/>
        </w:rPr>
        <w:t xml:space="preserve"> </w:t>
      </w:r>
    </w:p>
    <w:p w14:paraId="5CE000F9">
      <w:pPr>
        <w:keepNext w:val="0"/>
        <w:keepLines w:val="0"/>
        <w:widowControl w:val="0"/>
        <w:suppressLineNumbers w:val="0"/>
        <w:spacing w:before="0" w:beforeAutospacing="0" w:after="0" w:afterAutospacing="0" w:line="360" w:lineRule="exact"/>
        <w:ind w:left="0" w:right="0" w:firstLine="443" w:firstLineChars="147"/>
        <w:jc w:val="both"/>
        <w:rPr>
          <w:rFonts w:hint="eastAsia" w:ascii="宋体" w:hAnsi="Times New Roman" w:eastAsia="宋体" w:cs="Times New Roman"/>
          <w:b/>
          <w:bCs w:val="0"/>
          <w:kern w:val="2"/>
          <w:sz w:val="30"/>
          <w:szCs w:val="30"/>
        </w:rPr>
      </w:pPr>
      <w:r>
        <w:rPr>
          <w:rFonts w:hint="eastAsia" w:ascii="宋体" w:hAnsi="Times New Roman" w:eastAsia="宋体" w:cs="Times New Roman"/>
          <w:b/>
          <w:bCs w:val="0"/>
          <w:kern w:val="2"/>
          <w:sz w:val="30"/>
          <w:szCs w:val="30"/>
          <w:lang w:val="en-US" w:eastAsia="zh-CN" w:bidi="ar"/>
        </w:rPr>
        <w:t xml:space="preserve"> </w:t>
      </w:r>
    </w:p>
    <w:p w14:paraId="765C0A3B">
      <w:pPr>
        <w:keepNext w:val="0"/>
        <w:keepLines w:val="0"/>
        <w:widowControl w:val="0"/>
        <w:suppressLineNumbers w:val="0"/>
        <w:spacing w:before="0" w:beforeAutospacing="0" w:after="0" w:afterAutospacing="0" w:line="360" w:lineRule="exact"/>
        <w:ind w:left="0" w:right="0" w:firstLine="443" w:firstLineChars="147"/>
        <w:jc w:val="both"/>
        <w:rPr>
          <w:rFonts w:hint="eastAsia" w:ascii="宋体" w:hAnsi="Times New Roman" w:eastAsia="宋体" w:cs="Times New Roman"/>
          <w:b/>
          <w:bCs w:val="0"/>
          <w:kern w:val="2"/>
          <w:sz w:val="30"/>
          <w:szCs w:val="30"/>
        </w:rPr>
      </w:pPr>
      <w:r>
        <w:rPr>
          <w:rFonts w:hint="eastAsia" w:ascii="宋体" w:hAnsi="Times New Roman" w:eastAsia="宋体" w:cs="Times New Roman"/>
          <w:b/>
          <w:bCs w:val="0"/>
          <w:kern w:val="2"/>
          <w:sz w:val="30"/>
          <w:szCs w:val="30"/>
          <w:lang w:val="en-US" w:eastAsia="zh-CN" w:bidi="ar"/>
        </w:rPr>
        <w:t xml:space="preserve"> </w:t>
      </w:r>
    </w:p>
    <w:p w14:paraId="3DF7F6C1">
      <w:pPr>
        <w:rPr>
          <w:rFonts w:hint="eastAsia" w:ascii="宋体" w:hAnsi="Times New Roman" w:eastAsia="宋体" w:cs="Times New Roman"/>
          <w:b/>
          <w:bCs w:val="0"/>
          <w:kern w:val="2"/>
          <w:sz w:val="30"/>
          <w:szCs w:val="30"/>
          <w:lang w:val="en-US" w:eastAsia="zh-CN" w:bidi="ar"/>
        </w:rPr>
      </w:pPr>
      <w:r>
        <w:rPr>
          <w:rFonts w:hint="eastAsia" w:ascii="宋体" w:hAnsi="Times New Roman" w:eastAsia="宋体" w:cs="Times New Roman"/>
          <w:b/>
          <w:bCs w:val="0"/>
          <w:kern w:val="2"/>
          <w:sz w:val="30"/>
          <w:szCs w:val="30"/>
          <w:lang w:val="en-US" w:eastAsia="zh-CN" w:bidi="ar"/>
        </w:rPr>
        <w:br w:type="page"/>
      </w:r>
    </w:p>
    <w:p w14:paraId="0F0DECD1">
      <w:pPr>
        <w:keepNext w:val="0"/>
        <w:keepLines w:val="0"/>
        <w:widowControl w:val="0"/>
        <w:suppressLineNumbers w:val="0"/>
        <w:spacing w:before="0" w:beforeAutospacing="0" w:after="0" w:afterAutospacing="0" w:line="360" w:lineRule="exact"/>
        <w:ind w:right="0"/>
        <w:jc w:val="both"/>
        <w:rPr>
          <w:rFonts w:hint="eastAsia" w:ascii="宋体" w:hAnsi="Times New Roman" w:eastAsia="宋体" w:cs="Times New Roman"/>
          <w:b/>
          <w:bCs w:val="0"/>
          <w:kern w:val="2"/>
          <w:sz w:val="30"/>
          <w:szCs w:val="30"/>
        </w:rPr>
      </w:pPr>
      <w:r>
        <w:rPr>
          <w:rFonts w:hint="eastAsia" w:ascii="宋体" w:hAnsi="Times New Roman" w:eastAsia="宋体" w:cs="Times New Roman"/>
          <w:b/>
          <w:bCs w:val="0"/>
          <w:kern w:val="2"/>
          <w:sz w:val="30"/>
          <w:szCs w:val="30"/>
          <w:lang w:val="en-US" w:eastAsia="zh-CN" w:bidi="ar"/>
        </w:rPr>
        <w:t xml:space="preserve">附件3 </w:t>
      </w:r>
    </w:p>
    <w:p w14:paraId="1AB403B1">
      <w:pPr>
        <w:keepNext w:val="0"/>
        <w:keepLines w:val="0"/>
        <w:widowControl w:val="0"/>
        <w:suppressLineNumbers w:val="0"/>
        <w:spacing w:before="0" w:beforeAutospacing="0" w:after="0" w:afterAutospacing="0"/>
        <w:ind w:left="0" w:right="0"/>
        <w:jc w:val="center"/>
        <w:rPr>
          <w:rFonts w:hint="eastAsia" w:ascii="宋体" w:hAnsi="Times New Roman" w:eastAsia="宋体" w:cs="Times New Roman"/>
          <w:b/>
          <w:bCs w:val="0"/>
          <w:kern w:val="2"/>
          <w:sz w:val="30"/>
          <w:szCs w:val="30"/>
        </w:rPr>
      </w:pPr>
      <w:r>
        <w:rPr>
          <w:rFonts w:hint="eastAsia" w:ascii="宋体" w:hAnsi="宋体" w:eastAsia="宋体" w:cs="宋体"/>
          <w:b/>
          <w:bCs w:val="0"/>
          <w:kern w:val="2"/>
          <w:sz w:val="30"/>
          <w:szCs w:val="30"/>
          <w:lang w:val="en-US" w:eastAsia="zh-CN" w:bidi="ar"/>
        </w:rPr>
        <w:t>服务承诺书</w:t>
      </w:r>
    </w:p>
    <w:p w14:paraId="559B8A07">
      <w:pPr>
        <w:keepNext w:val="0"/>
        <w:keepLines w:val="0"/>
        <w:widowControl w:val="0"/>
        <w:suppressLineNumbers w:val="0"/>
        <w:spacing w:before="0" w:beforeAutospacing="0" w:after="0" w:afterAutospacing="0"/>
        <w:ind w:left="0" w:right="0" w:firstLine="480" w:firstLineChars="200"/>
        <w:jc w:val="both"/>
        <w:rPr>
          <w:rFonts w:hint="eastAsia" w:ascii="宋体" w:hAnsi="Times New Roman" w:eastAsia="宋体" w:cs="Times New Roman"/>
          <w:kern w:val="2"/>
          <w:sz w:val="24"/>
          <w:szCs w:val="24"/>
        </w:rPr>
      </w:pPr>
      <w:r>
        <w:rPr>
          <w:rFonts w:hint="eastAsia" w:ascii="宋体" w:hAnsi="Times New Roman" w:eastAsia="宋体" w:cs="Times New Roman"/>
          <w:kern w:val="2"/>
          <w:sz w:val="24"/>
          <w:szCs w:val="24"/>
          <w:lang w:val="en-US" w:eastAsia="zh-CN" w:bidi="ar"/>
        </w:rPr>
        <w:t xml:space="preserve"> </w:t>
      </w:r>
    </w:p>
    <w:p w14:paraId="600BFEB9">
      <w:pPr>
        <w:keepNext w:val="0"/>
        <w:keepLines w:val="0"/>
        <w:widowControl w:val="0"/>
        <w:suppressLineNumbers w:val="0"/>
        <w:spacing w:before="0" w:beforeAutospacing="0" w:after="0" w:afterAutospacing="0"/>
        <w:ind w:left="0" w:right="0"/>
        <w:jc w:val="both"/>
        <w:rPr>
          <w:rFonts w:hint="eastAsia" w:ascii="宋体" w:hAnsi="Times New Roman" w:eastAsia="宋体" w:cs="Times New Roman"/>
          <w:b/>
          <w:bCs w:val="0"/>
          <w:kern w:val="2"/>
          <w:sz w:val="24"/>
          <w:szCs w:val="24"/>
        </w:rPr>
      </w:pPr>
      <w:r>
        <w:rPr>
          <w:rFonts w:hint="eastAsia" w:ascii="宋体" w:hAnsi="宋体" w:eastAsia="宋体" w:cs="宋体"/>
          <w:kern w:val="2"/>
          <w:sz w:val="24"/>
          <w:szCs w:val="24"/>
          <w:lang w:val="en-US" w:eastAsia="zh-CN" w:bidi="ar"/>
        </w:rPr>
        <w:t>致：</w:t>
      </w:r>
      <w:r>
        <w:rPr>
          <w:rFonts w:hint="eastAsia" w:ascii="宋体" w:hAnsi="Times New Roman" w:eastAsia="宋体" w:cs="Times New Roman"/>
          <w:kern w:val="2"/>
          <w:sz w:val="24"/>
          <w:szCs w:val="24"/>
          <w:u w:val="single"/>
          <w:lang w:val="en-US" w:eastAsia="zh-CN" w:bidi="ar"/>
        </w:rPr>
        <w:t xml:space="preserve">               </w:t>
      </w:r>
      <w:r>
        <w:rPr>
          <w:rFonts w:hint="eastAsia" w:ascii="宋体" w:hAnsi="宋体" w:eastAsia="宋体" w:cs="宋体"/>
          <w:kern w:val="2"/>
          <w:sz w:val="24"/>
          <w:szCs w:val="24"/>
          <w:u w:val="single"/>
          <w:lang w:val="en-US" w:eastAsia="zh-CN" w:bidi="ar"/>
        </w:rPr>
        <w:t>（招标人）</w:t>
      </w:r>
      <w:r>
        <w:rPr>
          <w:rFonts w:hint="eastAsia" w:ascii="宋体" w:hAnsi="宋体" w:eastAsia="宋体" w:cs="宋体"/>
          <w:kern w:val="2"/>
          <w:sz w:val="24"/>
          <w:szCs w:val="24"/>
          <w:lang w:val="en-US" w:eastAsia="zh-CN" w:bidi="ar"/>
        </w:rPr>
        <w:t>：</w:t>
      </w:r>
    </w:p>
    <w:p w14:paraId="2B5D6CB7">
      <w:pPr>
        <w:keepNext w:val="0"/>
        <w:keepLines w:val="0"/>
        <w:widowControl w:val="0"/>
        <w:suppressLineNumbers w:val="0"/>
        <w:spacing w:before="0" w:beforeAutospacing="0" w:after="0" w:afterAutospacing="0" w:line="800" w:lineRule="exact"/>
        <w:ind w:left="0" w:right="0" w:firstLine="480" w:firstLineChars="200"/>
        <w:jc w:val="both"/>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本承诺声明：</w:t>
      </w:r>
      <w:r>
        <w:rPr>
          <w:rFonts w:hint="eastAsia" w:ascii="宋体" w:hAnsi="Times New Roman"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（投标人名称）对本招标文件的相关要求完全响应。若有幸中标将严格按照以上承诺进行服务。</w:t>
      </w:r>
    </w:p>
    <w:p w14:paraId="6AF1503A">
      <w:pPr>
        <w:keepNext w:val="0"/>
        <w:keepLines w:val="0"/>
        <w:widowControl w:val="0"/>
        <w:suppressLineNumbers w:val="0"/>
        <w:spacing w:before="0" w:beforeAutospacing="0" w:after="0" w:afterAutospacing="0" w:line="800" w:lineRule="exact"/>
        <w:ind w:left="0" w:right="0" w:firstLine="480" w:firstLineChars="200"/>
        <w:jc w:val="both"/>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特此声明。</w:t>
      </w:r>
    </w:p>
    <w:p w14:paraId="46275307">
      <w:pPr>
        <w:keepNext w:val="0"/>
        <w:keepLines w:val="0"/>
        <w:widowControl w:val="0"/>
        <w:suppressLineNumbers w:val="0"/>
        <w:spacing w:before="0" w:beforeAutospacing="0" w:after="0" w:afterAutospacing="0" w:line="600" w:lineRule="exact"/>
        <w:ind w:left="0" w:right="0"/>
        <w:jc w:val="both"/>
        <w:rPr>
          <w:rFonts w:hint="eastAsia" w:ascii="宋体"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p w14:paraId="0FC5D0C1">
      <w:pPr>
        <w:keepNext w:val="0"/>
        <w:keepLines w:val="0"/>
        <w:widowControl w:val="0"/>
        <w:suppressLineNumbers w:val="0"/>
        <w:spacing w:before="0" w:beforeAutospacing="0" w:after="0" w:afterAutospacing="0" w:line="480" w:lineRule="auto"/>
        <w:ind w:left="0" w:right="0" w:firstLine="3600" w:firstLineChars="15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投标人名称：</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（盖单位章）</w:t>
      </w:r>
    </w:p>
    <w:p w14:paraId="4677F1EE">
      <w:pPr>
        <w:keepNext w:val="0"/>
        <w:keepLines w:val="0"/>
        <w:widowControl w:val="0"/>
        <w:suppressLineNumbers w:val="0"/>
        <w:spacing w:before="0" w:beforeAutospacing="0" w:after="0" w:afterAutospacing="0" w:line="480" w:lineRule="auto"/>
        <w:ind w:left="0" w:right="0" w:firstLine="480" w:firstLineChars="200"/>
        <w:jc w:val="right"/>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法定代表人：</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(签字或盖章)</w:t>
      </w:r>
    </w:p>
    <w:p w14:paraId="578C39C2">
      <w:pPr>
        <w:keepNext w:val="0"/>
        <w:keepLines w:val="0"/>
        <w:widowControl w:val="0"/>
        <w:suppressLineNumbers w:val="0"/>
        <w:spacing w:before="0" w:beforeAutospacing="0" w:after="0" w:afterAutospacing="0" w:line="480" w:lineRule="auto"/>
        <w:ind w:left="0" w:right="0"/>
        <w:jc w:val="right"/>
        <w:rPr>
          <w:rFonts w:hint="eastAsia" w:ascii="Times New Roman" w:hAnsi="Times New Roman" w:eastAsia="宋体" w:cs="Times New Roman"/>
          <w:b/>
          <w:bCs w:val="0"/>
          <w:kern w:val="2"/>
          <w:sz w:val="36"/>
          <w:szCs w:val="36"/>
        </w:rPr>
      </w:pP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日</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期：</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44B08388">
      <w:pPr>
        <w:pStyle w:val="44"/>
        <w:keepNext w:val="0"/>
        <w:keepLines w:val="0"/>
        <w:widowControl w:val="0"/>
        <w:suppressLineNumbers w:val="0"/>
        <w:spacing w:before="0" w:beforeAutospacing="1" w:after="12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40B24DF3">
      <w:pPr>
        <w:rPr>
          <w:rFonts w:hint="eastAsia" w:ascii="宋体" w:hAnsi="Times New Roman" w:eastAsia="宋体" w:cs="Times New Roman"/>
          <w:b/>
          <w:bCs w:val="0"/>
          <w:kern w:val="2"/>
          <w:sz w:val="30"/>
          <w:szCs w:val="30"/>
          <w:lang w:val="en-US" w:eastAsia="zh-CN" w:bidi="ar"/>
        </w:rPr>
      </w:pPr>
      <w:r>
        <w:rPr>
          <w:rFonts w:hint="eastAsia" w:ascii="宋体" w:hAnsi="Times New Roman" w:eastAsia="宋体" w:cs="Times New Roman"/>
          <w:b/>
          <w:bCs w:val="0"/>
          <w:kern w:val="2"/>
          <w:sz w:val="30"/>
          <w:szCs w:val="30"/>
          <w:lang w:val="en-US" w:eastAsia="zh-CN" w:bidi="ar"/>
        </w:rPr>
        <w:br w:type="page"/>
      </w:r>
    </w:p>
    <w:p w14:paraId="4EFD6B38">
      <w:pPr>
        <w:keepNext w:val="0"/>
        <w:keepLines w:val="0"/>
        <w:widowControl w:val="0"/>
        <w:suppressLineNumbers w:val="0"/>
        <w:spacing w:before="0" w:beforeAutospacing="0" w:after="0" w:afterAutospacing="0" w:line="360" w:lineRule="exact"/>
        <w:ind w:right="0"/>
        <w:jc w:val="both"/>
        <w:rPr>
          <w:rFonts w:hint="eastAsia" w:ascii="宋体" w:hAnsi="Times New Roman" w:eastAsia="宋体" w:cs="Times New Roman"/>
          <w:b/>
          <w:bCs w:val="0"/>
          <w:kern w:val="2"/>
          <w:sz w:val="30"/>
          <w:szCs w:val="30"/>
          <w:lang w:val="en-US" w:eastAsia="zh-CN" w:bidi="ar"/>
        </w:rPr>
      </w:pPr>
      <w:r>
        <w:rPr>
          <w:rFonts w:hint="eastAsia" w:ascii="宋体" w:hAnsi="Times New Roman" w:eastAsia="宋体" w:cs="Times New Roman"/>
          <w:b/>
          <w:bCs w:val="0"/>
          <w:kern w:val="2"/>
          <w:sz w:val="30"/>
          <w:szCs w:val="30"/>
          <w:lang w:val="en-US" w:eastAsia="zh-CN" w:bidi="ar"/>
        </w:rPr>
        <w:t>附件4</w:t>
      </w:r>
    </w:p>
    <w:p w14:paraId="4024AA57">
      <w:pPr>
        <w:keepNext w:val="0"/>
        <w:keepLines w:val="0"/>
        <w:widowControl w:val="0"/>
        <w:suppressLineNumbers w:val="0"/>
        <w:spacing w:before="0" w:beforeAutospacing="0" w:after="0" w:afterAutospacing="0" w:line="360" w:lineRule="exact"/>
        <w:ind w:left="0" w:right="0" w:firstLine="531" w:firstLineChars="147"/>
        <w:jc w:val="center"/>
        <w:rPr>
          <w:rFonts w:hint="eastAsia" w:ascii="宋体" w:hAnsi="Times New Roman" w:eastAsia="宋体" w:cs="Times New Roman"/>
          <w:b/>
          <w:bCs w:val="0"/>
          <w:kern w:val="2"/>
          <w:sz w:val="36"/>
          <w:szCs w:val="36"/>
        </w:rPr>
      </w:pPr>
      <w:r>
        <w:rPr>
          <w:rFonts w:hint="eastAsia" w:ascii="宋体" w:hAnsi="宋体" w:eastAsia="宋体" w:cs="宋体"/>
          <w:b/>
          <w:bCs w:val="0"/>
          <w:kern w:val="2"/>
          <w:sz w:val="36"/>
          <w:szCs w:val="36"/>
          <w:lang w:val="en-US" w:eastAsia="zh-CN" w:bidi="ar"/>
        </w:rPr>
        <w:t>开标一览表</w:t>
      </w:r>
    </w:p>
    <w:p w14:paraId="34CD6473">
      <w:pPr>
        <w:keepNext w:val="0"/>
        <w:keepLines w:val="0"/>
        <w:widowControl w:val="0"/>
        <w:suppressLineNumbers w:val="0"/>
        <w:spacing w:before="0" w:beforeAutospacing="0" w:after="0" w:afterAutospacing="0" w:line="360" w:lineRule="exact"/>
        <w:ind w:left="0" w:right="0" w:firstLine="354" w:firstLineChars="147"/>
        <w:jc w:val="both"/>
        <w:rPr>
          <w:rFonts w:hint="eastAsia" w:ascii="宋体" w:hAnsi="Times New Roman" w:eastAsia="宋体" w:cs="Times New Roman"/>
          <w:b/>
          <w:bCs w:val="0"/>
          <w:kern w:val="2"/>
          <w:sz w:val="24"/>
          <w:szCs w:val="24"/>
        </w:rPr>
      </w:pPr>
      <w:r>
        <w:rPr>
          <w:rFonts w:hint="eastAsia" w:ascii="宋体" w:hAnsi="Times New Roman" w:eastAsia="宋体" w:cs="Times New Roman"/>
          <w:b/>
          <w:bCs w:val="0"/>
          <w:kern w:val="2"/>
          <w:sz w:val="24"/>
          <w:szCs w:val="24"/>
          <w:lang w:val="en-US" w:eastAsia="zh-CN" w:bidi="ar"/>
        </w:rPr>
        <w:t xml:space="preserve"> </w:t>
      </w:r>
    </w:p>
    <w:p w14:paraId="01C03C00">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（注：开标一览表必须编入投标文件，唱标时，以投标文件中的开标一览表进行唱标）</w:t>
      </w:r>
    </w:p>
    <w:p w14:paraId="3D48A11E">
      <w:pPr>
        <w:keepNext w:val="0"/>
        <w:keepLines w:val="0"/>
        <w:widowControl w:val="0"/>
        <w:suppressLineNumbers w:val="0"/>
        <w:snapToGrid w:val="0"/>
        <w:spacing w:before="0" w:beforeAutospacing="0" w:after="0" w:afterAutospacing="0" w:line="460" w:lineRule="exact"/>
        <w:ind w:left="2940" w:leftChars="1400" w:right="0" w:firstLine="720" w:firstLineChars="300"/>
        <w:jc w:val="both"/>
        <w:rPr>
          <w:rFonts w:hint="eastAsia" w:ascii="宋体" w:hAnsi="Times New Roman" w:eastAsia="宋体" w:cs="Times New Roman"/>
          <w:kern w:val="2"/>
          <w:sz w:val="24"/>
          <w:szCs w:val="24"/>
        </w:rPr>
      </w:pPr>
      <w:r>
        <w:rPr>
          <w:rFonts w:hint="eastAsia" w:ascii="宋体" w:hAnsi="Times New Roman" w:eastAsia="宋体" w:cs="Times New Roman"/>
          <w:kern w:val="2"/>
          <w:sz w:val="24"/>
          <w:szCs w:val="24"/>
          <w:lang w:val="en-US" w:eastAsia="zh-CN" w:bidi="ar"/>
        </w:rPr>
        <w:t xml:space="preserve"> </w:t>
      </w:r>
    </w:p>
    <w:tbl>
      <w:tblPr>
        <w:tblStyle w:val="47"/>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6952"/>
      </w:tblGrid>
      <w:tr w14:paraId="46EE5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350"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36917962">
            <w:pPr>
              <w:keepNext w:val="0"/>
              <w:keepLines w:val="0"/>
              <w:widowControl w:val="0"/>
              <w:suppressLineNumbers w:val="0"/>
              <w:spacing w:before="0" w:beforeAutospacing="0" w:after="0" w:afterAutospacing="0" w:line="460" w:lineRule="exact"/>
              <w:ind w:left="0" w:right="0"/>
              <w:jc w:val="center"/>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项目名称</w:t>
            </w:r>
          </w:p>
        </w:tc>
        <w:tc>
          <w:tcPr>
            <w:tcW w:w="6952" w:type="dxa"/>
            <w:tcBorders>
              <w:top w:val="single" w:color="auto" w:sz="12" w:space="0"/>
              <w:left w:val="nil"/>
              <w:bottom w:val="single" w:color="auto" w:sz="12" w:space="0"/>
              <w:right w:val="single" w:color="auto" w:sz="12" w:space="0"/>
            </w:tcBorders>
            <w:shd w:val="clear" w:color="auto" w:fill="auto"/>
            <w:vAlign w:val="center"/>
          </w:tcPr>
          <w:p w14:paraId="2D579E11">
            <w:pPr>
              <w:keepNext w:val="0"/>
              <w:keepLines w:val="0"/>
              <w:widowControl w:val="0"/>
              <w:suppressLineNumbers w:val="0"/>
              <w:spacing w:before="0" w:beforeAutospacing="0" w:after="0" w:afterAutospacing="0" w:line="360" w:lineRule="auto"/>
              <w:ind w:left="0" w:right="0"/>
              <w:jc w:val="left"/>
              <w:rPr>
                <w:rFonts w:hint="eastAsia"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tc>
      </w:tr>
      <w:tr w14:paraId="290F7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22" w:hRule="atLeast"/>
        </w:trPr>
        <w:tc>
          <w:tcPr>
            <w:tcW w:w="1803" w:type="dxa"/>
            <w:tcBorders>
              <w:top w:val="single" w:color="auto" w:sz="12" w:space="0"/>
              <w:left w:val="single" w:color="auto" w:sz="12" w:space="0"/>
              <w:bottom w:val="single" w:color="auto" w:sz="4" w:space="0"/>
              <w:right w:val="single" w:color="auto" w:sz="12" w:space="0"/>
            </w:tcBorders>
            <w:shd w:val="clear" w:color="auto" w:fill="auto"/>
            <w:vAlign w:val="center"/>
          </w:tcPr>
          <w:p w14:paraId="59B2D1C3">
            <w:pPr>
              <w:keepNext w:val="0"/>
              <w:keepLines w:val="0"/>
              <w:widowControl w:val="0"/>
              <w:suppressLineNumbers w:val="0"/>
              <w:spacing w:before="0" w:beforeAutospacing="0" w:after="0" w:afterAutospacing="0" w:line="460" w:lineRule="exact"/>
              <w:ind w:left="0" w:right="0"/>
              <w:jc w:val="center"/>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项目编号</w:t>
            </w:r>
          </w:p>
        </w:tc>
        <w:tc>
          <w:tcPr>
            <w:tcW w:w="6952" w:type="dxa"/>
            <w:tcBorders>
              <w:top w:val="single" w:color="auto" w:sz="12" w:space="0"/>
              <w:left w:val="nil"/>
              <w:bottom w:val="single" w:color="auto" w:sz="4" w:space="0"/>
              <w:right w:val="single" w:color="auto" w:sz="12" w:space="0"/>
            </w:tcBorders>
            <w:shd w:val="clear" w:color="auto" w:fill="auto"/>
            <w:vAlign w:val="center"/>
          </w:tcPr>
          <w:p w14:paraId="686B2902">
            <w:pPr>
              <w:keepNext w:val="0"/>
              <w:keepLines w:val="0"/>
              <w:widowControl w:val="0"/>
              <w:suppressLineNumbers w:val="0"/>
              <w:spacing w:before="0" w:beforeAutospacing="0" w:after="0" w:afterAutospacing="0"/>
              <w:ind w:left="0" w:right="0"/>
              <w:jc w:val="both"/>
              <w:rPr>
                <w:rFonts w:hint="eastAsia" w:ascii="宋体" w:hAnsi="Times New Roman" w:eastAsia="宋体" w:cs="Times New Roman"/>
                <w:kern w:val="2"/>
                <w:sz w:val="24"/>
                <w:szCs w:val="24"/>
              </w:rPr>
            </w:pPr>
          </w:p>
        </w:tc>
      </w:tr>
      <w:tr w14:paraId="08BC2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18"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601CBD5A">
            <w:pPr>
              <w:keepNext w:val="0"/>
              <w:keepLines w:val="0"/>
              <w:widowControl w:val="0"/>
              <w:suppressLineNumbers w:val="0"/>
              <w:spacing w:before="0" w:beforeAutospacing="0" w:after="0" w:afterAutospacing="0" w:line="460" w:lineRule="exact"/>
              <w:ind w:left="0" w:right="0" w:firstLine="120" w:firstLineChars="50"/>
              <w:jc w:val="both"/>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投标人名称</w:t>
            </w:r>
          </w:p>
        </w:tc>
        <w:tc>
          <w:tcPr>
            <w:tcW w:w="6952" w:type="dxa"/>
            <w:tcBorders>
              <w:top w:val="single" w:color="auto" w:sz="4" w:space="0"/>
              <w:left w:val="nil"/>
              <w:bottom w:val="single" w:color="auto" w:sz="4" w:space="0"/>
              <w:right w:val="single" w:color="auto" w:sz="12" w:space="0"/>
            </w:tcBorders>
            <w:shd w:val="clear" w:color="auto" w:fill="auto"/>
            <w:vAlign w:val="top"/>
          </w:tcPr>
          <w:p w14:paraId="7AA33CCB">
            <w:pPr>
              <w:pStyle w:val="44"/>
              <w:keepNext w:val="0"/>
              <w:keepLines w:val="0"/>
              <w:widowControl w:val="0"/>
              <w:suppressLineNumbers w:val="0"/>
              <w:spacing w:before="0" w:beforeAutospacing="0" w:after="0" w:afterAutospacing="0" w:line="460" w:lineRule="exact"/>
              <w:ind w:left="86" w:leftChars="41" w:right="0"/>
              <w:jc w:val="both"/>
              <w:rPr>
                <w:rFonts w:hint="eastAsia" w:ascii="宋体" w:hAnsi="Arial" w:eastAsia="宋体" w:cs="Times New Roman"/>
                <w:kern w:val="2"/>
                <w:sz w:val="24"/>
                <w:szCs w:val="24"/>
                <w:u w:color="000000"/>
              </w:rPr>
            </w:pPr>
          </w:p>
        </w:tc>
      </w:tr>
      <w:tr w14:paraId="09B9A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60A76C8E">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投标报价\服务期</w:t>
            </w:r>
          </w:p>
        </w:tc>
        <w:tc>
          <w:tcPr>
            <w:tcW w:w="6952" w:type="dxa"/>
            <w:tcBorders>
              <w:top w:val="single" w:color="auto" w:sz="4" w:space="0"/>
              <w:left w:val="nil"/>
              <w:bottom w:val="single" w:color="auto" w:sz="12" w:space="0"/>
              <w:right w:val="single" w:color="auto" w:sz="12" w:space="0"/>
            </w:tcBorders>
            <w:shd w:val="clear" w:color="auto" w:fill="auto"/>
            <w:vAlign w:val="center"/>
          </w:tcPr>
          <w:p w14:paraId="5DD4E9DF">
            <w:pPr>
              <w:keepNext w:val="0"/>
              <w:keepLines w:val="0"/>
              <w:widowControl w:val="0"/>
              <w:suppressLineNumbers w:val="0"/>
              <w:autoSpaceDE w:val="0"/>
              <w:autoSpaceDN/>
              <w:spacing w:before="0" w:beforeAutospacing="0" w:after="0" w:afterAutospacing="0" w:line="900" w:lineRule="exact"/>
              <w:ind w:left="0" w:right="0"/>
              <w:jc w:val="both"/>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投标报价（费率）（大写）：</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w:t>
            </w:r>
          </w:p>
          <w:p w14:paraId="614E97E9">
            <w:pPr>
              <w:keepNext w:val="0"/>
              <w:keepLines w:val="0"/>
              <w:widowControl w:val="0"/>
              <w:suppressLineNumbers w:val="0"/>
              <w:autoSpaceDE w:val="0"/>
              <w:autoSpaceDN/>
              <w:spacing w:before="0" w:beforeAutospacing="0" w:after="0" w:afterAutospacing="0" w:line="900" w:lineRule="exact"/>
              <w:ind w:left="0" w:right="0" w:firstLine="1200" w:firstLineChars="500"/>
              <w:jc w:val="both"/>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(小写) ：</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w:t>
            </w:r>
          </w:p>
          <w:p w14:paraId="35EE150D">
            <w:pPr>
              <w:keepNext w:val="0"/>
              <w:keepLines w:val="0"/>
              <w:widowControl w:val="0"/>
              <w:suppressLineNumbers w:val="0"/>
              <w:autoSpaceDE w:val="0"/>
              <w:autoSpaceDN/>
              <w:spacing w:before="0" w:beforeAutospacing="0" w:after="0" w:afterAutospacing="0" w:line="900" w:lineRule="exact"/>
              <w:ind w:left="0" w:right="0"/>
              <w:jc w:val="both"/>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服务期：自收到造价编制成果文件之日起</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日内完成复审。</w:t>
            </w:r>
          </w:p>
        </w:tc>
      </w:tr>
    </w:tbl>
    <w:p w14:paraId="7247E78D">
      <w:pPr>
        <w:keepNext w:val="0"/>
        <w:keepLines w:val="0"/>
        <w:widowControl w:val="0"/>
        <w:suppressLineNumbers w:val="0"/>
        <w:snapToGrid w:val="0"/>
        <w:spacing w:before="0" w:beforeAutospacing="0" w:after="0" w:afterAutospacing="0" w:line="460" w:lineRule="exact"/>
        <w:ind w:left="2940" w:leftChars="1400" w:right="0" w:firstLine="723" w:firstLineChars="300"/>
        <w:jc w:val="both"/>
        <w:rPr>
          <w:rFonts w:hint="eastAsia" w:ascii="宋体" w:hAnsi="Times New Roman" w:eastAsia="宋体" w:cs="Times New Roman"/>
          <w:b/>
          <w:bCs w:val="0"/>
          <w:kern w:val="2"/>
          <w:sz w:val="24"/>
          <w:szCs w:val="24"/>
        </w:rPr>
      </w:pPr>
      <w:r>
        <w:rPr>
          <w:rFonts w:hint="eastAsia" w:ascii="宋体" w:hAnsi="Times New Roman" w:eastAsia="宋体" w:cs="Times New Roman"/>
          <w:b/>
          <w:bCs w:val="0"/>
          <w:kern w:val="2"/>
          <w:sz w:val="24"/>
          <w:szCs w:val="24"/>
          <w:lang w:val="en-US" w:eastAsia="zh-CN" w:bidi="ar"/>
        </w:rPr>
        <w:t xml:space="preserve"> </w:t>
      </w:r>
    </w:p>
    <w:p w14:paraId="12E809BB">
      <w:pPr>
        <w:keepNext w:val="0"/>
        <w:keepLines w:val="0"/>
        <w:widowControl w:val="0"/>
        <w:suppressLineNumbers w:val="0"/>
        <w:spacing w:before="0" w:beforeAutospacing="0" w:after="0" w:afterAutospacing="0"/>
        <w:ind w:left="0" w:right="0"/>
        <w:jc w:val="both"/>
        <w:rPr>
          <w:rFonts w:hint="eastAsia" w:ascii="宋体" w:hAnsi="Times New Roman" w:eastAsia="宋体" w:cs="Times New Roman"/>
          <w:kern w:val="2"/>
          <w:sz w:val="24"/>
          <w:szCs w:val="24"/>
        </w:rPr>
      </w:pPr>
      <w:r>
        <w:rPr>
          <w:rFonts w:hint="eastAsia" w:ascii="宋体" w:hAnsi="宋体" w:eastAsia="宋体" w:cs="宋体"/>
          <w:kern w:val="2"/>
          <w:sz w:val="24"/>
          <w:szCs w:val="24"/>
          <w:lang w:val="en-US" w:eastAsia="zh-CN" w:bidi="ar"/>
        </w:rPr>
        <w:t>法定代表人（盖章）：</w:t>
      </w:r>
      <w:r>
        <w:rPr>
          <w:rFonts w:hint="eastAsia" w:ascii="宋体" w:hAnsi="Times New Roman"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投标人（盖单位章）：</w:t>
      </w:r>
    </w:p>
    <w:p w14:paraId="79D2A187">
      <w:pPr>
        <w:keepNext w:val="0"/>
        <w:keepLines w:val="0"/>
        <w:widowControl w:val="0"/>
        <w:suppressLineNumbers w:val="0"/>
        <w:spacing w:before="0" w:beforeAutospacing="0" w:after="0" w:afterAutospacing="0" w:line="360" w:lineRule="exact"/>
        <w:ind w:left="0" w:right="0" w:firstLine="352" w:firstLineChars="147"/>
        <w:jc w:val="both"/>
        <w:rPr>
          <w:rFonts w:hint="eastAsia" w:ascii="宋体" w:hAnsi="Times New Roman" w:eastAsia="宋体" w:cs="Times New Roman"/>
          <w:b/>
          <w:bCs w:val="0"/>
          <w:kern w:val="2"/>
          <w:sz w:val="30"/>
          <w:szCs w:val="30"/>
        </w:rPr>
      </w:pPr>
      <w:r>
        <w:rPr>
          <w:rFonts w:hint="eastAsia" w:ascii="宋体" w:hAnsi="Times New Roman" w:eastAsia="宋体" w:cs="Times New Roman"/>
          <w:kern w:val="2"/>
          <w:sz w:val="24"/>
          <w:szCs w:val="24"/>
        </w:rPr>
        <w:t xml:space="preserve">                                      </w:t>
      </w:r>
      <w:r>
        <w:rPr>
          <w:rFonts w:hint="eastAsia" w:ascii="宋体" w:hAnsi="宋体" w:eastAsia="宋体" w:cs="宋体"/>
          <w:kern w:val="2"/>
          <w:sz w:val="24"/>
          <w:szCs w:val="24"/>
        </w:rPr>
        <w:t>日</w:t>
      </w:r>
      <w:r>
        <w:rPr>
          <w:rFonts w:hint="eastAsia" w:ascii="宋体" w:hAnsi="Times New Roman" w:eastAsia="宋体" w:cs="Times New Roman"/>
          <w:kern w:val="2"/>
          <w:sz w:val="24"/>
          <w:szCs w:val="24"/>
        </w:rPr>
        <w:t xml:space="preserve">  </w:t>
      </w:r>
      <w:r>
        <w:rPr>
          <w:rFonts w:hint="eastAsia" w:ascii="宋体" w:hAnsi="宋体" w:eastAsia="宋体" w:cs="宋体"/>
          <w:kern w:val="2"/>
          <w:sz w:val="24"/>
          <w:szCs w:val="24"/>
        </w:rPr>
        <w:t>期：</w:t>
      </w:r>
      <w:r>
        <w:rPr>
          <w:rFonts w:hint="eastAsia" w:ascii="宋体" w:hAnsi="宋体" w:eastAsia="宋体" w:cs="Times New Roman"/>
          <w:kern w:val="2"/>
          <w:sz w:val="24"/>
          <w:szCs w:val="24"/>
          <w:u w:val="single"/>
        </w:rPr>
        <w:t xml:space="preserve">     </w:t>
      </w:r>
      <w:r>
        <w:rPr>
          <w:rFonts w:hint="eastAsia" w:ascii="宋体" w:hAnsi="宋体" w:eastAsia="宋体" w:cs="宋体"/>
          <w:kern w:val="2"/>
          <w:sz w:val="24"/>
          <w:szCs w:val="24"/>
        </w:rPr>
        <w:t>年</w:t>
      </w:r>
      <w:r>
        <w:rPr>
          <w:rFonts w:hint="eastAsia" w:ascii="宋体" w:hAnsi="宋体" w:eastAsia="宋体" w:cs="Times New Roman"/>
          <w:kern w:val="2"/>
          <w:sz w:val="24"/>
          <w:szCs w:val="24"/>
          <w:u w:val="single"/>
        </w:rPr>
        <w:t xml:space="preserve">   </w:t>
      </w:r>
      <w:r>
        <w:rPr>
          <w:rFonts w:hint="eastAsia" w:ascii="宋体" w:hAnsi="宋体" w:eastAsia="宋体" w:cs="宋体"/>
          <w:kern w:val="2"/>
          <w:sz w:val="24"/>
          <w:szCs w:val="24"/>
        </w:rPr>
        <w:t>月</w:t>
      </w:r>
      <w:r>
        <w:rPr>
          <w:rFonts w:hint="eastAsia" w:ascii="宋体" w:hAnsi="宋体" w:eastAsia="宋体" w:cs="Times New Roman"/>
          <w:kern w:val="2"/>
          <w:sz w:val="24"/>
          <w:szCs w:val="24"/>
          <w:u w:val="single"/>
        </w:rPr>
        <w:t xml:space="preserve">   </w:t>
      </w:r>
      <w:r>
        <w:rPr>
          <w:rFonts w:hint="eastAsia" w:ascii="宋体" w:hAnsi="宋体" w:eastAsia="宋体" w:cs="宋体"/>
          <w:kern w:val="2"/>
          <w:sz w:val="24"/>
          <w:szCs w:val="24"/>
        </w:rPr>
        <w:t>日</w:t>
      </w:r>
    </w:p>
    <w:p w14:paraId="06F3802F">
      <w:pPr>
        <w:shd w:val="clear"/>
        <w:kinsoku/>
        <w:overflowPunct/>
        <w:topLinePunct w:val="0"/>
        <w:bidi w:val="0"/>
        <w:jc w:val="center"/>
        <w:rPr>
          <w:rFonts w:ascii="宋体" w:hAnsi="宋体" w:cs="宋体"/>
          <w:b/>
          <w:bCs/>
          <w:color w:val="auto"/>
          <w:sz w:val="28"/>
          <w:szCs w:val="28"/>
          <w:highlight w:val="none"/>
        </w:rPr>
      </w:pPr>
    </w:p>
    <w:p w14:paraId="454C2A84">
      <w:pPr>
        <w:shd w:val="clear"/>
        <w:kinsoku/>
        <w:overflowPunct/>
        <w:topLinePunct w:val="0"/>
        <w:bidi w:val="0"/>
        <w:jc w:val="center"/>
        <w:rPr>
          <w:rFonts w:ascii="宋体" w:hAnsi="宋体" w:cs="宋体"/>
          <w:b/>
          <w:bCs/>
          <w:color w:val="auto"/>
          <w:sz w:val="28"/>
          <w:szCs w:val="28"/>
          <w:highlight w:val="none"/>
        </w:rPr>
      </w:pPr>
    </w:p>
    <w:p w14:paraId="0A9BE2AC">
      <w:pPr>
        <w:rPr>
          <w:rFonts w:hint="eastAsia" w:ascii="宋体" w:hAnsi="Times New Roman" w:eastAsia="宋体" w:cs="Times New Roman"/>
          <w:b/>
          <w:bCs w:val="0"/>
          <w:kern w:val="2"/>
          <w:sz w:val="30"/>
          <w:szCs w:val="30"/>
          <w:lang w:val="en-US" w:eastAsia="zh-CN" w:bidi="ar"/>
        </w:rPr>
      </w:pPr>
      <w:r>
        <w:rPr>
          <w:rFonts w:hint="eastAsia" w:ascii="宋体" w:hAnsi="Times New Roman" w:eastAsia="宋体" w:cs="Times New Roman"/>
          <w:b/>
          <w:bCs w:val="0"/>
          <w:kern w:val="2"/>
          <w:sz w:val="30"/>
          <w:szCs w:val="30"/>
          <w:lang w:val="en-US" w:eastAsia="zh-CN" w:bidi="ar"/>
        </w:rPr>
        <w:br w:type="page"/>
      </w:r>
    </w:p>
    <w:p w14:paraId="66888DEB">
      <w:pPr>
        <w:keepNext w:val="0"/>
        <w:keepLines w:val="0"/>
        <w:widowControl w:val="0"/>
        <w:suppressLineNumbers w:val="0"/>
        <w:spacing w:before="0" w:beforeAutospacing="0" w:after="0" w:afterAutospacing="0" w:line="360" w:lineRule="exact"/>
        <w:ind w:right="0"/>
        <w:jc w:val="both"/>
        <w:rPr>
          <w:rFonts w:hint="eastAsia" w:ascii="宋体" w:hAnsi="Times New Roman" w:eastAsia="宋体" w:cs="Times New Roman"/>
          <w:b/>
          <w:bCs w:val="0"/>
          <w:kern w:val="2"/>
          <w:sz w:val="30"/>
          <w:szCs w:val="30"/>
          <w:lang w:val="en-US" w:eastAsia="zh-CN" w:bidi="ar"/>
        </w:rPr>
      </w:pPr>
      <w:r>
        <w:rPr>
          <w:rFonts w:hint="eastAsia" w:ascii="宋体" w:hAnsi="Times New Roman" w:eastAsia="宋体" w:cs="Times New Roman"/>
          <w:b/>
          <w:bCs w:val="0"/>
          <w:kern w:val="2"/>
          <w:sz w:val="30"/>
          <w:szCs w:val="30"/>
          <w:lang w:val="en-US" w:eastAsia="zh-CN" w:bidi="ar"/>
        </w:rPr>
        <w:t>附件5</w:t>
      </w:r>
    </w:p>
    <w:p w14:paraId="12E516C5">
      <w:pPr>
        <w:shd w:val="clear"/>
        <w:kinsoku/>
        <w:overflowPunct/>
        <w:topLinePunct w:val="0"/>
        <w:bidi w:val="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投 标 函</w:t>
      </w:r>
    </w:p>
    <w:p w14:paraId="5CCD32E7">
      <w:pPr>
        <w:shd w:val="clear"/>
        <w:kinsoku/>
        <w:overflowPunct/>
        <w:topLinePunct w:val="0"/>
        <w:bidi w:val="0"/>
        <w:spacing w:line="560" w:lineRule="exact"/>
        <w:rPr>
          <w:rFonts w:ascii="宋体"/>
          <w:color w:val="auto"/>
          <w:highlight w:val="none"/>
        </w:rPr>
      </w:pPr>
      <w:r>
        <w:rPr>
          <w:rFonts w:hint="eastAsia" w:ascii="宋体"/>
          <w:color w:val="auto"/>
          <w:highlight w:val="none"/>
        </w:rPr>
        <w:t>致：</w:t>
      </w:r>
      <w:r>
        <w:rPr>
          <w:rFonts w:hint="eastAsia" w:ascii="宋体"/>
          <w:color w:val="auto"/>
          <w:highlight w:val="none"/>
          <w:u w:val="single"/>
        </w:rPr>
        <w:t xml:space="preserve">             (招标人)       </w:t>
      </w:r>
      <w:r>
        <w:rPr>
          <w:rFonts w:hint="eastAsia" w:ascii="宋体"/>
          <w:color w:val="auto"/>
          <w:highlight w:val="none"/>
        </w:rPr>
        <w:t xml:space="preserve"> </w:t>
      </w:r>
    </w:p>
    <w:p w14:paraId="6EF93BAD">
      <w:pPr>
        <w:shd w:val="clear"/>
        <w:kinsoku/>
        <w:overflowPunct/>
        <w:topLinePunct w:val="0"/>
        <w:bidi w:val="0"/>
        <w:spacing w:line="560" w:lineRule="exact"/>
        <w:ind w:firstLine="420" w:firstLineChars="200"/>
        <w:rPr>
          <w:rFonts w:ascii="宋体"/>
          <w:color w:val="auto"/>
          <w:highlight w:val="none"/>
        </w:rPr>
      </w:pPr>
      <w:r>
        <w:rPr>
          <w:rFonts w:hint="eastAsia" w:ascii="宋体"/>
          <w:color w:val="auto"/>
          <w:highlight w:val="none"/>
        </w:rPr>
        <w:t>1.我们决定参加贵单位组织的“</w:t>
      </w:r>
      <w:r>
        <w:rPr>
          <w:rFonts w:hint="eastAsia" w:ascii="宋体"/>
          <w:color w:val="auto"/>
          <w:highlight w:val="none"/>
          <w:u w:val="single"/>
        </w:rPr>
        <w:t xml:space="preserve"> （项目名称）          </w:t>
      </w:r>
      <w:r>
        <w:rPr>
          <w:rFonts w:hint="eastAsia" w:ascii="宋体"/>
          <w:color w:val="auto"/>
          <w:highlight w:val="none"/>
        </w:rPr>
        <w:t xml:space="preserve">”的招标。我方授权 </w:t>
      </w:r>
      <w:r>
        <w:rPr>
          <w:rFonts w:hint="eastAsia" w:ascii="宋体"/>
          <w:color w:val="auto"/>
          <w:highlight w:val="none"/>
          <w:u w:val="single"/>
        </w:rPr>
        <w:t xml:space="preserve">              </w:t>
      </w:r>
      <w:r>
        <w:rPr>
          <w:rFonts w:hint="eastAsia" w:ascii="宋体"/>
          <w:color w:val="auto"/>
          <w:highlight w:val="none"/>
        </w:rPr>
        <w:t>(姓名和职务)代表我方</w:t>
      </w:r>
      <w:r>
        <w:rPr>
          <w:rFonts w:hint="eastAsia" w:ascii="宋体"/>
          <w:color w:val="auto"/>
          <w:highlight w:val="none"/>
          <w:u w:val="single"/>
        </w:rPr>
        <w:t xml:space="preserve">               </w:t>
      </w:r>
      <w:r>
        <w:rPr>
          <w:rFonts w:hint="eastAsia" w:ascii="宋体"/>
          <w:color w:val="auto"/>
          <w:highlight w:val="none"/>
        </w:rPr>
        <w:t>（投标人的名称）全权处理本项目投标的有关事宜。</w:t>
      </w:r>
    </w:p>
    <w:p w14:paraId="47ACE4D5">
      <w:pPr>
        <w:shd w:val="clear"/>
        <w:kinsoku/>
        <w:overflowPunct/>
        <w:topLinePunct w:val="0"/>
        <w:bidi w:val="0"/>
        <w:spacing w:before="159" w:beforeLines="50" w:line="560" w:lineRule="exact"/>
        <w:ind w:firstLine="411" w:firstLineChars="196"/>
        <w:jc w:val="left"/>
        <w:rPr>
          <w:rFonts w:ascii="宋体"/>
          <w:color w:val="auto"/>
          <w:highlight w:val="none"/>
        </w:rPr>
      </w:pPr>
      <w:r>
        <w:rPr>
          <w:rFonts w:hint="eastAsia" w:ascii="宋体"/>
          <w:color w:val="auto"/>
          <w:highlight w:val="none"/>
        </w:rPr>
        <w:t xml:space="preserve">2.我方愿意按照招标文件规定的各项要求，向招标人提供“ </w:t>
      </w:r>
      <w:r>
        <w:rPr>
          <w:rFonts w:hint="eastAsia" w:ascii="宋体"/>
          <w:color w:val="auto"/>
          <w:highlight w:val="none"/>
          <w:u w:val="single"/>
        </w:rPr>
        <w:t xml:space="preserve">            （项目名称）</w:t>
      </w:r>
      <w:r>
        <w:rPr>
          <w:rFonts w:hint="eastAsia" w:ascii="宋体"/>
          <w:color w:val="auto"/>
          <w:highlight w:val="none"/>
        </w:rPr>
        <w:t>”项目的服务，投标报价（费率）为（大写）</w:t>
      </w:r>
      <w:r>
        <w:rPr>
          <w:rFonts w:hint="eastAsia" w:ascii="宋体"/>
          <w:color w:val="auto"/>
          <w:highlight w:val="none"/>
          <w:u w:val="single"/>
        </w:rPr>
        <w:t xml:space="preserve">            （小写）     %（最多保留两位小数）</w:t>
      </w:r>
      <w:r>
        <w:rPr>
          <w:rFonts w:hint="eastAsia" w:ascii="宋体"/>
          <w:b/>
          <w:bCs/>
          <w:color w:val="auto"/>
          <w:highlight w:val="none"/>
        </w:rPr>
        <w:t>。</w:t>
      </w:r>
      <w:r>
        <w:rPr>
          <w:rFonts w:hint="eastAsia" w:ascii="宋体"/>
          <w:color w:val="auto"/>
          <w:highlight w:val="none"/>
        </w:rPr>
        <w:t>项目负责人为</w:t>
      </w:r>
      <w:r>
        <w:rPr>
          <w:rFonts w:hint="eastAsia" w:ascii="宋体"/>
          <w:color w:val="auto"/>
          <w:highlight w:val="none"/>
          <w:u w:val="single"/>
        </w:rPr>
        <w:t xml:space="preserve">       </w:t>
      </w:r>
      <w:r>
        <w:rPr>
          <w:rFonts w:hint="eastAsia" w:ascii="宋体"/>
          <w:color w:val="auto"/>
          <w:highlight w:val="none"/>
        </w:rPr>
        <w:t>。</w:t>
      </w:r>
    </w:p>
    <w:p w14:paraId="58445907">
      <w:pPr>
        <w:shd w:val="clear"/>
        <w:kinsoku/>
        <w:overflowPunct/>
        <w:topLinePunct w:val="0"/>
        <w:bidi w:val="0"/>
        <w:spacing w:line="560" w:lineRule="exact"/>
        <w:ind w:firstLine="420" w:firstLineChars="200"/>
        <w:rPr>
          <w:rFonts w:ascii="宋体"/>
          <w:color w:val="auto"/>
          <w:highlight w:val="none"/>
        </w:rPr>
      </w:pPr>
      <w:r>
        <w:rPr>
          <w:rFonts w:hint="eastAsia" w:ascii="宋体"/>
          <w:color w:val="auto"/>
          <w:highlight w:val="none"/>
        </w:rPr>
        <w:t>3.本项目投标有效期为</w:t>
      </w:r>
      <w:r>
        <w:rPr>
          <w:rFonts w:hint="eastAsia" w:ascii="宋体"/>
          <w:color w:val="auto"/>
          <w:highlight w:val="none"/>
          <w:u w:val="single"/>
        </w:rPr>
        <w:t xml:space="preserve">  </w:t>
      </w:r>
      <w:r>
        <w:rPr>
          <w:rFonts w:hint="eastAsia" w:ascii="宋体"/>
          <w:color w:val="auto"/>
          <w:highlight w:val="none"/>
          <w:u w:val="single"/>
          <w:lang w:val="en-US" w:eastAsia="zh-CN"/>
        </w:rPr>
        <w:t>9</w:t>
      </w:r>
      <w:r>
        <w:rPr>
          <w:rFonts w:hint="eastAsia" w:ascii="宋体"/>
          <w:color w:val="auto"/>
          <w:highlight w:val="none"/>
          <w:u w:val="single"/>
        </w:rPr>
        <w:t xml:space="preserve">0  </w:t>
      </w:r>
      <w:r>
        <w:rPr>
          <w:rFonts w:hint="eastAsia" w:ascii="宋体"/>
          <w:color w:val="auto"/>
          <w:highlight w:val="none"/>
        </w:rPr>
        <w:t xml:space="preserve"> 日历天（从投标截止之日算起）。</w:t>
      </w:r>
    </w:p>
    <w:p w14:paraId="2656DE9D">
      <w:pPr>
        <w:shd w:val="clear"/>
        <w:kinsoku/>
        <w:overflowPunct/>
        <w:topLinePunct w:val="0"/>
        <w:bidi w:val="0"/>
        <w:spacing w:line="560" w:lineRule="exact"/>
        <w:ind w:firstLine="420" w:firstLineChars="200"/>
        <w:rPr>
          <w:rFonts w:ascii="宋体"/>
          <w:color w:val="auto"/>
          <w:highlight w:val="none"/>
        </w:rPr>
      </w:pPr>
      <w:r>
        <w:rPr>
          <w:rFonts w:hint="eastAsia" w:ascii="宋体"/>
          <w:color w:val="auto"/>
          <w:highlight w:val="none"/>
        </w:rPr>
        <w:t>4.一旦我方成为合同签字人，我方将严格履行合同规定的责任和义务。</w:t>
      </w:r>
    </w:p>
    <w:p w14:paraId="54A96C0D">
      <w:pPr>
        <w:shd w:val="clear"/>
        <w:kinsoku/>
        <w:overflowPunct/>
        <w:topLinePunct w:val="0"/>
        <w:bidi w:val="0"/>
        <w:spacing w:line="560" w:lineRule="exact"/>
        <w:ind w:firstLine="420" w:firstLineChars="200"/>
        <w:rPr>
          <w:rFonts w:ascii="宋体"/>
          <w:color w:val="auto"/>
          <w:highlight w:val="none"/>
        </w:rPr>
      </w:pPr>
      <w:r>
        <w:rPr>
          <w:rFonts w:hint="eastAsia" w:ascii="宋体"/>
          <w:color w:val="auto"/>
          <w:highlight w:val="none"/>
        </w:rPr>
        <w:t>5.若我方中标，愿意为本项目提交的纸质投标文件一式二份，其中正本一份、副本一份。</w:t>
      </w:r>
    </w:p>
    <w:p w14:paraId="0ECC3D5D">
      <w:pPr>
        <w:shd w:val="clear"/>
        <w:kinsoku/>
        <w:overflowPunct/>
        <w:topLinePunct w:val="0"/>
        <w:bidi w:val="0"/>
        <w:spacing w:line="560" w:lineRule="exact"/>
        <w:ind w:firstLine="420" w:firstLineChars="200"/>
        <w:rPr>
          <w:rFonts w:ascii="宋体"/>
          <w:color w:val="auto"/>
          <w:highlight w:val="none"/>
        </w:rPr>
      </w:pPr>
      <w:r>
        <w:rPr>
          <w:rFonts w:hint="eastAsia" w:ascii="宋体"/>
          <w:color w:val="auto"/>
          <w:highlight w:val="none"/>
        </w:rPr>
        <w:t>6.我方愿意提供可能另外要求的、与采购投标有关的文件资料，并保证我方已提供和将要提供的文件是真实的、准确的。</w:t>
      </w:r>
    </w:p>
    <w:p w14:paraId="0CEB1C30">
      <w:pPr>
        <w:shd w:val="clear"/>
        <w:kinsoku/>
        <w:overflowPunct/>
        <w:topLinePunct w:val="0"/>
        <w:bidi w:val="0"/>
        <w:spacing w:line="560" w:lineRule="exact"/>
        <w:ind w:firstLine="420" w:firstLineChars="200"/>
        <w:rPr>
          <w:rFonts w:ascii="宋体"/>
          <w:color w:val="auto"/>
          <w:highlight w:val="none"/>
        </w:rPr>
      </w:pPr>
      <w:r>
        <w:rPr>
          <w:rFonts w:hint="eastAsia" w:ascii="宋体"/>
          <w:color w:val="auto"/>
          <w:highlight w:val="none"/>
        </w:rPr>
        <w:t>8.我单位提供如下通讯地址：</w:t>
      </w:r>
      <w:r>
        <w:rPr>
          <w:rFonts w:hint="eastAsia" w:ascii="宋体"/>
          <w:color w:val="auto"/>
          <w:highlight w:val="none"/>
          <w:u w:val="single"/>
        </w:rPr>
        <w:t xml:space="preserve">                电子邮箱（地址）</w:t>
      </w:r>
      <w:r>
        <w:rPr>
          <w:rFonts w:hint="eastAsia" w:ascii="宋体"/>
          <w:color w:val="auto"/>
          <w:highlight w:val="none"/>
        </w:rPr>
        <w:t>，确认本项目相关法律文书均通过提供的以上地址送达，相关文书只要发送至以上电子邮箱（地址）即视为送达，投标人愿意承担一切法律后果。</w:t>
      </w:r>
    </w:p>
    <w:p w14:paraId="217B25CC">
      <w:pPr>
        <w:pStyle w:val="2"/>
        <w:shd w:val="clear"/>
        <w:kinsoku/>
        <w:overflowPunct/>
        <w:topLinePunct w:val="0"/>
        <w:bidi w:val="0"/>
        <w:spacing w:line="360" w:lineRule="auto"/>
        <w:ind w:firstLine="560"/>
        <w:rPr>
          <w:rFonts w:ascii="宋体" w:hAnsi="宋体" w:cs="宋体"/>
          <w:color w:val="auto"/>
          <w:szCs w:val="21"/>
          <w:highlight w:val="none"/>
        </w:rPr>
      </w:pPr>
    </w:p>
    <w:p w14:paraId="3FE6F97C">
      <w:pPr>
        <w:shd w:val="clear"/>
        <w:kinsoku/>
        <w:overflowPunct/>
        <w:topLinePunct w:val="0"/>
        <w:bidi w:val="0"/>
        <w:spacing w:line="360" w:lineRule="auto"/>
        <w:ind w:firstLine="1995" w:firstLineChars="950"/>
        <w:rPr>
          <w:rFonts w:ascii="宋体" w:hAnsi="宋体" w:cs="宋体"/>
          <w:color w:val="auto"/>
          <w:highlight w:val="none"/>
        </w:rPr>
      </w:pPr>
    </w:p>
    <w:p w14:paraId="530ECBF1">
      <w:pPr>
        <w:shd w:val="clear"/>
        <w:kinsoku/>
        <w:overflowPunct/>
        <w:topLinePunct w:val="0"/>
        <w:bidi w:val="0"/>
        <w:spacing w:line="360" w:lineRule="auto"/>
        <w:ind w:firstLine="1995" w:firstLineChars="950"/>
        <w:rPr>
          <w:rFonts w:ascii="宋体" w:hAnsi="宋体" w:cs="宋体"/>
          <w:color w:val="auto"/>
          <w:highlight w:val="none"/>
          <w:u w:val="single"/>
        </w:rPr>
      </w:pPr>
      <w:r>
        <w:rPr>
          <w:rFonts w:hint="eastAsia" w:ascii="宋体" w:hAnsi="宋体" w:cs="宋体"/>
          <w:color w:val="auto"/>
          <w:highlight w:val="none"/>
        </w:rPr>
        <w:t>投标人：</w:t>
      </w:r>
      <w:r>
        <w:rPr>
          <w:rFonts w:hint="eastAsia" w:ascii="宋体" w:hAnsi="宋体" w:cs="宋体"/>
          <w:color w:val="auto"/>
          <w:highlight w:val="none"/>
          <w:u w:val="single"/>
        </w:rPr>
        <w:t xml:space="preserve">                   （签章） </w:t>
      </w:r>
    </w:p>
    <w:p w14:paraId="56194E89">
      <w:pPr>
        <w:shd w:val="clear"/>
        <w:kinsoku/>
        <w:overflowPunct/>
        <w:topLinePunct w:val="0"/>
        <w:bidi w:val="0"/>
        <w:spacing w:line="360" w:lineRule="auto"/>
        <w:ind w:left="1995" w:leftChars="950"/>
        <w:rPr>
          <w:rFonts w:ascii="宋体" w:hAnsi="宋体" w:cs="宋体"/>
          <w:color w:val="auto"/>
          <w:highlight w:val="none"/>
        </w:rPr>
      </w:pPr>
      <w:r>
        <w:rPr>
          <w:rFonts w:hint="eastAsia" w:ascii="宋体" w:hAnsi="宋体" w:cs="宋体"/>
          <w:color w:val="auto"/>
          <w:highlight w:val="none"/>
        </w:rPr>
        <w:t>法定代表人或其委托代理人：</w:t>
      </w:r>
      <w:r>
        <w:rPr>
          <w:rFonts w:hint="eastAsia" w:ascii="宋体" w:hAnsi="宋体" w:cs="宋体"/>
          <w:color w:val="auto"/>
          <w:highlight w:val="none"/>
          <w:u w:val="single"/>
        </w:rPr>
        <w:t xml:space="preserve">        （签字或盖章）</w:t>
      </w:r>
      <w:r>
        <w:rPr>
          <w:rFonts w:hint="eastAsia" w:ascii="宋体" w:hAnsi="宋体" w:cs="宋体"/>
          <w:color w:val="auto"/>
          <w:highlight w:val="none"/>
        </w:rPr>
        <w:t xml:space="preserve">         </w:t>
      </w:r>
    </w:p>
    <w:p w14:paraId="6A588CA5">
      <w:pPr>
        <w:shd w:val="clear"/>
        <w:kinsoku/>
        <w:overflowPunct/>
        <w:topLinePunct w:val="0"/>
        <w:bidi w:val="0"/>
        <w:spacing w:line="360" w:lineRule="auto"/>
        <w:ind w:left="1995" w:leftChars="950"/>
        <w:rPr>
          <w:rFonts w:ascii="宋体" w:hAnsi="宋体" w:cs="宋体"/>
          <w:color w:val="auto"/>
          <w:highlight w:val="none"/>
          <w:u w:val="single"/>
        </w:rPr>
      </w:pPr>
      <w:r>
        <w:rPr>
          <w:rFonts w:hint="eastAsia" w:ascii="宋体" w:hAnsi="宋体" w:cs="宋体"/>
          <w:color w:val="auto"/>
          <w:highlight w:val="none"/>
        </w:rPr>
        <w:t>单位地址：</w:t>
      </w:r>
      <w:r>
        <w:rPr>
          <w:rFonts w:hint="eastAsia" w:ascii="宋体" w:hAnsi="宋体" w:cs="宋体"/>
          <w:color w:val="auto"/>
          <w:highlight w:val="none"/>
          <w:u w:val="single"/>
        </w:rPr>
        <w:t xml:space="preserve">                   </w:t>
      </w:r>
    </w:p>
    <w:p w14:paraId="7BE14631">
      <w:pPr>
        <w:shd w:val="clear"/>
        <w:kinsoku/>
        <w:overflowPunct/>
        <w:topLinePunct w:val="0"/>
        <w:bidi w:val="0"/>
        <w:spacing w:line="360" w:lineRule="auto"/>
        <w:ind w:left="1995" w:leftChars="950"/>
        <w:rPr>
          <w:rFonts w:ascii="宋体" w:hAnsi="宋体" w:cs="宋体"/>
          <w:color w:val="auto"/>
          <w:highlight w:val="none"/>
          <w:u w:val="single"/>
        </w:rPr>
      </w:pPr>
      <w:r>
        <w:rPr>
          <w:rFonts w:hint="eastAsia" w:ascii="宋体" w:hAnsi="宋体" w:cs="宋体"/>
          <w:color w:val="auto"/>
          <w:highlight w:val="none"/>
        </w:rPr>
        <w:t xml:space="preserve">联系电话：   </w:t>
      </w:r>
      <w:r>
        <w:rPr>
          <w:rFonts w:hint="eastAsia" w:ascii="宋体" w:hAnsi="宋体" w:cs="宋体"/>
          <w:color w:val="auto"/>
          <w:highlight w:val="none"/>
          <w:u w:val="single"/>
        </w:rPr>
        <w:t xml:space="preserve">                </w:t>
      </w:r>
    </w:p>
    <w:p w14:paraId="4E2394B1">
      <w:pPr>
        <w:shd w:val="clear"/>
        <w:kinsoku/>
        <w:overflowPunct/>
        <w:topLinePunct w:val="0"/>
        <w:bidi w:val="0"/>
        <w:spacing w:line="360" w:lineRule="auto"/>
        <w:ind w:left="1995" w:leftChars="950"/>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年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月 </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755CA523">
      <w:pPr>
        <w:shd w:val="clear"/>
        <w:kinsoku/>
        <w:overflowPunct/>
        <w:topLinePunct w:val="0"/>
        <w:bidi w:val="0"/>
        <w:rPr>
          <w:color w:val="auto"/>
          <w:highlight w:val="none"/>
        </w:rPr>
      </w:pPr>
    </w:p>
    <w:p w14:paraId="72C5D4E1">
      <w:pPr>
        <w:shd w:val="clear"/>
        <w:kinsoku/>
        <w:overflowPunct/>
        <w:topLinePunct w:val="0"/>
        <w:bidi w:val="0"/>
        <w:spacing w:line="360" w:lineRule="auto"/>
        <w:rPr>
          <w:rFonts w:ascii="宋体" w:hAnsi="宋体" w:cs="宋体"/>
          <w:b/>
          <w:color w:val="auto"/>
          <w:sz w:val="28"/>
          <w:szCs w:val="28"/>
          <w:highlight w:val="none"/>
        </w:rPr>
      </w:pPr>
    </w:p>
    <w:p w14:paraId="4C603133">
      <w:pPr>
        <w:shd w:val="clear"/>
        <w:kinsoku/>
        <w:overflowPunct/>
        <w:topLinePunct w:val="0"/>
        <w:bidi w:val="0"/>
        <w:spacing w:line="360" w:lineRule="auto"/>
        <w:rPr>
          <w:rFonts w:ascii="宋体" w:hAnsi="宋体" w:cs="宋体"/>
          <w:b/>
          <w:color w:val="auto"/>
          <w:sz w:val="28"/>
          <w:szCs w:val="28"/>
          <w:highlight w:val="none"/>
        </w:rPr>
      </w:pPr>
    </w:p>
    <w:p w14:paraId="3572424B">
      <w:pPr>
        <w:rPr>
          <w:rFonts w:hint="eastAsia" w:ascii="宋体" w:hAnsi="宋体" w:eastAsia="宋体" w:cs="宋体"/>
          <w:color w:val="auto"/>
          <w:highlight w:val="none"/>
        </w:rPr>
      </w:pPr>
      <w:bookmarkStart w:id="73" w:name="_Toc31498"/>
      <w:r>
        <w:rPr>
          <w:rFonts w:hint="eastAsia" w:ascii="宋体" w:hAnsi="宋体" w:eastAsia="宋体" w:cs="宋体"/>
          <w:color w:val="auto"/>
          <w:highlight w:val="none"/>
        </w:rPr>
        <w:br w:type="page"/>
      </w:r>
    </w:p>
    <w:p w14:paraId="148EF1F4">
      <w:pPr>
        <w:pStyle w:val="6"/>
        <w:shd w:val="clear"/>
        <w:kinsoku/>
        <w:overflowPunct/>
        <w:topLinePunct w:val="0"/>
        <w:bidi w:val="0"/>
        <w:spacing w:before="0" w:after="0"/>
        <w:rPr>
          <w:rFonts w:ascii="宋体" w:hAnsi="宋体" w:eastAsia="宋体" w:cs="宋体"/>
          <w:color w:val="auto"/>
          <w:highlight w:val="none"/>
        </w:rPr>
      </w:pPr>
      <w:bookmarkStart w:id="74" w:name="_Toc15134"/>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六</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招标单位、招标代理机构对本招标文件的确认</w:t>
      </w:r>
      <w:bookmarkEnd w:id="73"/>
      <w:bookmarkEnd w:id="74"/>
    </w:p>
    <w:tbl>
      <w:tblPr>
        <w:tblStyle w:val="47"/>
        <w:tblW w:w="968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9"/>
      </w:tblGrid>
      <w:tr w14:paraId="0728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7" w:hRule="atLeast"/>
        </w:trPr>
        <w:tc>
          <w:tcPr>
            <w:tcW w:w="9689" w:type="dxa"/>
          </w:tcPr>
          <w:p w14:paraId="4529ED77">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default" w:ascii="宋体" w:hAnsi="宋体" w:cs="宋体"/>
                <w:color w:val="auto"/>
                <w:sz w:val="28"/>
                <w:szCs w:val="28"/>
                <w:highlight w:val="none"/>
              </w:rPr>
            </w:pPr>
          </w:p>
          <w:p w14:paraId="08F5EDE0">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default" w:ascii="宋体" w:hAnsi="宋体" w:cs="宋体"/>
                <w:color w:val="auto"/>
                <w:sz w:val="28"/>
                <w:szCs w:val="28"/>
                <w:highlight w:val="none"/>
              </w:rPr>
            </w:pPr>
            <w:r>
              <w:rPr>
                <w:rFonts w:hint="eastAsia" w:ascii="宋体" w:hAnsi="宋体" w:cs="宋体"/>
                <w:color w:val="auto"/>
                <w:sz w:val="28"/>
                <w:szCs w:val="28"/>
                <w:highlight w:val="none"/>
              </w:rPr>
              <w:t>我单位对</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eastAsia="zh-CN"/>
              </w:rPr>
              <w:t>琅琊山欧阳修家风家训文旅综合体项目造价复审</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的招标文件进行确认。</w:t>
            </w:r>
          </w:p>
          <w:p w14:paraId="7BAD7C9D">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招</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标</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人：</w:t>
            </w:r>
            <w:r>
              <w:rPr>
                <w:rFonts w:hint="eastAsia" w:ascii="宋体" w:hAnsi="宋体" w:cs="宋体"/>
                <w:color w:val="auto"/>
                <w:sz w:val="28"/>
                <w:szCs w:val="28"/>
                <w:highlight w:val="none"/>
                <w:lang w:eastAsia="zh-CN"/>
              </w:rPr>
              <w:t>安徽省琅琊山旅游发展有限公司</w:t>
            </w:r>
          </w:p>
          <w:p w14:paraId="26EBD677">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联</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系</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人：</w:t>
            </w:r>
            <w:r>
              <w:rPr>
                <w:rFonts w:hint="eastAsia" w:ascii="宋体" w:hAnsi="宋体" w:cs="宋体"/>
                <w:color w:val="auto"/>
                <w:sz w:val="28"/>
                <w:szCs w:val="28"/>
                <w:highlight w:val="none"/>
                <w:lang w:eastAsia="zh-CN"/>
              </w:rPr>
              <w:t xml:space="preserve">代工 </w:t>
            </w:r>
          </w:p>
          <w:p w14:paraId="7D165A91">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联系方式：</w:t>
            </w:r>
            <w:r>
              <w:rPr>
                <w:rFonts w:hint="eastAsia" w:ascii="宋体" w:hAnsi="宋体" w:cs="宋体"/>
                <w:color w:val="auto"/>
                <w:sz w:val="28"/>
                <w:szCs w:val="28"/>
                <w:highlight w:val="none"/>
                <w:lang w:eastAsia="zh-CN"/>
              </w:rPr>
              <w:t>0550-3525595</w:t>
            </w:r>
          </w:p>
          <w:p w14:paraId="01296EF1">
            <w:pPr>
              <w:keepNext w:val="0"/>
              <w:keepLines w:val="0"/>
              <w:suppressLineNumbers w:val="0"/>
              <w:shd w:val="clear"/>
              <w:kinsoku/>
              <w:overflowPunct/>
              <w:topLinePunct w:val="0"/>
              <w:bidi w:val="0"/>
              <w:spacing w:before="0" w:beforeAutospacing="0" w:after="0" w:afterAutospacing="0" w:line="500" w:lineRule="exact"/>
              <w:ind w:left="0" w:right="0" w:firstLine="281" w:firstLineChars="100"/>
              <w:rPr>
                <w:rFonts w:hint="default" w:ascii="宋体" w:hAnsi="宋体" w:cs="宋体"/>
                <w:b/>
                <w:bCs/>
                <w:color w:val="auto"/>
                <w:sz w:val="28"/>
                <w:szCs w:val="28"/>
                <w:highlight w:val="none"/>
              </w:rPr>
            </w:pPr>
          </w:p>
          <w:p w14:paraId="3AF8C7A9">
            <w:pPr>
              <w:keepNext w:val="0"/>
              <w:keepLines w:val="0"/>
              <w:suppressLineNumbers w:val="0"/>
              <w:shd w:val="clear"/>
              <w:kinsoku/>
              <w:overflowPunct/>
              <w:topLinePunct w:val="0"/>
              <w:bidi w:val="0"/>
              <w:spacing w:before="0" w:beforeAutospacing="0" w:after="0" w:afterAutospacing="0" w:line="500" w:lineRule="exact"/>
              <w:ind w:left="0" w:right="0" w:firstLine="280" w:firstLineChars="100"/>
              <w:rPr>
                <w:rFonts w:hint="default" w:ascii="宋体" w:hAnsi="宋体" w:cs="宋体"/>
                <w:color w:val="auto"/>
                <w:sz w:val="28"/>
                <w:szCs w:val="28"/>
                <w:highlight w:val="none"/>
              </w:rPr>
            </w:pPr>
            <w:r>
              <w:rPr>
                <w:rFonts w:hint="eastAsia" w:ascii="宋体" w:hAnsi="宋体" w:cs="宋体"/>
                <w:color w:val="auto"/>
                <w:sz w:val="28"/>
                <w:szCs w:val="28"/>
                <w:highlight w:val="none"/>
              </w:rPr>
              <w:t xml:space="preserve">                                      （单位盖章）</w:t>
            </w:r>
          </w:p>
          <w:p w14:paraId="7052ABAB">
            <w:pPr>
              <w:keepNext w:val="0"/>
              <w:keepLines w:val="0"/>
              <w:suppressLineNumbers w:val="0"/>
              <w:shd w:val="clear"/>
              <w:kinsoku/>
              <w:overflowPunct/>
              <w:topLinePunct w:val="0"/>
              <w:bidi w:val="0"/>
              <w:spacing w:before="0" w:beforeAutospacing="0" w:after="0" w:afterAutospacing="0"/>
              <w:ind w:left="0" w:right="0" w:firstLine="5320" w:firstLineChars="19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 xml:space="preserve"> </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lang w:eastAsia="zh-CN"/>
              </w:rPr>
              <w:t>2026年</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lang w:eastAsia="zh-CN"/>
              </w:rPr>
              <w:t>月</w:t>
            </w:r>
          </w:p>
        </w:tc>
      </w:tr>
      <w:tr w14:paraId="3561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1" w:hRule="atLeast"/>
        </w:trPr>
        <w:tc>
          <w:tcPr>
            <w:tcW w:w="9689" w:type="dxa"/>
          </w:tcPr>
          <w:p w14:paraId="382C3CEC">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default" w:ascii="宋体" w:hAnsi="宋体" w:cs="宋体"/>
                <w:color w:val="auto"/>
                <w:sz w:val="28"/>
                <w:szCs w:val="28"/>
                <w:highlight w:val="none"/>
              </w:rPr>
            </w:pPr>
          </w:p>
          <w:p w14:paraId="15B8CAF9">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default" w:ascii="宋体" w:hAnsi="宋体" w:cs="宋体"/>
                <w:color w:val="auto"/>
                <w:sz w:val="28"/>
                <w:szCs w:val="28"/>
                <w:highlight w:val="none"/>
              </w:rPr>
            </w:pPr>
            <w:r>
              <w:rPr>
                <w:rFonts w:hint="eastAsia" w:ascii="宋体" w:hAnsi="宋体" w:cs="宋体"/>
                <w:color w:val="auto"/>
                <w:sz w:val="28"/>
                <w:szCs w:val="28"/>
                <w:highlight w:val="none"/>
              </w:rPr>
              <w:t>招标代理机构：滁州市城投工程咨询管理有限公司</w:t>
            </w:r>
          </w:p>
          <w:p w14:paraId="770D87F2">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联</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系</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人：</w:t>
            </w:r>
            <w:r>
              <w:rPr>
                <w:rFonts w:hint="eastAsia" w:ascii="宋体" w:hAnsi="宋体" w:cs="宋体"/>
                <w:color w:val="auto"/>
                <w:sz w:val="28"/>
                <w:szCs w:val="28"/>
                <w:highlight w:val="none"/>
                <w:lang w:eastAsia="zh-CN"/>
              </w:rPr>
              <w:t>胡国庆</w:t>
            </w:r>
          </w:p>
          <w:p w14:paraId="463354BD">
            <w:pPr>
              <w:keepNext w:val="0"/>
              <w:keepLines w:val="0"/>
              <w:suppressLineNumbers w:val="0"/>
              <w:shd w:val="clear"/>
              <w:kinsoku/>
              <w:overflowPunct/>
              <w:topLinePunct w:val="0"/>
              <w:bidi w:val="0"/>
              <w:spacing w:before="0" w:beforeAutospacing="0" w:after="0" w:afterAutospacing="0" w:line="320" w:lineRule="atLeas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联系电话：0550-3519517、18005500950</w:t>
            </w:r>
          </w:p>
          <w:p w14:paraId="59E7240B">
            <w:pPr>
              <w:keepNext w:val="0"/>
              <w:keepLines w:val="0"/>
              <w:suppressLineNumbers w:val="0"/>
              <w:shd w:val="clear"/>
              <w:kinsoku/>
              <w:overflowPunct/>
              <w:topLinePunct w:val="0"/>
              <w:bidi w:val="0"/>
              <w:spacing w:before="0" w:beforeAutospacing="0" w:after="0" w:afterAutospacing="0"/>
              <w:ind w:left="0" w:right="0"/>
              <w:rPr>
                <w:rFonts w:hint="default" w:ascii="宋体" w:hAnsi="宋体" w:cs="宋体"/>
                <w:color w:val="auto"/>
                <w:sz w:val="28"/>
                <w:szCs w:val="28"/>
                <w:highlight w:val="none"/>
              </w:rPr>
            </w:pPr>
          </w:p>
          <w:p w14:paraId="28D50A4B">
            <w:pPr>
              <w:keepNext w:val="0"/>
              <w:keepLines w:val="0"/>
              <w:suppressLineNumbers w:val="0"/>
              <w:shd w:val="clear"/>
              <w:kinsoku/>
              <w:overflowPunct/>
              <w:topLinePunct w:val="0"/>
              <w:bidi w:val="0"/>
              <w:spacing w:before="0" w:beforeAutospacing="0" w:after="0" w:afterAutospacing="0"/>
              <w:ind w:left="0" w:right="0" w:firstLine="5040" w:firstLineChars="1800"/>
              <w:rPr>
                <w:rFonts w:hint="default" w:ascii="宋体" w:hAnsi="宋体" w:cs="宋体"/>
                <w:color w:val="auto"/>
                <w:sz w:val="28"/>
                <w:szCs w:val="28"/>
                <w:highlight w:val="none"/>
              </w:rPr>
            </w:pPr>
          </w:p>
          <w:p w14:paraId="3D77CFDC">
            <w:pPr>
              <w:keepNext w:val="0"/>
              <w:keepLines w:val="0"/>
              <w:suppressLineNumbers w:val="0"/>
              <w:shd w:val="clear"/>
              <w:kinsoku/>
              <w:overflowPunct/>
              <w:topLinePunct w:val="0"/>
              <w:bidi w:val="0"/>
              <w:spacing w:before="0" w:beforeAutospacing="0" w:after="0" w:afterAutospacing="0"/>
              <w:ind w:left="0" w:right="0" w:firstLine="5320" w:firstLineChars="1900"/>
              <w:rPr>
                <w:rFonts w:hint="default" w:ascii="宋体" w:hAnsi="宋体" w:cs="宋体"/>
                <w:color w:val="auto"/>
                <w:sz w:val="28"/>
                <w:szCs w:val="28"/>
                <w:highlight w:val="none"/>
              </w:rPr>
            </w:pPr>
            <w:r>
              <w:rPr>
                <w:rFonts w:hint="eastAsia" w:ascii="宋体" w:hAnsi="宋体" w:cs="宋体"/>
                <w:color w:val="auto"/>
                <w:sz w:val="28"/>
                <w:szCs w:val="28"/>
                <w:highlight w:val="none"/>
              </w:rPr>
              <w:t xml:space="preserve">  （单位盖章）</w:t>
            </w:r>
          </w:p>
          <w:p w14:paraId="78C3725A">
            <w:pPr>
              <w:keepNext w:val="0"/>
              <w:keepLines w:val="0"/>
              <w:suppressLineNumbers w:val="0"/>
              <w:shd w:val="clear"/>
              <w:kinsoku/>
              <w:overflowPunct/>
              <w:topLinePunct w:val="0"/>
              <w:bidi w:val="0"/>
              <w:spacing w:before="0" w:beforeAutospacing="0" w:after="0" w:afterAutospacing="0"/>
              <w:ind w:left="0" w:right="0" w:firstLine="4900" w:firstLineChars="175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 xml:space="preserve"> </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 xml:space="preserve"> </w:t>
            </w:r>
            <w:r>
              <w:rPr>
                <w:rFonts w:hint="eastAsia" w:ascii="宋体" w:hAnsi="宋体" w:cs="宋体"/>
                <w:color w:val="auto"/>
                <w:sz w:val="28"/>
                <w:szCs w:val="28"/>
                <w:highlight w:val="none"/>
                <w:lang w:eastAsia="zh-CN"/>
              </w:rPr>
              <w:t>2026年</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lang w:eastAsia="zh-CN"/>
              </w:rPr>
              <w:t>月</w:t>
            </w:r>
          </w:p>
        </w:tc>
      </w:tr>
    </w:tbl>
    <w:p w14:paraId="1938A962">
      <w:pPr>
        <w:pStyle w:val="20"/>
        <w:shd w:val="clear"/>
        <w:kinsoku/>
        <w:overflowPunct/>
        <w:topLinePunct w:val="0"/>
        <w:bidi w:val="0"/>
        <w:jc w:val="left"/>
        <w:rPr>
          <w:rFonts w:ascii="宋体" w:hAnsi="宋体" w:cs="宋体"/>
          <w:color w:val="auto"/>
          <w:kern w:val="0"/>
          <w:sz w:val="24"/>
          <w:szCs w:val="24"/>
          <w:highlight w:val="none"/>
        </w:rPr>
      </w:pPr>
    </w:p>
    <w:p w14:paraId="7DA98341">
      <w:pPr>
        <w:pStyle w:val="20"/>
        <w:shd w:val="clear"/>
        <w:kinsoku/>
        <w:overflowPunct/>
        <w:topLinePunct w:val="0"/>
        <w:bidi w:val="0"/>
        <w:jc w:val="left"/>
        <w:rPr>
          <w:rFonts w:ascii="宋体" w:hAnsi="宋体" w:cs="宋体"/>
          <w:color w:val="auto"/>
          <w:kern w:val="0"/>
          <w:sz w:val="24"/>
          <w:szCs w:val="24"/>
          <w:highlight w:val="none"/>
        </w:rPr>
      </w:pPr>
    </w:p>
    <w:p w14:paraId="04402F8C">
      <w:pPr>
        <w:pStyle w:val="20"/>
        <w:shd w:val="clear"/>
        <w:kinsoku/>
        <w:overflowPunct/>
        <w:topLinePunct w:val="0"/>
        <w:bidi w:val="0"/>
        <w:jc w:val="left"/>
        <w:rPr>
          <w:rFonts w:ascii="宋体" w:hAnsi="宋体" w:cs="宋体"/>
          <w:color w:val="auto"/>
          <w:kern w:val="0"/>
          <w:sz w:val="24"/>
          <w:szCs w:val="24"/>
          <w:highlight w:val="none"/>
        </w:rPr>
      </w:pPr>
    </w:p>
    <w:p w14:paraId="2334A2D7">
      <w:pPr>
        <w:pStyle w:val="20"/>
        <w:shd w:val="clear"/>
        <w:kinsoku/>
        <w:overflowPunct/>
        <w:topLinePunct w:val="0"/>
        <w:bidi w:val="0"/>
        <w:jc w:val="left"/>
        <w:rPr>
          <w:rFonts w:ascii="宋体" w:hAnsi="宋体" w:cs="宋体"/>
          <w:color w:val="auto"/>
          <w:kern w:val="0"/>
          <w:sz w:val="24"/>
          <w:szCs w:val="24"/>
          <w:highlight w:val="none"/>
        </w:rPr>
      </w:pPr>
    </w:p>
    <w:sectPr>
      <w:footerReference r:id="rId7" w:type="default"/>
      <w:pgSz w:w="11906" w:h="16838"/>
      <w:pgMar w:top="935" w:right="1106" w:bottom="936" w:left="1259" w:header="680" w:footer="680"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0" w:usb3="00000000" w:csb0="00000093"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D1963">
    <w:pPr>
      <w:pStyle w:val="32"/>
      <w:rPr>
        <w:rStyle w:val="51"/>
      </w:rPr>
    </w:pPr>
  </w:p>
  <w:p w14:paraId="5D84DB25">
    <w:pPr>
      <w:pStyle w:val="3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48398CE"/>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48398CE"/>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B6CF5">
    <w:pPr>
      <w:pStyle w:val="32"/>
      <w:tabs>
        <w:tab w:val="center" w:pos="7483"/>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BC6CA28">
                          <w:pPr>
                            <w:pStyle w:val="3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K+1NABAACqAwAADgAAAGRycy9lMm9Eb2MueG1srVPNjtMwEL4j8Q6W&#10;7zRpV1pVUdMVqFqEhABp4QFcZ9JY8p88bpO+ALwBJy7cea4+B2Mn6cJy2QMXZ/78zXyfJ5u7wWh2&#10;goDK2ZovFyVnYKVrlD3U/Mvn+1drzjAK2wjtLNT8DMjvti9fbHpfwcp1TjcQGIFYrHpf8y5GXxUF&#10;yg6MwIXzYCnZumBEJDcciiaIntCNLlZleVv0LjQ+OAmIFN2NST4hhucAurZVEnZOHg3YOKIG0CIS&#10;JeyUR77N07YtyPixbREi0zUnpjGf1ITsfTqL7UZUhyB8p+Q0gnjOCE84GaEsNb1C7UQU7BjUP1BG&#10;yeDQtXEhnSlGIlkRYrEsn2jz0AkPmQtJjf4qOv4/WPnh9Ckw1dT8ljMrDD345fu3y49fl59f2bK8&#10;uUkK9R4rKnzwVBqHN26gvZnjSMFEfGiDSV+ixChP+p6v+sIQmUyX1qv1uqSUpNzsEH7xeN0HjG/B&#10;GZaMmgd6wKyrOL3HOJbOJambdfdK6/yI2v4VIMwxAnkLptuJyThxsuKwHyZ6e9eciV1Pm1BzS4vP&#10;mX5nSei0NLMRZmM/G0cf1KGjQZd5SvSvj5FGypOmDiMsMUwOPWHmOq1b2pE//Vz1+It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mK+1NABAACqAwAADgAAAAAAAAABACAAAAAeAQAAZHJz&#10;L2Uyb0RvYy54bWxQSwUGAAAAAAYABgBZAQAAYAUAAAAA&#10;">
              <v:fill on="f" focussize="0,0"/>
              <v:stroke on="f"/>
              <v:imagedata o:title=""/>
              <o:lock v:ext="edit" aspectratio="f"/>
              <v:textbox inset="0mm,0mm,0mm,0mm" style="mso-fit-shape-to-text:t;">
                <w:txbxContent>
                  <w:p w14:paraId="5BC6CA28">
                    <w:pPr>
                      <w:pStyle w:val="32"/>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36BBF">
    <w:pPr>
      <w:pStyle w:val="32"/>
      <w:rPr>
        <w:rStyle w:val="51"/>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49530">
                          <w:pPr>
                            <w:pStyle w:val="3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71B49530">
                    <w:pPr>
                      <w:pStyle w:val="32"/>
                    </w:pPr>
                    <w:r>
                      <w:fldChar w:fldCharType="begin"/>
                    </w:r>
                    <w:r>
                      <w:instrText xml:space="preserve"> PAGE  \* MERGEFORMAT </w:instrText>
                    </w:r>
                    <w:r>
                      <w:fldChar w:fldCharType="separate"/>
                    </w:r>
                    <w:r>
                      <w:t>49</w:t>
                    </w:r>
                    <w:r>
                      <w:fldChar w:fldCharType="end"/>
                    </w:r>
                  </w:p>
                </w:txbxContent>
              </v:textbox>
            </v:shape>
          </w:pict>
        </mc:Fallback>
      </mc:AlternateContent>
    </w:r>
  </w:p>
  <w:p w14:paraId="0772803E">
    <w:pPr>
      <w:pStyle w:val="32"/>
      <w:ind w:right="360"/>
      <w:rPr>
        <w:kern w:val="0"/>
      </w:rPr>
    </w:pPr>
    <w:r>
      <mc:AlternateContent>
        <mc:Choice Requires="wps">
          <w:drawing>
            <wp:anchor distT="0" distB="0" distL="114300" distR="114300" simplePos="0" relativeHeight="251662336"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3"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3E88CF4E"/>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62336;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Fn6JTuQEAAHUDAAAOAAAAZHJzL2Uyb0RvYy54bWyt&#10;U0tu2zAQ3RfoHQjua1oK0jqC5WyMBAGKNkCaA9AUZRHgD0Paki/Q3qCrbrrvuXyODinZSdNNFtlQ&#10;j8Phm3lvqOX1YDTZSwjK2ZoWszkl0grXKLut6eO3mw8LSkLktuHaWVnTgwz0evX+3bL3lSxd53Qj&#10;gSCJDVXva9rF6CvGguik4WHmvLR42DowPOIWtqwB3iO70ayczz+y3kHjwQkZAkbX4yGdGOE1hK5t&#10;lZBrJ3ZG2jiygtQ8oqTQKR/oKnfbtlLEr20bZCS6pqg05hWLIN6kla2WvNoC950SUwv8NS280GS4&#10;slj0TLXmkZMdqP+ojBLggmvjTDjDRiHZEVRRzF9489BxL7MWtDr4s+nh7WjFl/09ENXU9IISyw0O&#10;/Pjzx/HXn+Pv72Vyp/ehwqQHfw/TLiBMUocWTPqiCDJkRw9nR+UQicBgUS4uF58uKRF4VlwtijJb&#10;zp5uewjxVjpDEqgp4MSykXz/OUSsiKmnlFTMuhuldZ6atv8EMHGMyDz26XZqf2w4oThshknFxjUH&#10;VK7vLLqZXsYJwAlsTmDnQW07bK5IhrBEhNPIrU0vJ437+T5nPf0tq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JLHcS2gAAAAkBAAAPAAAAAAAAAAEAIAAAACIAAABkcnMvZG93bnJldi54bWxQSwEC&#10;FAAUAAAACACHTuJABZ+iU7kBAAB1AwAADgAAAAAAAAABACAAAAApAQAAZHJzL2Uyb0RvYy54bWxQ&#10;SwUGAAAAAAYABgBZAQAAVAUAAAAA&#10;">
              <v:fill on="f" focussize="0,0"/>
              <v:stroke on="f"/>
              <v:imagedata o:title=""/>
              <o:lock v:ext="edit" aspectratio="f"/>
              <v:textbox inset="0mm,0mm,0mm,0mm">
                <w:txbxContent>
                  <w:p w14:paraId="3E88CF4E"/>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B3D3D">
    <w:pPr>
      <w:pStyle w:val="32"/>
      <w:rPr>
        <w:rStyle w:val="51"/>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D460E">
                          <w:pPr>
                            <w:pStyle w:val="32"/>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AFD460E">
                    <w:pPr>
                      <w:pStyle w:val="32"/>
                    </w:pPr>
                    <w:r>
                      <w:fldChar w:fldCharType="begin"/>
                    </w:r>
                    <w:r>
                      <w:instrText xml:space="preserve"> PAGE  \* MERGEFORMAT </w:instrText>
                    </w:r>
                    <w:r>
                      <w:fldChar w:fldCharType="separate"/>
                    </w:r>
                    <w:r>
                      <w:t>53</w:t>
                    </w:r>
                    <w:r>
                      <w:fldChar w:fldCharType="end"/>
                    </w:r>
                  </w:p>
                </w:txbxContent>
              </v:textbox>
            </v:shape>
          </w:pict>
        </mc:Fallback>
      </mc:AlternateContent>
    </w:r>
  </w:p>
  <w:p w14:paraId="3CFF3092">
    <w:pPr>
      <w:pStyle w:val="32"/>
      <w:ind w:right="360"/>
      <w:rPr>
        <w:kern w:val="0"/>
      </w:rPr>
    </w:pPr>
    <w:r>
      <mc:AlternateContent>
        <mc:Choice Requires="wps">
          <w:drawing>
            <wp:anchor distT="0" distB="0" distL="114300" distR="114300" simplePos="0" relativeHeight="251660288"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8"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02980278"/>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60288;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ipzAr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i2B23OPDz&#10;92/nH7/OP7/W2Z0hxAaTHsI9zLuIMEsdFdj8RRFkLI6ero7KMRGBwape3aze3FAi8Kx6u6rqYjl7&#10;vB0gpnfSW5JBSwEnVozkxw8xYUVMvaTkYs7faWPK1Iz7K4CJU0SWsc+3c/tTwxmlcTfOKna+O6Fy&#10;896hm/llXABcwO4CDgH0vsfmqmwIy0Q4jdLa/HLyuP/cl6zHv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ipzAruAEAAHUDAAAOAAAAAAAAAAEAIAAAACkBAABkcnMvZTJvRG9jLnhtbFBL&#10;BQYAAAAABgAGAFkBAABTBQAAAAA=&#10;">
              <v:fill on="f" focussize="0,0"/>
              <v:stroke on="f"/>
              <v:imagedata o:title=""/>
              <o:lock v:ext="edit" aspectratio="f"/>
              <v:textbox inset="0mm,0mm,0mm,0mm">
                <w:txbxContent>
                  <w:p w14:paraId="02980278"/>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422A8">
    <w:pPr>
      <w:pStyle w:val="3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oNotHyphenateCaps/>
  <w:drawingGridVerticalSpacing w:val="159"/>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MDNjMmIyODczM2YwMGZkZTNjYWY1NjIxZTY5YjcifQ=="/>
  </w:docVars>
  <w:rsids>
    <w:rsidRoot w:val="00277DEA"/>
    <w:rsid w:val="0003766C"/>
    <w:rsid w:val="000407AC"/>
    <w:rsid w:val="00040A78"/>
    <w:rsid w:val="00057816"/>
    <w:rsid w:val="000E13AD"/>
    <w:rsid w:val="00131FFF"/>
    <w:rsid w:val="00135312"/>
    <w:rsid w:val="00144E2C"/>
    <w:rsid w:val="001643AB"/>
    <w:rsid w:val="0016450D"/>
    <w:rsid w:val="00167413"/>
    <w:rsid w:val="00194905"/>
    <w:rsid w:val="001A591F"/>
    <w:rsid w:val="001C6848"/>
    <w:rsid w:val="001D4B0B"/>
    <w:rsid w:val="001F10F0"/>
    <w:rsid w:val="00217AF2"/>
    <w:rsid w:val="00217EB9"/>
    <w:rsid w:val="00217FF1"/>
    <w:rsid w:val="0023383D"/>
    <w:rsid w:val="00252D6D"/>
    <w:rsid w:val="00253B24"/>
    <w:rsid w:val="00270071"/>
    <w:rsid w:val="002740D6"/>
    <w:rsid w:val="00274549"/>
    <w:rsid w:val="00277DEA"/>
    <w:rsid w:val="00286B4E"/>
    <w:rsid w:val="002A2969"/>
    <w:rsid w:val="002C40D1"/>
    <w:rsid w:val="002E76AA"/>
    <w:rsid w:val="002F38FE"/>
    <w:rsid w:val="00313EF1"/>
    <w:rsid w:val="00332C02"/>
    <w:rsid w:val="00336837"/>
    <w:rsid w:val="00370095"/>
    <w:rsid w:val="0037519A"/>
    <w:rsid w:val="003776B6"/>
    <w:rsid w:val="003A3D22"/>
    <w:rsid w:val="003C11CB"/>
    <w:rsid w:val="003D00F9"/>
    <w:rsid w:val="003E18D3"/>
    <w:rsid w:val="003E616C"/>
    <w:rsid w:val="004108BC"/>
    <w:rsid w:val="00410ABB"/>
    <w:rsid w:val="00411EFB"/>
    <w:rsid w:val="00430081"/>
    <w:rsid w:val="0045352B"/>
    <w:rsid w:val="004806E1"/>
    <w:rsid w:val="004943F2"/>
    <w:rsid w:val="004D7A32"/>
    <w:rsid w:val="004F10A4"/>
    <w:rsid w:val="004F5FF3"/>
    <w:rsid w:val="00523372"/>
    <w:rsid w:val="00544FBB"/>
    <w:rsid w:val="00555AF7"/>
    <w:rsid w:val="0057728D"/>
    <w:rsid w:val="00587AEB"/>
    <w:rsid w:val="005D26BD"/>
    <w:rsid w:val="005F02AC"/>
    <w:rsid w:val="005F4D1F"/>
    <w:rsid w:val="006008C2"/>
    <w:rsid w:val="00600A1A"/>
    <w:rsid w:val="00613B3B"/>
    <w:rsid w:val="00635236"/>
    <w:rsid w:val="00640C59"/>
    <w:rsid w:val="006412B4"/>
    <w:rsid w:val="00643128"/>
    <w:rsid w:val="006B2CC6"/>
    <w:rsid w:val="006E2124"/>
    <w:rsid w:val="006E24A2"/>
    <w:rsid w:val="006F1EB8"/>
    <w:rsid w:val="00741311"/>
    <w:rsid w:val="00762DC1"/>
    <w:rsid w:val="007701C5"/>
    <w:rsid w:val="0077045D"/>
    <w:rsid w:val="00770C15"/>
    <w:rsid w:val="007E581B"/>
    <w:rsid w:val="008052CD"/>
    <w:rsid w:val="008057AF"/>
    <w:rsid w:val="00806B50"/>
    <w:rsid w:val="00806DEB"/>
    <w:rsid w:val="00851221"/>
    <w:rsid w:val="008706BB"/>
    <w:rsid w:val="008801B2"/>
    <w:rsid w:val="008A410F"/>
    <w:rsid w:val="008A7CE2"/>
    <w:rsid w:val="008B45BE"/>
    <w:rsid w:val="008B6AF2"/>
    <w:rsid w:val="008C044F"/>
    <w:rsid w:val="008C7B90"/>
    <w:rsid w:val="008E0BFB"/>
    <w:rsid w:val="008F24D9"/>
    <w:rsid w:val="009148C9"/>
    <w:rsid w:val="00916805"/>
    <w:rsid w:val="0093540E"/>
    <w:rsid w:val="009430F7"/>
    <w:rsid w:val="009548E3"/>
    <w:rsid w:val="009D69A7"/>
    <w:rsid w:val="009E2CB7"/>
    <w:rsid w:val="009E7795"/>
    <w:rsid w:val="009F052A"/>
    <w:rsid w:val="009F2331"/>
    <w:rsid w:val="00A109CD"/>
    <w:rsid w:val="00A11EEC"/>
    <w:rsid w:val="00A364A9"/>
    <w:rsid w:val="00A74A67"/>
    <w:rsid w:val="00A92252"/>
    <w:rsid w:val="00A95FC8"/>
    <w:rsid w:val="00AA6310"/>
    <w:rsid w:val="00B21B8E"/>
    <w:rsid w:val="00B3371B"/>
    <w:rsid w:val="00B5033A"/>
    <w:rsid w:val="00B70361"/>
    <w:rsid w:val="00B86725"/>
    <w:rsid w:val="00BB5EA4"/>
    <w:rsid w:val="00BC093E"/>
    <w:rsid w:val="00BD122C"/>
    <w:rsid w:val="00C04D5A"/>
    <w:rsid w:val="00C149B4"/>
    <w:rsid w:val="00C522F7"/>
    <w:rsid w:val="00C56491"/>
    <w:rsid w:val="00C77D9B"/>
    <w:rsid w:val="00C959B4"/>
    <w:rsid w:val="00CA1188"/>
    <w:rsid w:val="00CA283F"/>
    <w:rsid w:val="00CB14DC"/>
    <w:rsid w:val="00CC06A5"/>
    <w:rsid w:val="00CD2E86"/>
    <w:rsid w:val="00CD6B6D"/>
    <w:rsid w:val="00CE7E79"/>
    <w:rsid w:val="00CF2E1F"/>
    <w:rsid w:val="00CF524A"/>
    <w:rsid w:val="00CF5B3F"/>
    <w:rsid w:val="00D05A15"/>
    <w:rsid w:val="00D07052"/>
    <w:rsid w:val="00D2599B"/>
    <w:rsid w:val="00D27C1C"/>
    <w:rsid w:val="00D32138"/>
    <w:rsid w:val="00D50ADE"/>
    <w:rsid w:val="00D50E64"/>
    <w:rsid w:val="00D67520"/>
    <w:rsid w:val="00D74DB0"/>
    <w:rsid w:val="00D75D04"/>
    <w:rsid w:val="00D762A2"/>
    <w:rsid w:val="00D862EF"/>
    <w:rsid w:val="00DC29AC"/>
    <w:rsid w:val="00DD408F"/>
    <w:rsid w:val="00DE23F0"/>
    <w:rsid w:val="00E13C49"/>
    <w:rsid w:val="00E3458D"/>
    <w:rsid w:val="00E53249"/>
    <w:rsid w:val="00E73724"/>
    <w:rsid w:val="00EB6A15"/>
    <w:rsid w:val="00EC6F26"/>
    <w:rsid w:val="00EC6F84"/>
    <w:rsid w:val="00EC7414"/>
    <w:rsid w:val="00EE5A0A"/>
    <w:rsid w:val="00EE7AEC"/>
    <w:rsid w:val="00F10FD4"/>
    <w:rsid w:val="00F12999"/>
    <w:rsid w:val="00F16AA1"/>
    <w:rsid w:val="00F407A6"/>
    <w:rsid w:val="00F738CB"/>
    <w:rsid w:val="00F82A9A"/>
    <w:rsid w:val="00F83340"/>
    <w:rsid w:val="00FB2776"/>
    <w:rsid w:val="00FD0DE5"/>
    <w:rsid w:val="00FE4E55"/>
    <w:rsid w:val="00FF64C5"/>
    <w:rsid w:val="010C450B"/>
    <w:rsid w:val="01CC1A40"/>
    <w:rsid w:val="023C4E17"/>
    <w:rsid w:val="023D7BF3"/>
    <w:rsid w:val="02860CE1"/>
    <w:rsid w:val="028D0613"/>
    <w:rsid w:val="02A06DF6"/>
    <w:rsid w:val="02AD40CA"/>
    <w:rsid w:val="02C71777"/>
    <w:rsid w:val="02DA63DE"/>
    <w:rsid w:val="03241F36"/>
    <w:rsid w:val="03311B51"/>
    <w:rsid w:val="035607B0"/>
    <w:rsid w:val="035A0B08"/>
    <w:rsid w:val="03BE185C"/>
    <w:rsid w:val="03DD3435"/>
    <w:rsid w:val="040532EE"/>
    <w:rsid w:val="04813DBA"/>
    <w:rsid w:val="04880F3B"/>
    <w:rsid w:val="04BB1052"/>
    <w:rsid w:val="04EF66A6"/>
    <w:rsid w:val="050C3B6C"/>
    <w:rsid w:val="058F191A"/>
    <w:rsid w:val="05907E12"/>
    <w:rsid w:val="05F061F6"/>
    <w:rsid w:val="0620235A"/>
    <w:rsid w:val="064047AA"/>
    <w:rsid w:val="07023E8A"/>
    <w:rsid w:val="073060B3"/>
    <w:rsid w:val="073F34F8"/>
    <w:rsid w:val="074D59C7"/>
    <w:rsid w:val="0768220B"/>
    <w:rsid w:val="07855569"/>
    <w:rsid w:val="07DD03A2"/>
    <w:rsid w:val="08002443"/>
    <w:rsid w:val="083216E2"/>
    <w:rsid w:val="08891FDF"/>
    <w:rsid w:val="08EE1782"/>
    <w:rsid w:val="090B57DF"/>
    <w:rsid w:val="094625ED"/>
    <w:rsid w:val="098C0FAE"/>
    <w:rsid w:val="0A1370D9"/>
    <w:rsid w:val="0A426CE3"/>
    <w:rsid w:val="0A783487"/>
    <w:rsid w:val="0A920A74"/>
    <w:rsid w:val="0B1A05CF"/>
    <w:rsid w:val="0B3B4932"/>
    <w:rsid w:val="0B8A5AE2"/>
    <w:rsid w:val="0B9F1F73"/>
    <w:rsid w:val="0C30371E"/>
    <w:rsid w:val="0C47209B"/>
    <w:rsid w:val="0C56467C"/>
    <w:rsid w:val="0C572F92"/>
    <w:rsid w:val="0C9B098C"/>
    <w:rsid w:val="0CDE4AF1"/>
    <w:rsid w:val="0CEC2F96"/>
    <w:rsid w:val="0D2F7233"/>
    <w:rsid w:val="0D352C95"/>
    <w:rsid w:val="0D4555DC"/>
    <w:rsid w:val="0DB0649C"/>
    <w:rsid w:val="0E2234E7"/>
    <w:rsid w:val="0E76520D"/>
    <w:rsid w:val="0E832759"/>
    <w:rsid w:val="0E910299"/>
    <w:rsid w:val="0EA842DB"/>
    <w:rsid w:val="0ECF7747"/>
    <w:rsid w:val="0F1467D4"/>
    <w:rsid w:val="0F9D46EF"/>
    <w:rsid w:val="112137C2"/>
    <w:rsid w:val="11D57582"/>
    <w:rsid w:val="11F42B1D"/>
    <w:rsid w:val="12131593"/>
    <w:rsid w:val="124026B6"/>
    <w:rsid w:val="12C329EB"/>
    <w:rsid w:val="12DA0F1C"/>
    <w:rsid w:val="137A735A"/>
    <w:rsid w:val="13B24508"/>
    <w:rsid w:val="13B92B25"/>
    <w:rsid w:val="13E54BBD"/>
    <w:rsid w:val="1433594E"/>
    <w:rsid w:val="144D2D5B"/>
    <w:rsid w:val="146D5339"/>
    <w:rsid w:val="14CE6AB2"/>
    <w:rsid w:val="14D0357D"/>
    <w:rsid w:val="152F63E2"/>
    <w:rsid w:val="158272E5"/>
    <w:rsid w:val="15864214"/>
    <w:rsid w:val="15CF7E90"/>
    <w:rsid w:val="15D60886"/>
    <w:rsid w:val="15D71D2C"/>
    <w:rsid w:val="16012FAC"/>
    <w:rsid w:val="16873D30"/>
    <w:rsid w:val="16A220B2"/>
    <w:rsid w:val="16AB249D"/>
    <w:rsid w:val="16E538DC"/>
    <w:rsid w:val="16F07B27"/>
    <w:rsid w:val="17141A67"/>
    <w:rsid w:val="17153410"/>
    <w:rsid w:val="17171557"/>
    <w:rsid w:val="176A4DBE"/>
    <w:rsid w:val="17F04282"/>
    <w:rsid w:val="184B770B"/>
    <w:rsid w:val="187F3F47"/>
    <w:rsid w:val="18C1292A"/>
    <w:rsid w:val="18E65745"/>
    <w:rsid w:val="18E722AD"/>
    <w:rsid w:val="19197809"/>
    <w:rsid w:val="19475149"/>
    <w:rsid w:val="1A1E40F3"/>
    <w:rsid w:val="1ABD39A5"/>
    <w:rsid w:val="1AC350C9"/>
    <w:rsid w:val="1AF847D0"/>
    <w:rsid w:val="1B150ED3"/>
    <w:rsid w:val="1B364214"/>
    <w:rsid w:val="1C112A19"/>
    <w:rsid w:val="1C136BB6"/>
    <w:rsid w:val="1C4B5EA8"/>
    <w:rsid w:val="1C990D5F"/>
    <w:rsid w:val="1D854405"/>
    <w:rsid w:val="1DB42418"/>
    <w:rsid w:val="1E0B08F6"/>
    <w:rsid w:val="1E1554ED"/>
    <w:rsid w:val="1E66223E"/>
    <w:rsid w:val="1E9B39D7"/>
    <w:rsid w:val="1EE53BAE"/>
    <w:rsid w:val="1F5C123B"/>
    <w:rsid w:val="1F720A5F"/>
    <w:rsid w:val="1FA31BDA"/>
    <w:rsid w:val="1FA4448B"/>
    <w:rsid w:val="1FD305BE"/>
    <w:rsid w:val="2022793B"/>
    <w:rsid w:val="207B6E01"/>
    <w:rsid w:val="211B1C44"/>
    <w:rsid w:val="21905B3D"/>
    <w:rsid w:val="21F200C1"/>
    <w:rsid w:val="22284619"/>
    <w:rsid w:val="224A075F"/>
    <w:rsid w:val="225673D8"/>
    <w:rsid w:val="22A167A6"/>
    <w:rsid w:val="22E66E8E"/>
    <w:rsid w:val="230F38AE"/>
    <w:rsid w:val="235C6C70"/>
    <w:rsid w:val="23816BA4"/>
    <w:rsid w:val="23B802A0"/>
    <w:rsid w:val="25650EAD"/>
    <w:rsid w:val="259A75DB"/>
    <w:rsid w:val="25E4098B"/>
    <w:rsid w:val="26252182"/>
    <w:rsid w:val="262670C1"/>
    <w:rsid w:val="265122FF"/>
    <w:rsid w:val="265E174C"/>
    <w:rsid w:val="2686038F"/>
    <w:rsid w:val="26EF5515"/>
    <w:rsid w:val="271C79A1"/>
    <w:rsid w:val="2725381D"/>
    <w:rsid w:val="27383ED1"/>
    <w:rsid w:val="274F505D"/>
    <w:rsid w:val="27E62DC5"/>
    <w:rsid w:val="286A3DDE"/>
    <w:rsid w:val="28C64B8B"/>
    <w:rsid w:val="28C72B2B"/>
    <w:rsid w:val="29801C09"/>
    <w:rsid w:val="29D8382E"/>
    <w:rsid w:val="29E75E0C"/>
    <w:rsid w:val="29F23E8A"/>
    <w:rsid w:val="2A241E9E"/>
    <w:rsid w:val="2A566AD6"/>
    <w:rsid w:val="2B231E21"/>
    <w:rsid w:val="2B367DA6"/>
    <w:rsid w:val="2B45781E"/>
    <w:rsid w:val="2B473D61"/>
    <w:rsid w:val="2C1A4173"/>
    <w:rsid w:val="2C6C3FFF"/>
    <w:rsid w:val="2C7D3C0D"/>
    <w:rsid w:val="2C874AAF"/>
    <w:rsid w:val="2C8E66A6"/>
    <w:rsid w:val="2CAF5168"/>
    <w:rsid w:val="2CBB47F9"/>
    <w:rsid w:val="2CE43832"/>
    <w:rsid w:val="2CF26DC6"/>
    <w:rsid w:val="2D4A1910"/>
    <w:rsid w:val="2DFF7667"/>
    <w:rsid w:val="2E267150"/>
    <w:rsid w:val="2E5874B6"/>
    <w:rsid w:val="2ED74F49"/>
    <w:rsid w:val="2EFD1D1D"/>
    <w:rsid w:val="2F3029A9"/>
    <w:rsid w:val="2F3A186E"/>
    <w:rsid w:val="2FA0175F"/>
    <w:rsid w:val="2FE563D7"/>
    <w:rsid w:val="319951CC"/>
    <w:rsid w:val="31FB42D0"/>
    <w:rsid w:val="32852601"/>
    <w:rsid w:val="32D3700E"/>
    <w:rsid w:val="32F07192"/>
    <w:rsid w:val="332433C5"/>
    <w:rsid w:val="33643F0E"/>
    <w:rsid w:val="3376156C"/>
    <w:rsid w:val="33DB598F"/>
    <w:rsid w:val="33FB393B"/>
    <w:rsid w:val="348E387D"/>
    <w:rsid w:val="354D1DB2"/>
    <w:rsid w:val="35A324DC"/>
    <w:rsid w:val="35A46FAE"/>
    <w:rsid w:val="35B30712"/>
    <w:rsid w:val="37026723"/>
    <w:rsid w:val="37526B7E"/>
    <w:rsid w:val="385F78F9"/>
    <w:rsid w:val="38793253"/>
    <w:rsid w:val="38C35E29"/>
    <w:rsid w:val="39187E65"/>
    <w:rsid w:val="392B58F2"/>
    <w:rsid w:val="398960D8"/>
    <w:rsid w:val="39E8421F"/>
    <w:rsid w:val="3A066436"/>
    <w:rsid w:val="3A2516BB"/>
    <w:rsid w:val="3A704957"/>
    <w:rsid w:val="3B3C635C"/>
    <w:rsid w:val="3CCB04A6"/>
    <w:rsid w:val="3CD37326"/>
    <w:rsid w:val="3D7675E7"/>
    <w:rsid w:val="3DA16242"/>
    <w:rsid w:val="3E7850FA"/>
    <w:rsid w:val="3EED354E"/>
    <w:rsid w:val="3F1410DB"/>
    <w:rsid w:val="3F173AB4"/>
    <w:rsid w:val="3F1B5AF7"/>
    <w:rsid w:val="3F7A539C"/>
    <w:rsid w:val="3FB5783A"/>
    <w:rsid w:val="402406BD"/>
    <w:rsid w:val="408338D7"/>
    <w:rsid w:val="410C362B"/>
    <w:rsid w:val="41510996"/>
    <w:rsid w:val="41563B80"/>
    <w:rsid w:val="42147451"/>
    <w:rsid w:val="42613503"/>
    <w:rsid w:val="42664FBD"/>
    <w:rsid w:val="42D724A6"/>
    <w:rsid w:val="43727992"/>
    <w:rsid w:val="43881670"/>
    <w:rsid w:val="43E82525"/>
    <w:rsid w:val="44592EA6"/>
    <w:rsid w:val="44A8055A"/>
    <w:rsid w:val="44B02520"/>
    <w:rsid w:val="44F7334E"/>
    <w:rsid w:val="44FA379B"/>
    <w:rsid w:val="45273CAF"/>
    <w:rsid w:val="459E52B5"/>
    <w:rsid w:val="45AF30FD"/>
    <w:rsid w:val="463460DC"/>
    <w:rsid w:val="46420BB9"/>
    <w:rsid w:val="465B3014"/>
    <w:rsid w:val="467B3F5F"/>
    <w:rsid w:val="472C45CF"/>
    <w:rsid w:val="472F5293"/>
    <w:rsid w:val="473A07C7"/>
    <w:rsid w:val="474E7DCE"/>
    <w:rsid w:val="4792415F"/>
    <w:rsid w:val="47C31B76"/>
    <w:rsid w:val="47DB0FE0"/>
    <w:rsid w:val="47E77736"/>
    <w:rsid w:val="47EB386F"/>
    <w:rsid w:val="485A4022"/>
    <w:rsid w:val="48986B3F"/>
    <w:rsid w:val="48C93BB0"/>
    <w:rsid w:val="48CE1A9E"/>
    <w:rsid w:val="494476DB"/>
    <w:rsid w:val="495A0CAC"/>
    <w:rsid w:val="497956EF"/>
    <w:rsid w:val="49B66251"/>
    <w:rsid w:val="4A056E6A"/>
    <w:rsid w:val="4A125037"/>
    <w:rsid w:val="4AB455FC"/>
    <w:rsid w:val="4B4C6831"/>
    <w:rsid w:val="4BA63BCF"/>
    <w:rsid w:val="4BB93099"/>
    <w:rsid w:val="4C4C39B0"/>
    <w:rsid w:val="4CA21C4A"/>
    <w:rsid w:val="4E87606B"/>
    <w:rsid w:val="4ED1777D"/>
    <w:rsid w:val="4F443F90"/>
    <w:rsid w:val="4F627A2B"/>
    <w:rsid w:val="4F7D616C"/>
    <w:rsid w:val="4F8A1859"/>
    <w:rsid w:val="4FCC705E"/>
    <w:rsid w:val="4FCD4721"/>
    <w:rsid w:val="4FE45773"/>
    <w:rsid w:val="501F67AB"/>
    <w:rsid w:val="50281B04"/>
    <w:rsid w:val="502D24E4"/>
    <w:rsid w:val="504773D5"/>
    <w:rsid w:val="50EC70D4"/>
    <w:rsid w:val="511E5BAD"/>
    <w:rsid w:val="513918A9"/>
    <w:rsid w:val="517F3DD4"/>
    <w:rsid w:val="51BC2AE8"/>
    <w:rsid w:val="52244348"/>
    <w:rsid w:val="52466141"/>
    <w:rsid w:val="52CE5689"/>
    <w:rsid w:val="530B071F"/>
    <w:rsid w:val="538843E3"/>
    <w:rsid w:val="53B33700"/>
    <w:rsid w:val="55376345"/>
    <w:rsid w:val="558A3D0F"/>
    <w:rsid w:val="559A68B9"/>
    <w:rsid w:val="55B10490"/>
    <w:rsid w:val="569E5C28"/>
    <w:rsid w:val="56B17EF3"/>
    <w:rsid w:val="57313D11"/>
    <w:rsid w:val="573C7054"/>
    <w:rsid w:val="578D69F6"/>
    <w:rsid w:val="58311B26"/>
    <w:rsid w:val="583B105E"/>
    <w:rsid w:val="58F55D5D"/>
    <w:rsid w:val="590640EC"/>
    <w:rsid w:val="59254E33"/>
    <w:rsid w:val="59360753"/>
    <w:rsid w:val="597E4543"/>
    <w:rsid w:val="599A4762"/>
    <w:rsid w:val="59B94A33"/>
    <w:rsid w:val="59C42C57"/>
    <w:rsid w:val="5A504131"/>
    <w:rsid w:val="5A613B97"/>
    <w:rsid w:val="5A6D513D"/>
    <w:rsid w:val="5A846266"/>
    <w:rsid w:val="5AFB2C32"/>
    <w:rsid w:val="5B1A64ED"/>
    <w:rsid w:val="5B2F036B"/>
    <w:rsid w:val="5B583D18"/>
    <w:rsid w:val="5B5877E2"/>
    <w:rsid w:val="5BA9771F"/>
    <w:rsid w:val="5BAC7A1D"/>
    <w:rsid w:val="5BAE0EF6"/>
    <w:rsid w:val="5BE3458F"/>
    <w:rsid w:val="5C460703"/>
    <w:rsid w:val="5DD0286D"/>
    <w:rsid w:val="5EEA0F2A"/>
    <w:rsid w:val="5F4267D3"/>
    <w:rsid w:val="5F9D1CA2"/>
    <w:rsid w:val="5FD300DB"/>
    <w:rsid w:val="5FE25B93"/>
    <w:rsid w:val="603F3AE9"/>
    <w:rsid w:val="605A527E"/>
    <w:rsid w:val="608C59E7"/>
    <w:rsid w:val="60E564FB"/>
    <w:rsid w:val="61051B53"/>
    <w:rsid w:val="61095D5D"/>
    <w:rsid w:val="61284751"/>
    <w:rsid w:val="61425A64"/>
    <w:rsid w:val="61EB473F"/>
    <w:rsid w:val="62257FFA"/>
    <w:rsid w:val="623065F6"/>
    <w:rsid w:val="629F458E"/>
    <w:rsid w:val="62F31AFE"/>
    <w:rsid w:val="6359680F"/>
    <w:rsid w:val="63637DFA"/>
    <w:rsid w:val="6397120D"/>
    <w:rsid w:val="63C45248"/>
    <w:rsid w:val="63E47698"/>
    <w:rsid w:val="63EE6769"/>
    <w:rsid w:val="64F222D0"/>
    <w:rsid w:val="655541D3"/>
    <w:rsid w:val="65566374"/>
    <w:rsid w:val="65594766"/>
    <w:rsid w:val="65AE22F3"/>
    <w:rsid w:val="65C12033"/>
    <w:rsid w:val="66465782"/>
    <w:rsid w:val="6686712D"/>
    <w:rsid w:val="66AF6E4C"/>
    <w:rsid w:val="66FE3647"/>
    <w:rsid w:val="670A4733"/>
    <w:rsid w:val="6727057A"/>
    <w:rsid w:val="67DE5EA5"/>
    <w:rsid w:val="68DB72BC"/>
    <w:rsid w:val="68E615DD"/>
    <w:rsid w:val="68F34957"/>
    <w:rsid w:val="6907286A"/>
    <w:rsid w:val="6908397B"/>
    <w:rsid w:val="692923F8"/>
    <w:rsid w:val="6A16299D"/>
    <w:rsid w:val="6ADC37BF"/>
    <w:rsid w:val="6B1637B6"/>
    <w:rsid w:val="6B354DBB"/>
    <w:rsid w:val="6B456EE8"/>
    <w:rsid w:val="6B705F22"/>
    <w:rsid w:val="6B737C7F"/>
    <w:rsid w:val="6CC00CAD"/>
    <w:rsid w:val="6D0B604A"/>
    <w:rsid w:val="6DAC05BE"/>
    <w:rsid w:val="6E2337BB"/>
    <w:rsid w:val="6E526A5F"/>
    <w:rsid w:val="6E531FEA"/>
    <w:rsid w:val="6E802F39"/>
    <w:rsid w:val="6F5F3A74"/>
    <w:rsid w:val="6F8373FF"/>
    <w:rsid w:val="6FDE7145"/>
    <w:rsid w:val="701268B7"/>
    <w:rsid w:val="7025059A"/>
    <w:rsid w:val="708446DD"/>
    <w:rsid w:val="70FA4ECE"/>
    <w:rsid w:val="70FD0441"/>
    <w:rsid w:val="713E6246"/>
    <w:rsid w:val="71C6395B"/>
    <w:rsid w:val="71ED62B2"/>
    <w:rsid w:val="71FF4E08"/>
    <w:rsid w:val="725809D6"/>
    <w:rsid w:val="7274040D"/>
    <w:rsid w:val="72EE22E1"/>
    <w:rsid w:val="73362BEB"/>
    <w:rsid w:val="73840989"/>
    <w:rsid w:val="73875405"/>
    <w:rsid w:val="73B74532"/>
    <w:rsid w:val="74425F26"/>
    <w:rsid w:val="74CC7CBB"/>
    <w:rsid w:val="74DB6895"/>
    <w:rsid w:val="75401980"/>
    <w:rsid w:val="75474E11"/>
    <w:rsid w:val="75847F67"/>
    <w:rsid w:val="75F06371"/>
    <w:rsid w:val="766308F1"/>
    <w:rsid w:val="7682140E"/>
    <w:rsid w:val="76B455F0"/>
    <w:rsid w:val="76D62696"/>
    <w:rsid w:val="774E2667"/>
    <w:rsid w:val="77910BE3"/>
    <w:rsid w:val="78270463"/>
    <w:rsid w:val="783F0EE9"/>
    <w:rsid w:val="78520C1D"/>
    <w:rsid w:val="787B059F"/>
    <w:rsid w:val="78EA3B59"/>
    <w:rsid w:val="79492020"/>
    <w:rsid w:val="79A47B9E"/>
    <w:rsid w:val="7A356A48"/>
    <w:rsid w:val="7AED392E"/>
    <w:rsid w:val="7B2726C7"/>
    <w:rsid w:val="7B360113"/>
    <w:rsid w:val="7C016BE2"/>
    <w:rsid w:val="7C727ADF"/>
    <w:rsid w:val="7C7C594E"/>
    <w:rsid w:val="7C8660BD"/>
    <w:rsid w:val="7C8D68FB"/>
    <w:rsid w:val="7C934347"/>
    <w:rsid w:val="7CA05978"/>
    <w:rsid w:val="7E255CFA"/>
    <w:rsid w:val="7F09259F"/>
    <w:rsid w:val="7F2050E8"/>
    <w:rsid w:val="7F894C06"/>
    <w:rsid w:val="7FBC5227"/>
    <w:rsid w:val="7FEE047D"/>
    <w:rsid w:val="CF67815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name="table of figures"/>
    <w:lsdException w:uiPriority="99" w:name="envelope address" w:locked="1"/>
    <w:lsdException w:qFormat="1" w:unhideWhenUsed="0" w:uiPriority="99" w:semiHidden="0" w:name="envelope return"/>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0" w:semiHidden="0"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0" w:semiHidden="0" w:name="Body Text First Indent" w:locked="1"/>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6">
    <w:name w:val="heading 1"/>
    <w:basedOn w:val="1"/>
    <w:next w:val="1"/>
    <w:link w:val="66"/>
    <w:qFormat/>
    <w:uiPriority w:val="99"/>
    <w:pPr>
      <w:keepNext/>
      <w:keepLines/>
      <w:spacing w:before="340" w:after="330" w:line="360" w:lineRule="auto"/>
      <w:jc w:val="center"/>
      <w:outlineLvl w:val="0"/>
    </w:pPr>
    <w:rPr>
      <w:rFonts w:eastAsia="仿宋"/>
      <w:b/>
      <w:bCs/>
      <w:kern w:val="44"/>
      <w:sz w:val="30"/>
      <w:szCs w:val="44"/>
    </w:rPr>
  </w:style>
  <w:style w:type="paragraph" w:styleId="7">
    <w:name w:val="heading 2"/>
    <w:basedOn w:val="1"/>
    <w:next w:val="1"/>
    <w:link w:val="67"/>
    <w:qFormat/>
    <w:uiPriority w:val="99"/>
    <w:pPr>
      <w:keepNext/>
      <w:keepLines/>
      <w:spacing w:before="260" w:after="260" w:line="416" w:lineRule="auto"/>
      <w:outlineLvl w:val="1"/>
    </w:pPr>
    <w:rPr>
      <w:rFonts w:ascii="Arial" w:hAnsi="Arial" w:eastAsia="黑体" w:cs="Arial"/>
      <w:b/>
      <w:bCs/>
      <w:sz w:val="32"/>
      <w:szCs w:val="32"/>
    </w:rPr>
  </w:style>
  <w:style w:type="paragraph" w:styleId="8">
    <w:name w:val="heading 3"/>
    <w:basedOn w:val="1"/>
    <w:next w:val="1"/>
    <w:link w:val="68"/>
    <w:qFormat/>
    <w:uiPriority w:val="99"/>
    <w:pPr>
      <w:keepNext/>
      <w:keepLines/>
      <w:spacing w:before="260" w:after="260" w:line="416" w:lineRule="auto"/>
      <w:outlineLvl w:val="2"/>
    </w:pPr>
    <w:rPr>
      <w:b/>
      <w:bCs/>
      <w:sz w:val="32"/>
      <w:szCs w:val="32"/>
    </w:rPr>
  </w:style>
  <w:style w:type="paragraph" w:styleId="9">
    <w:name w:val="heading 4"/>
    <w:basedOn w:val="1"/>
    <w:next w:val="1"/>
    <w:link w:val="69"/>
    <w:qFormat/>
    <w:uiPriority w:val="99"/>
    <w:pPr>
      <w:keepNext/>
      <w:keepLines/>
      <w:spacing w:before="280" w:after="290" w:line="372" w:lineRule="auto"/>
      <w:outlineLvl w:val="3"/>
    </w:pPr>
    <w:rPr>
      <w:rFonts w:ascii="Cambria" w:hAnsi="Cambria" w:cs="Cambria"/>
      <w:b/>
      <w:bCs/>
      <w:sz w:val="28"/>
      <w:szCs w:val="28"/>
    </w:rPr>
  </w:style>
  <w:style w:type="paragraph" w:styleId="10">
    <w:name w:val="heading 5"/>
    <w:basedOn w:val="1"/>
    <w:next w:val="1"/>
    <w:link w:val="70"/>
    <w:qFormat/>
    <w:uiPriority w:val="99"/>
    <w:pPr>
      <w:keepNext/>
      <w:keepLines/>
      <w:spacing w:before="280" w:after="290" w:line="372" w:lineRule="auto"/>
      <w:outlineLvl w:val="4"/>
    </w:pPr>
    <w:rPr>
      <w:rFonts w:ascii="Calibri" w:hAnsi="Calibri" w:cs="Calibri"/>
      <w:b/>
      <w:bCs/>
      <w:sz w:val="28"/>
      <w:szCs w:val="28"/>
    </w:rPr>
  </w:style>
  <w:style w:type="paragraph" w:styleId="11">
    <w:name w:val="heading 6"/>
    <w:basedOn w:val="1"/>
    <w:next w:val="1"/>
    <w:link w:val="71"/>
    <w:qFormat/>
    <w:uiPriority w:val="99"/>
    <w:pPr>
      <w:keepNext/>
      <w:keepLines/>
      <w:spacing w:before="240" w:after="64" w:line="317" w:lineRule="auto"/>
      <w:outlineLvl w:val="5"/>
    </w:pPr>
    <w:rPr>
      <w:rFonts w:ascii="Cambria" w:hAnsi="Cambria" w:cs="Cambria"/>
      <w:b/>
      <w:bCs/>
      <w:sz w:val="24"/>
      <w:szCs w:val="24"/>
    </w:rPr>
  </w:style>
  <w:style w:type="paragraph" w:styleId="12">
    <w:name w:val="heading 7"/>
    <w:basedOn w:val="1"/>
    <w:next w:val="1"/>
    <w:link w:val="72"/>
    <w:qFormat/>
    <w:uiPriority w:val="99"/>
    <w:pPr>
      <w:keepNext/>
      <w:keepLines/>
      <w:spacing w:before="240" w:after="64" w:line="317" w:lineRule="auto"/>
      <w:outlineLvl w:val="6"/>
    </w:pPr>
    <w:rPr>
      <w:rFonts w:ascii="Calibri" w:hAnsi="Calibri" w:cs="Calibri"/>
      <w:b/>
      <w:bCs/>
      <w:sz w:val="24"/>
      <w:szCs w:val="24"/>
    </w:rPr>
  </w:style>
  <w:style w:type="paragraph" w:styleId="13">
    <w:name w:val="heading 8"/>
    <w:basedOn w:val="1"/>
    <w:next w:val="1"/>
    <w:link w:val="73"/>
    <w:qFormat/>
    <w:uiPriority w:val="99"/>
    <w:pPr>
      <w:keepNext/>
      <w:keepLines/>
      <w:spacing w:before="240" w:after="64" w:line="317" w:lineRule="auto"/>
      <w:outlineLvl w:val="7"/>
    </w:pPr>
    <w:rPr>
      <w:rFonts w:ascii="Cambria" w:hAnsi="Cambria" w:cs="Cambria"/>
      <w:sz w:val="24"/>
      <w:szCs w:val="24"/>
    </w:rPr>
  </w:style>
  <w:style w:type="paragraph" w:styleId="14">
    <w:name w:val="heading 9"/>
    <w:basedOn w:val="1"/>
    <w:next w:val="1"/>
    <w:link w:val="74"/>
    <w:qFormat/>
    <w:uiPriority w:val="99"/>
    <w:pPr>
      <w:keepNext/>
      <w:keepLines/>
      <w:spacing w:before="240" w:after="64" w:line="317" w:lineRule="auto"/>
      <w:outlineLvl w:val="8"/>
    </w:pPr>
    <w:rPr>
      <w:rFonts w:ascii="Cambria" w:hAnsi="Cambria" w:cs="Cambria"/>
    </w:rPr>
  </w:style>
  <w:style w:type="character" w:default="1" w:styleId="49">
    <w:name w:val="Default Paragraph Font"/>
    <w:semiHidden/>
    <w:unhideWhenUsed/>
    <w:qFormat/>
    <w:uiPriority w:val="1"/>
  </w:style>
  <w:style w:type="table" w:default="1" w:styleId="4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92"/>
    <w:qFormat/>
    <w:uiPriority w:val="99"/>
    <w:pPr>
      <w:ind w:firstLine="420" w:firstLineChars="200"/>
    </w:pPr>
  </w:style>
  <w:style w:type="paragraph" w:styleId="3">
    <w:name w:val="Body Text Indent"/>
    <w:basedOn w:val="1"/>
    <w:next w:val="4"/>
    <w:link w:val="79"/>
    <w:qFormat/>
    <w:uiPriority w:val="99"/>
    <w:pPr>
      <w:spacing w:line="500" w:lineRule="exact"/>
      <w:ind w:firstLine="538"/>
    </w:pPr>
    <w:rPr>
      <w:sz w:val="28"/>
      <w:szCs w:val="28"/>
    </w:rPr>
  </w:style>
  <w:style w:type="paragraph" w:styleId="4">
    <w:name w:val="envelope return"/>
    <w:basedOn w:val="1"/>
    <w:next w:val="5"/>
    <w:qFormat/>
    <w:uiPriority w:val="99"/>
    <w:pPr>
      <w:snapToGrid w:val="0"/>
    </w:pPr>
    <w:rPr>
      <w:rFonts w:ascii="Arial" w:hAnsi="Arial"/>
    </w:rPr>
  </w:style>
  <w:style w:type="paragraph" w:styleId="5">
    <w:name w:val="toc 7"/>
    <w:basedOn w:val="1"/>
    <w:next w:val="1"/>
    <w:semiHidden/>
    <w:qFormat/>
    <w:uiPriority w:val="99"/>
    <w:pPr>
      <w:ind w:left="2520" w:leftChars="1200"/>
    </w:pPr>
    <w:rPr>
      <w:rFonts w:ascii="Calibri" w:hAnsi="Calibri" w:cs="Calibri"/>
    </w:rPr>
  </w:style>
  <w:style w:type="paragraph" w:styleId="15">
    <w:name w:val="Normal Indent"/>
    <w:basedOn w:val="1"/>
    <w:qFormat/>
    <w:uiPriority w:val="99"/>
    <w:pPr>
      <w:adjustRightInd w:val="0"/>
      <w:spacing w:line="360" w:lineRule="atLeast"/>
      <w:ind w:firstLine="482"/>
      <w:textAlignment w:val="baseline"/>
    </w:pPr>
    <w:rPr>
      <w:kern w:val="0"/>
      <w:sz w:val="24"/>
      <w:szCs w:val="24"/>
    </w:rPr>
  </w:style>
  <w:style w:type="paragraph" w:styleId="16">
    <w:name w:val="caption"/>
    <w:basedOn w:val="1"/>
    <w:next w:val="1"/>
    <w:qFormat/>
    <w:uiPriority w:val="99"/>
    <w:rPr>
      <w:rFonts w:ascii="Cambria" w:hAnsi="Cambria" w:eastAsia="黑体" w:cs="Cambria"/>
      <w:sz w:val="20"/>
      <w:szCs w:val="20"/>
    </w:rPr>
  </w:style>
  <w:style w:type="paragraph" w:styleId="17">
    <w:name w:val="Document Map"/>
    <w:basedOn w:val="1"/>
    <w:link w:val="75"/>
    <w:semiHidden/>
    <w:qFormat/>
    <w:uiPriority w:val="99"/>
    <w:pPr>
      <w:shd w:val="clear" w:color="auto" w:fill="000080"/>
    </w:pPr>
    <w:rPr>
      <w:kern w:val="0"/>
      <w:sz w:val="20"/>
      <w:szCs w:val="20"/>
      <w:shd w:val="clear" w:color="auto" w:fill="000080"/>
    </w:rPr>
  </w:style>
  <w:style w:type="paragraph" w:styleId="18">
    <w:name w:val="annotation text"/>
    <w:basedOn w:val="1"/>
    <w:link w:val="76"/>
    <w:semiHidden/>
    <w:qFormat/>
    <w:uiPriority w:val="99"/>
    <w:pPr>
      <w:jc w:val="left"/>
    </w:pPr>
  </w:style>
  <w:style w:type="paragraph" w:styleId="19">
    <w:name w:val="Body Text 3"/>
    <w:basedOn w:val="1"/>
    <w:link w:val="77"/>
    <w:qFormat/>
    <w:uiPriority w:val="99"/>
    <w:rPr>
      <w:rFonts w:ascii="宋体" w:cs="宋体"/>
      <w:sz w:val="24"/>
      <w:szCs w:val="24"/>
    </w:rPr>
  </w:style>
  <w:style w:type="paragraph" w:styleId="20">
    <w:name w:val="Body Text"/>
    <w:basedOn w:val="1"/>
    <w:next w:val="21"/>
    <w:link w:val="78"/>
    <w:qFormat/>
    <w:uiPriority w:val="99"/>
    <w:pPr>
      <w:jc w:val="center"/>
    </w:pPr>
    <w:rPr>
      <w:b/>
      <w:bCs/>
      <w:sz w:val="44"/>
      <w:szCs w:val="44"/>
    </w:rPr>
  </w:style>
  <w:style w:type="paragraph" w:styleId="21">
    <w:name w:val="Body Text First Indent"/>
    <w:basedOn w:val="20"/>
    <w:next w:val="22"/>
    <w:qFormat/>
    <w:locked/>
    <w:uiPriority w:val="0"/>
    <w:pPr>
      <w:ind w:firstLine="420" w:firstLineChars="100"/>
    </w:pPr>
    <w:rPr>
      <w:rFonts w:ascii="Times New Roman" w:hAnsi="Times New Roman" w:eastAsia="宋体" w:cs="Times New Roman"/>
    </w:rPr>
  </w:style>
  <w:style w:type="paragraph" w:styleId="22">
    <w:name w:val="toc 6"/>
    <w:basedOn w:val="1"/>
    <w:next w:val="1"/>
    <w:semiHidden/>
    <w:qFormat/>
    <w:uiPriority w:val="99"/>
    <w:pPr>
      <w:ind w:left="2100" w:leftChars="1000"/>
    </w:pPr>
    <w:rPr>
      <w:rFonts w:ascii="Calibri" w:hAnsi="Calibri" w:cs="Calibri"/>
    </w:rPr>
  </w:style>
  <w:style w:type="paragraph" w:styleId="23">
    <w:name w:val="Block Text"/>
    <w:basedOn w:val="1"/>
    <w:qFormat/>
    <w:uiPriority w:val="99"/>
    <w:pPr>
      <w:spacing w:line="400" w:lineRule="exact"/>
      <w:ind w:left="-359" w:leftChars="-171" w:right="31" w:rightChars="15" w:firstLine="980" w:firstLineChars="350"/>
    </w:pPr>
    <w:rPr>
      <w:rFonts w:ascii="宋体" w:hAnsi="宋体" w:cs="宋体"/>
      <w:sz w:val="28"/>
      <w:szCs w:val="28"/>
    </w:rPr>
  </w:style>
  <w:style w:type="paragraph" w:styleId="24">
    <w:name w:val="index 4"/>
    <w:basedOn w:val="1"/>
    <w:next w:val="1"/>
    <w:semiHidden/>
    <w:qFormat/>
    <w:uiPriority w:val="99"/>
    <w:pPr>
      <w:ind w:left="600" w:leftChars="600"/>
    </w:pPr>
  </w:style>
  <w:style w:type="paragraph" w:styleId="25">
    <w:name w:val="toc 5"/>
    <w:basedOn w:val="1"/>
    <w:next w:val="1"/>
    <w:semiHidden/>
    <w:qFormat/>
    <w:uiPriority w:val="99"/>
    <w:pPr>
      <w:tabs>
        <w:tab w:val="right" w:leader="dot" w:pos="8296"/>
      </w:tabs>
      <w:ind w:left="1050" w:leftChars="500"/>
    </w:pPr>
    <w:rPr>
      <w:rFonts w:ascii="Calibri" w:hAnsi="Calibri" w:cs="Calibri"/>
    </w:rPr>
  </w:style>
  <w:style w:type="paragraph" w:styleId="26">
    <w:name w:val="toc 3"/>
    <w:basedOn w:val="1"/>
    <w:next w:val="1"/>
    <w:semiHidden/>
    <w:qFormat/>
    <w:uiPriority w:val="99"/>
    <w:pPr>
      <w:ind w:left="840" w:leftChars="400"/>
    </w:pPr>
    <w:rPr>
      <w:rFonts w:ascii="Calibri" w:hAnsi="Calibri" w:cs="Calibri"/>
    </w:rPr>
  </w:style>
  <w:style w:type="paragraph" w:styleId="27">
    <w:name w:val="Plain Text"/>
    <w:basedOn w:val="1"/>
    <w:next w:val="1"/>
    <w:link w:val="80"/>
    <w:qFormat/>
    <w:uiPriority w:val="99"/>
    <w:rPr>
      <w:rFonts w:ascii="宋体" w:hAnsi="Courier New" w:cs="宋体"/>
    </w:rPr>
  </w:style>
  <w:style w:type="paragraph" w:styleId="28">
    <w:name w:val="toc 8"/>
    <w:basedOn w:val="1"/>
    <w:next w:val="1"/>
    <w:semiHidden/>
    <w:qFormat/>
    <w:uiPriority w:val="99"/>
    <w:pPr>
      <w:ind w:left="2940" w:leftChars="1400"/>
    </w:pPr>
    <w:rPr>
      <w:rFonts w:ascii="Calibri" w:hAnsi="Calibri" w:cs="Calibri"/>
    </w:rPr>
  </w:style>
  <w:style w:type="paragraph" w:styleId="29">
    <w:name w:val="Date"/>
    <w:basedOn w:val="1"/>
    <w:next w:val="1"/>
    <w:link w:val="81"/>
    <w:qFormat/>
    <w:uiPriority w:val="99"/>
    <w:rPr>
      <w:rFonts w:ascii="仿宋_GB2312" w:eastAsia="仿宋_GB2312" w:cs="仿宋_GB2312"/>
      <w:sz w:val="30"/>
      <w:szCs w:val="30"/>
    </w:rPr>
  </w:style>
  <w:style w:type="paragraph" w:styleId="30">
    <w:name w:val="Body Text Indent 2"/>
    <w:basedOn w:val="1"/>
    <w:next w:val="1"/>
    <w:link w:val="82"/>
    <w:qFormat/>
    <w:uiPriority w:val="99"/>
    <w:pPr>
      <w:spacing w:line="360" w:lineRule="exact"/>
      <w:ind w:firstLine="600" w:firstLineChars="250"/>
      <w:jc w:val="left"/>
    </w:pPr>
    <w:rPr>
      <w:sz w:val="24"/>
      <w:szCs w:val="24"/>
    </w:rPr>
  </w:style>
  <w:style w:type="paragraph" w:styleId="31">
    <w:name w:val="Balloon Text"/>
    <w:basedOn w:val="1"/>
    <w:link w:val="83"/>
    <w:semiHidden/>
    <w:qFormat/>
    <w:uiPriority w:val="99"/>
    <w:rPr>
      <w:sz w:val="18"/>
      <w:szCs w:val="18"/>
    </w:rPr>
  </w:style>
  <w:style w:type="paragraph" w:styleId="32">
    <w:name w:val="footer"/>
    <w:basedOn w:val="1"/>
    <w:link w:val="84"/>
    <w:qFormat/>
    <w:uiPriority w:val="99"/>
    <w:pPr>
      <w:tabs>
        <w:tab w:val="center" w:pos="4153"/>
        <w:tab w:val="right" w:pos="8306"/>
      </w:tabs>
      <w:snapToGrid w:val="0"/>
      <w:jc w:val="left"/>
    </w:pPr>
    <w:rPr>
      <w:sz w:val="18"/>
      <w:szCs w:val="18"/>
    </w:rPr>
  </w:style>
  <w:style w:type="paragraph" w:styleId="33">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semiHidden/>
    <w:qFormat/>
    <w:uiPriority w:val="99"/>
    <w:pPr>
      <w:tabs>
        <w:tab w:val="right" w:leader="dot" w:pos="8296"/>
      </w:tabs>
    </w:pPr>
    <w:rPr>
      <w:rFonts w:ascii="宋体" w:eastAsia="楷体_GB2312" w:cs="宋体"/>
      <w:b/>
      <w:bCs/>
      <w:kern w:val="0"/>
      <w:sz w:val="28"/>
      <w:szCs w:val="28"/>
    </w:rPr>
  </w:style>
  <w:style w:type="paragraph" w:styleId="35">
    <w:name w:val="toc 4"/>
    <w:basedOn w:val="1"/>
    <w:next w:val="1"/>
    <w:semiHidden/>
    <w:qFormat/>
    <w:uiPriority w:val="99"/>
    <w:pPr>
      <w:tabs>
        <w:tab w:val="left" w:pos="1890"/>
        <w:tab w:val="right" w:leader="dot" w:pos="8296"/>
      </w:tabs>
      <w:ind w:left="630" w:leftChars="300"/>
    </w:pPr>
    <w:rPr>
      <w:rFonts w:ascii="Calibri" w:hAnsi="Calibri" w:cs="Calibri"/>
    </w:rPr>
  </w:style>
  <w:style w:type="paragraph" w:styleId="36">
    <w:name w:val="Subtitle"/>
    <w:basedOn w:val="1"/>
    <w:next w:val="1"/>
    <w:link w:val="86"/>
    <w:qFormat/>
    <w:uiPriority w:val="99"/>
    <w:pPr>
      <w:spacing w:before="240" w:after="60" w:line="312" w:lineRule="auto"/>
      <w:jc w:val="center"/>
      <w:outlineLvl w:val="1"/>
    </w:pPr>
    <w:rPr>
      <w:rFonts w:ascii="Cambria" w:hAnsi="Cambria" w:cs="Cambria"/>
      <w:b/>
      <w:bCs/>
      <w:kern w:val="28"/>
      <w:sz w:val="32"/>
      <w:szCs w:val="32"/>
    </w:rPr>
  </w:style>
  <w:style w:type="paragraph" w:styleId="37">
    <w:name w:val="List"/>
    <w:basedOn w:val="1"/>
    <w:qFormat/>
    <w:locked/>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38">
    <w:name w:val="footnote text"/>
    <w:basedOn w:val="1"/>
    <w:link w:val="87"/>
    <w:semiHidden/>
    <w:qFormat/>
    <w:uiPriority w:val="99"/>
    <w:rPr>
      <w:sz w:val="20"/>
      <w:szCs w:val="20"/>
    </w:rPr>
  </w:style>
  <w:style w:type="paragraph" w:styleId="39">
    <w:name w:val="Body Text Indent 3"/>
    <w:basedOn w:val="1"/>
    <w:link w:val="88"/>
    <w:qFormat/>
    <w:uiPriority w:val="99"/>
    <w:pPr>
      <w:spacing w:after="120"/>
      <w:ind w:left="420" w:leftChars="200"/>
    </w:pPr>
    <w:rPr>
      <w:sz w:val="16"/>
      <w:szCs w:val="16"/>
    </w:rPr>
  </w:style>
  <w:style w:type="paragraph" w:styleId="40">
    <w:name w:val="table of figures"/>
    <w:basedOn w:val="1"/>
    <w:next w:val="1"/>
    <w:semiHidden/>
    <w:qFormat/>
    <w:uiPriority w:val="99"/>
    <w:pPr>
      <w:ind w:left="200" w:leftChars="200" w:hanging="200" w:hangingChars="200"/>
    </w:pPr>
  </w:style>
  <w:style w:type="paragraph" w:styleId="41">
    <w:name w:val="toc 2"/>
    <w:basedOn w:val="1"/>
    <w:next w:val="1"/>
    <w:semiHidden/>
    <w:qFormat/>
    <w:uiPriority w:val="99"/>
    <w:pPr>
      <w:ind w:left="420" w:leftChars="200"/>
    </w:pPr>
    <w:rPr>
      <w:rFonts w:ascii="宋体" w:cs="宋体"/>
      <w:b/>
      <w:bCs/>
      <w:sz w:val="28"/>
      <w:szCs w:val="28"/>
    </w:rPr>
  </w:style>
  <w:style w:type="paragraph" w:styleId="42">
    <w:name w:val="toc 9"/>
    <w:basedOn w:val="1"/>
    <w:next w:val="1"/>
    <w:semiHidden/>
    <w:qFormat/>
    <w:uiPriority w:val="99"/>
    <w:pPr>
      <w:ind w:left="3360" w:leftChars="1600"/>
    </w:pPr>
    <w:rPr>
      <w:rFonts w:ascii="Calibri" w:hAnsi="Calibri" w:cs="Calibri"/>
    </w:rPr>
  </w:style>
  <w:style w:type="paragraph" w:styleId="43">
    <w:name w:val="Body Text 2"/>
    <w:basedOn w:val="1"/>
    <w:link w:val="89"/>
    <w:qFormat/>
    <w:uiPriority w:val="99"/>
    <w:pPr>
      <w:spacing w:line="440" w:lineRule="exact"/>
    </w:pPr>
    <w:rPr>
      <w:sz w:val="28"/>
      <w:szCs w:val="28"/>
    </w:rPr>
  </w:style>
  <w:style w:type="paragraph" w:styleId="44">
    <w:name w:val="Normal (Web)"/>
    <w:basedOn w:val="1"/>
    <w:qFormat/>
    <w:uiPriority w:val="99"/>
    <w:pPr>
      <w:widowControl/>
      <w:spacing w:before="100" w:beforeAutospacing="1" w:after="100" w:afterAutospacing="1" w:line="320" w:lineRule="atLeast"/>
      <w:jc w:val="left"/>
    </w:pPr>
    <w:rPr>
      <w:rFonts w:ascii="宋体" w:hAnsi="宋体" w:cs="宋体"/>
      <w:kern w:val="0"/>
      <w:sz w:val="18"/>
      <w:szCs w:val="18"/>
    </w:rPr>
  </w:style>
  <w:style w:type="paragraph" w:styleId="45">
    <w:name w:val="Title"/>
    <w:basedOn w:val="1"/>
    <w:next w:val="1"/>
    <w:link w:val="90"/>
    <w:qFormat/>
    <w:uiPriority w:val="99"/>
    <w:pPr>
      <w:spacing w:before="240" w:after="60"/>
      <w:jc w:val="center"/>
      <w:outlineLvl w:val="0"/>
    </w:pPr>
    <w:rPr>
      <w:rFonts w:ascii="Cambria" w:hAnsi="Cambria" w:cs="Cambria"/>
      <w:b/>
      <w:bCs/>
      <w:sz w:val="32"/>
      <w:szCs w:val="32"/>
    </w:rPr>
  </w:style>
  <w:style w:type="paragraph" w:styleId="46">
    <w:name w:val="annotation subject"/>
    <w:basedOn w:val="18"/>
    <w:next w:val="18"/>
    <w:link w:val="91"/>
    <w:semiHidden/>
    <w:qFormat/>
    <w:uiPriority w:val="99"/>
    <w:rPr>
      <w:rFonts w:ascii="宋体" w:cs="宋体"/>
      <w:b/>
      <w:bCs/>
      <w:kern w:val="0"/>
      <w:sz w:val="28"/>
      <w:szCs w:val="28"/>
    </w:rPr>
  </w:style>
  <w:style w:type="table" w:styleId="48">
    <w:name w:val="Table Grid"/>
    <w:basedOn w:val="4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333333"/>
      <w:u w:val="none"/>
    </w:rPr>
  </w:style>
  <w:style w:type="character" w:styleId="53">
    <w:name w:val="Emphasis"/>
    <w:basedOn w:val="49"/>
    <w:qFormat/>
    <w:uiPriority w:val="99"/>
    <w:rPr>
      <w:rFonts w:cs="Times New Roman"/>
      <w:color w:val="auto"/>
    </w:rPr>
  </w:style>
  <w:style w:type="character" w:styleId="54">
    <w:name w:val="HTML Definition"/>
    <w:basedOn w:val="49"/>
    <w:qFormat/>
    <w:uiPriority w:val="99"/>
    <w:rPr>
      <w:rFonts w:cs="Times New Roman"/>
    </w:rPr>
  </w:style>
  <w:style w:type="character" w:styleId="55">
    <w:name w:val="HTML Typewriter"/>
    <w:basedOn w:val="49"/>
    <w:qFormat/>
    <w:uiPriority w:val="99"/>
    <w:rPr>
      <w:rFonts w:ascii="monospace" w:hAnsi="monospace" w:cs="monospace"/>
      <w:sz w:val="20"/>
    </w:rPr>
  </w:style>
  <w:style w:type="character" w:styleId="56">
    <w:name w:val="HTML Acronym"/>
    <w:basedOn w:val="49"/>
    <w:qFormat/>
    <w:uiPriority w:val="99"/>
    <w:rPr>
      <w:rFonts w:cs="Times New Roman"/>
    </w:rPr>
  </w:style>
  <w:style w:type="character" w:styleId="57">
    <w:name w:val="HTML Variable"/>
    <w:basedOn w:val="49"/>
    <w:qFormat/>
    <w:uiPriority w:val="99"/>
    <w:rPr>
      <w:rFonts w:cs="Times New Roman"/>
    </w:rPr>
  </w:style>
  <w:style w:type="character" w:styleId="58">
    <w:name w:val="Hyperlink"/>
    <w:basedOn w:val="49"/>
    <w:qFormat/>
    <w:uiPriority w:val="99"/>
    <w:rPr>
      <w:rFonts w:cs="Times New Roman"/>
      <w:color w:val="333333"/>
      <w:u w:val="none"/>
    </w:rPr>
  </w:style>
  <w:style w:type="character" w:styleId="59">
    <w:name w:val="HTML Code"/>
    <w:basedOn w:val="49"/>
    <w:qFormat/>
    <w:uiPriority w:val="99"/>
    <w:rPr>
      <w:rFonts w:ascii="monospace" w:hAnsi="monospace" w:cs="monospace"/>
      <w:sz w:val="20"/>
    </w:rPr>
  </w:style>
  <w:style w:type="character" w:styleId="60">
    <w:name w:val="annotation reference"/>
    <w:basedOn w:val="49"/>
    <w:semiHidden/>
    <w:qFormat/>
    <w:uiPriority w:val="99"/>
    <w:rPr>
      <w:rFonts w:cs="Times New Roman"/>
      <w:sz w:val="21"/>
      <w:szCs w:val="21"/>
    </w:rPr>
  </w:style>
  <w:style w:type="character" w:styleId="61">
    <w:name w:val="HTML Cite"/>
    <w:basedOn w:val="49"/>
    <w:qFormat/>
    <w:uiPriority w:val="99"/>
    <w:rPr>
      <w:rFonts w:cs="Times New Roman"/>
    </w:rPr>
  </w:style>
  <w:style w:type="character" w:styleId="62">
    <w:name w:val="footnote reference"/>
    <w:basedOn w:val="49"/>
    <w:semiHidden/>
    <w:qFormat/>
    <w:uiPriority w:val="99"/>
    <w:rPr>
      <w:rFonts w:cs="Times New Roman"/>
      <w:vertAlign w:val="superscript"/>
    </w:rPr>
  </w:style>
  <w:style w:type="character" w:styleId="63">
    <w:name w:val="HTML Keyboard"/>
    <w:basedOn w:val="49"/>
    <w:qFormat/>
    <w:uiPriority w:val="99"/>
    <w:rPr>
      <w:rFonts w:ascii="monospace" w:hAnsi="monospace" w:cs="monospace"/>
      <w:sz w:val="20"/>
    </w:rPr>
  </w:style>
  <w:style w:type="character" w:styleId="64">
    <w:name w:val="HTML Sample"/>
    <w:basedOn w:val="49"/>
    <w:qFormat/>
    <w:uiPriority w:val="99"/>
    <w:rPr>
      <w:rFonts w:ascii="monospace" w:hAnsi="monospace" w:cs="monospace"/>
    </w:rPr>
  </w:style>
  <w:style w:type="paragraph" w:customStyle="1" w:styleId="6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66">
    <w:name w:val="标题 1 字符"/>
    <w:basedOn w:val="49"/>
    <w:link w:val="6"/>
    <w:qFormat/>
    <w:locked/>
    <w:uiPriority w:val="99"/>
    <w:rPr>
      <w:rFonts w:ascii="Times New Roman" w:hAnsi="Times New Roman" w:eastAsia="仿宋" w:cs="Times New Roman"/>
      <w:b/>
      <w:bCs/>
      <w:kern w:val="44"/>
      <w:sz w:val="44"/>
      <w:szCs w:val="44"/>
      <w:lang w:val="en-US" w:eastAsia="zh-CN"/>
    </w:rPr>
  </w:style>
  <w:style w:type="character" w:customStyle="1" w:styleId="67">
    <w:name w:val="标题 2 字符"/>
    <w:basedOn w:val="49"/>
    <w:link w:val="7"/>
    <w:qFormat/>
    <w:locked/>
    <w:uiPriority w:val="99"/>
    <w:rPr>
      <w:rFonts w:ascii="Arial" w:hAnsi="Arial" w:eastAsia="黑体" w:cs="Arial"/>
      <w:b/>
      <w:bCs/>
      <w:kern w:val="2"/>
      <w:sz w:val="32"/>
      <w:szCs w:val="32"/>
      <w:lang w:val="en-US" w:eastAsia="zh-CN"/>
    </w:rPr>
  </w:style>
  <w:style w:type="character" w:customStyle="1" w:styleId="68">
    <w:name w:val="标题 3 字符"/>
    <w:basedOn w:val="49"/>
    <w:link w:val="8"/>
    <w:qFormat/>
    <w:locked/>
    <w:uiPriority w:val="99"/>
    <w:rPr>
      <w:rFonts w:eastAsia="宋体" w:cs="Times New Roman"/>
      <w:b/>
      <w:bCs/>
      <w:kern w:val="2"/>
      <w:sz w:val="32"/>
      <w:szCs w:val="32"/>
      <w:lang w:val="en-US" w:eastAsia="zh-CN"/>
    </w:rPr>
  </w:style>
  <w:style w:type="character" w:customStyle="1" w:styleId="69">
    <w:name w:val="标题 4 字符"/>
    <w:basedOn w:val="49"/>
    <w:link w:val="9"/>
    <w:qFormat/>
    <w:locked/>
    <w:uiPriority w:val="99"/>
    <w:rPr>
      <w:rFonts w:ascii="Cambria" w:hAnsi="Cambria" w:eastAsia="宋体" w:cs="Cambria"/>
      <w:b/>
      <w:bCs/>
      <w:kern w:val="2"/>
      <w:sz w:val="28"/>
      <w:szCs w:val="28"/>
      <w:lang w:val="en-US" w:eastAsia="zh-CN"/>
    </w:rPr>
  </w:style>
  <w:style w:type="character" w:customStyle="1" w:styleId="70">
    <w:name w:val="标题 5 字符"/>
    <w:basedOn w:val="49"/>
    <w:link w:val="10"/>
    <w:qFormat/>
    <w:locked/>
    <w:uiPriority w:val="99"/>
    <w:rPr>
      <w:rFonts w:ascii="Calibri" w:hAnsi="Calibri" w:eastAsia="宋体" w:cs="Calibri"/>
      <w:b/>
      <w:bCs/>
      <w:kern w:val="2"/>
      <w:sz w:val="28"/>
      <w:szCs w:val="28"/>
      <w:lang w:val="en-US" w:eastAsia="zh-CN"/>
    </w:rPr>
  </w:style>
  <w:style w:type="character" w:customStyle="1" w:styleId="71">
    <w:name w:val="标题 6 字符"/>
    <w:basedOn w:val="49"/>
    <w:link w:val="11"/>
    <w:qFormat/>
    <w:locked/>
    <w:uiPriority w:val="99"/>
    <w:rPr>
      <w:rFonts w:ascii="Cambria" w:hAnsi="Cambria" w:eastAsia="宋体" w:cs="Cambria"/>
      <w:b/>
      <w:bCs/>
      <w:kern w:val="2"/>
      <w:sz w:val="24"/>
      <w:szCs w:val="24"/>
      <w:lang w:val="en-US" w:eastAsia="zh-CN"/>
    </w:rPr>
  </w:style>
  <w:style w:type="character" w:customStyle="1" w:styleId="72">
    <w:name w:val="标题 7 字符"/>
    <w:basedOn w:val="49"/>
    <w:link w:val="12"/>
    <w:qFormat/>
    <w:locked/>
    <w:uiPriority w:val="99"/>
    <w:rPr>
      <w:rFonts w:ascii="Calibri" w:hAnsi="Calibri" w:eastAsia="宋体" w:cs="Calibri"/>
      <w:b/>
      <w:bCs/>
      <w:kern w:val="2"/>
      <w:sz w:val="24"/>
      <w:szCs w:val="24"/>
      <w:lang w:val="en-US" w:eastAsia="zh-CN"/>
    </w:rPr>
  </w:style>
  <w:style w:type="character" w:customStyle="1" w:styleId="73">
    <w:name w:val="标题 8 字符"/>
    <w:basedOn w:val="49"/>
    <w:link w:val="13"/>
    <w:qFormat/>
    <w:locked/>
    <w:uiPriority w:val="99"/>
    <w:rPr>
      <w:rFonts w:ascii="Cambria" w:hAnsi="Cambria" w:eastAsia="宋体" w:cs="Cambria"/>
      <w:kern w:val="2"/>
      <w:sz w:val="24"/>
      <w:szCs w:val="24"/>
      <w:lang w:val="en-US" w:eastAsia="zh-CN"/>
    </w:rPr>
  </w:style>
  <w:style w:type="character" w:customStyle="1" w:styleId="74">
    <w:name w:val="标题 9 字符"/>
    <w:basedOn w:val="49"/>
    <w:link w:val="14"/>
    <w:qFormat/>
    <w:locked/>
    <w:uiPriority w:val="99"/>
    <w:rPr>
      <w:rFonts w:ascii="Cambria" w:hAnsi="Cambria" w:eastAsia="宋体" w:cs="Cambria"/>
      <w:kern w:val="2"/>
      <w:sz w:val="21"/>
      <w:szCs w:val="21"/>
      <w:lang w:val="en-US" w:eastAsia="zh-CN"/>
    </w:rPr>
  </w:style>
  <w:style w:type="character" w:customStyle="1" w:styleId="75">
    <w:name w:val="文档结构图 字符"/>
    <w:basedOn w:val="49"/>
    <w:link w:val="17"/>
    <w:qFormat/>
    <w:locked/>
    <w:uiPriority w:val="99"/>
    <w:rPr>
      <w:rFonts w:cs="Times New Roman"/>
      <w:sz w:val="24"/>
      <w:szCs w:val="24"/>
      <w:shd w:val="clear" w:color="auto" w:fill="000080"/>
    </w:rPr>
  </w:style>
  <w:style w:type="character" w:customStyle="1" w:styleId="76">
    <w:name w:val="批注文字 字符"/>
    <w:basedOn w:val="49"/>
    <w:link w:val="18"/>
    <w:qFormat/>
    <w:locked/>
    <w:uiPriority w:val="99"/>
    <w:rPr>
      <w:rFonts w:cs="Times New Roman"/>
      <w:kern w:val="2"/>
      <w:sz w:val="22"/>
      <w:szCs w:val="22"/>
    </w:rPr>
  </w:style>
  <w:style w:type="character" w:customStyle="1" w:styleId="77">
    <w:name w:val="正文文本 3 字符"/>
    <w:basedOn w:val="49"/>
    <w:link w:val="19"/>
    <w:semiHidden/>
    <w:qFormat/>
    <w:locked/>
    <w:uiPriority w:val="99"/>
    <w:rPr>
      <w:rFonts w:cs="Times New Roman"/>
      <w:sz w:val="16"/>
      <w:szCs w:val="16"/>
    </w:rPr>
  </w:style>
  <w:style w:type="character" w:customStyle="1" w:styleId="78">
    <w:name w:val="正文文本 字符"/>
    <w:basedOn w:val="49"/>
    <w:link w:val="20"/>
    <w:qFormat/>
    <w:locked/>
    <w:uiPriority w:val="99"/>
    <w:rPr>
      <w:rFonts w:eastAsia="宋体" w:cs="Times New Roman"/>
      <w:b/>
      <w:bCs/>
      <w:kern w:val="2"/>
      <w:sz w:val="44"/>
      <w:szCs w:val="44"/>
      <w:lang w:val="en-US" w:eastAsia="zh-CN"/>
    </w:rPr>
  </w:style>
  <w:style w:type="character" w:customStyle="1" w:styleId="79">
    <w:name w:val="正文文本缩进 字符"/>
    <w:basedOn w:val="49"/>
    <w:link w:val="3"/>
    <w:semiHidden/>
    <w:qFormat/>
    <w:locked/>
    <w:uiPriority w:val="99"/>
    <w:rPr>
      <w:rFonts w:cs="Times New Roman"/>
      <w:sz w:val="21"/>
      <w:szCs w:val="21"/>
    </w:rPr>
  </w:style>
  <w:style w:type="character" w:customStyle="1" w:styleId="80">
    <w:name w:val="纯文本 字符"/>
    <w:basedOn w:val="49"/>
    <w:link w:val="27"/>
    <w:semiHidden/>
    <w:qFormat/>
    <w:locked/>
    <w:uiPriority w:val="99"/>
    <w:rPr>
      <w:rFonts w:ascii="宋体" w:hAnsi="Courier New" w:cs="Courier New"/>
      <w:sz w:val="21"/>
      <w:szCs w:val="21"/>
    </w:rPr>
  </w:style>
  <w:style w:type="character" w:customStyle="1" w:styleId="81">
    <w:name w:val="日期 字符"/>
    <w:basedOn w:val="49"/>
    <w:link w:val="29"/>
    <w:qFormat/>
    <w:locked/>
    <w:uiPriority w:val="99"/>
    <w:rPr>
      <w:rFonts w:ascii="仿宋_GB2312" w:eastAsia="仿宋_GB2312" w:cs="仿宋_GB2312"/>
      <w:kern w:val="2"/>
      <w:sz w:val="30"/>
      <w:szCs w:val="30"/>
      <w:lang w:val="en-US" w:eastAsia="zh-CN"/>
    </w:rPr>
  </w:style>
  <w:style w:type="character" w:customStyle="1" w:styleId="82">
    <w:name w:val="正文文本缩进 2 字符"/>
    <w:basedOn w:val="49"/>
    <w:link w:val="30"/>
    <w:semiHidden/>
    <w:qFormat/>
    <w:locked/>
    <w:uiPriority w:val="99"/>
    <w:rPr>
      <w:rFonts w:cs="Times New Roman"/>
      <w:sz w:val="21"/>
      <w:szCs w:val="21"/>
    </w:rPr>
  </w:style>
  <w:style w:type="character" w:customStyle="1" w:styleId="83">
    <w:name w:val="批注框文本 字符"/>
    <w:basedOn w:val="49"/>
    <w:link w:val="31"/>
    <w:semiHidden/>
    <w:qFormat/>
    <w:locked/>
    <w:uiPriority w:val="99"/>
    <w:rPr>
      <w:rFonts w:cs="Times New Roman"/>
      <w:sz w:val="2"/>
    </w:rPr>
  </w:style>
  <w:style w:type="character" w:customStyle="1" w:styleId="84">
    <w:name w:val="页脚 字符"/>
    <w:basedOn w:val="49"/>
    <w:link w:val="32"/>
    <w:qFormat/>
    <w:locked/>
    <w:uiPriority w:val="99"/>
    <w:rPr>
      <w:rFonts w:eastAsia="宋体" w:cs="Times New Roman"/>
      <w:kern w:val="2"/>
      <w:sz w:val="18"/>
      <w:szCs w:val="18"/>
      <w:lang w:val="en-US" w:eastAsia="zh-CN"/>
    </w:rPr>
  </w:style>
  <w:style w:type="character" w:customStyle="1" w:styleId="85">
    <w:name w:val="页眉 字符"/>
    <w:basedOn w:val="49"/>
    <w:link w:val="33"/>
    <w:qFormat/>
    <w:locked/>
    <w:uiPriority w:val="99"/>
    <w:rPr>
      <w:rFonts w:eastAsia="宋体" w:cs="Times New Roman"/>
      <w:kern w:val="2"/>
      <w:sz w:val="18"/>
      <w:szCs w:val="18"/>
      <w:lang w:val="en-US" w:eastAsia="zh-CN"/>
    </w:rPr>
  </w:style>
  <w:style w:type="character" w:customStyle="1" w:styleId="86">
    <w:name w:val="副标题 字符"/>
    <w:basedOn w:val="49"/>
    <w:link w:val="36"/>
    <w:qFormat/>
    <w:locked/>
    <w:uiPriority w:val="99"/>
    <w:rPr>
      <w:rFonts w:ascii="Cambria" w:hAnsi="Cambria" w:cs="Cambria"/>
      <w:b/>
      <w:bCs/>
      <w:kern w:val="28"/>
      <w:sz w:val="32"/>
      <w:szCs w:val="32"/>
    </w:rPr>
  </w:style>
  <w:style w:type="character" w:customStyle="1" w:styleId="87">
    <w:name w:val="脚注文本 字符"/>
    <w:basedOn w:val="49"/>
    <w:link w:val="38"/>
    <w:semiHidden/>
    <w:qFormat/>
    <w:locked/>
    <w:uiPriority w:val="99"/>
    <w:rPr>
      <w:rFonts w:cs="Times New Roman"/>
      <w:sz w:val="18"/>
      <w:szCs w:val="18"/>
    </w:rPr>
  </w:style>
  <w:style w:type="character" w:customStyle="1" w:styleId="88">
    <w:name w:val="正文文本缩进 3 字符"/>
    <w:basedOn w:val="49"/>
    <w:link w:val="39"/>
    <w:semiHidden/>
    <w:qFormat/>
    <w:locked/>
    <w:uiPriority w:val="99"/>
    <w:rPr>
      <w:rFonts w:cs="Times New Roman"/>
      <w:sz w:val="16"/>
      <w:szCs w:val="16"/>
    </w:rPr>
  </w:style>
  <w:style w:type="character" w:customStyle="1" w:styleId="89">
    <w:name w:val="正文文本 2 字符"/>
    <w:basedOn w:val="49"/>
    <w:link w:val="43"/>
    <w:semiHidden/>
    <w:qFormat/>
    <w:locked/>
    <w:uiPriority w:val="99"/>
    <w:rPr>
      <w:rFonts w:cs="Times New Roman"/>
      <w:sz w:val="21"/>
      <w:szCs w:val="21"/>
    </w:rPr>
  </w:style>
  <w:style w:type="character" w:customStyle="1" w:styleId="90">
    <w:name w:val="标题 字符"/>
    <w:basedOn w:val="49"/>
    <w:link w:val="45"/>
    <w:qFormat/>
    <w:locked/>
    <w:uiPriority w:val="99"/>
    <w:rPr>
      <w:rFonts w:ascii="Cambria" w:hAnsi="Cambria" w:cs="Cambria"/>
      <w:b/>
      <w:bCs/>
      <w:kern w:val="2"/>
      <w:sz w:val="32"/>
      <w:szCs w:val="32"/>
    </w:rPr>
  </w:style>
  <w:style w:type="character" w:customStyle="1" w:styleId="91">
    <w:name w:val="批注主题 字符"/>
    <w:basedOn w:val="76"/>
    <w:link w:val="46"/>
    <w:qFormat/>
    <w:locked/>
    <w:uiPriority w:val="99"/>
    <w:rPr>
      <w:rFonts w:ascii="宋体" w:cs="宋体"/>
      <w:b/>
      <w:bCs/>
      <w:kern w:val="2"/>
      <w:sz w:val="28"/>
      <w:szCs w:val="28"/>
    </w:rPr>
  </w:style>
  <w:style w:type="character" w:customStyle="1" w:styleId="92">
    <w:name w:val="正文首行缩进 2 字符"/>
    <w:basedOn w:val="79"/>
    <w:link w:val="2"/>
    <w:semiHidden/>
    <w:qFormat/>
    <w:locked/>
    <w:uiPriority w:val="99"/>
    <w:rPr>
      <w:rFonts w:cs="Times New Roman"/>
      <w:sz w:val="21"/>
      <w:szCs w:val="21"/>
    </w:rPr>
  </w:style>
  <w:style w:type="character" w:customStyle="1" w:styleId="93">
    <w:name w:val="批注文字 Char Char"/>
    <w:qFormat/>
    <w:uiPriority w:val="99"/>
    <w:rPr>
      <w:rFonts w:ascii="宋体" w:hAnsi="Times New Roman" w:eastAsia="宋体"/>
      <w:sz w:val="20"/>
    </w:rPr>
  </w:style>
  <w:style w:type="character" w:customStyle="1" w:styleId="94">
    <w:name w:val="标题 1 Char Char"/>
    <w:qFormat/>
    <w:locked/>
    <w:uiPriority w:val="99"/>
    <w:rPr>
      <w:rFonts w:eastAsia="宋体"/>
      <w:b/>
      <w:kern w:val="44"/>
      <w:sz w:val="44"/>
      <w:lang w:val="en-US" w:eastAsia="zh-CN"/>
    </w:rPr>
  </w:style>
  <w:style w:type="character" w:customStyle="1" w:styleId="95">
    <w:name w:val="Char Char"/>
    <w:qFormat/>
    <w:uiPriority w:val="99"/>
    <w:rPr>
      <w:rFonts w:ascii="Arial" w:hAnsi="Arial" w:eastAsia="黑体"/>
      <w:b/>
      <w:kern w:val="2"/>
      <w:sz w:val="32"/>
      <w:lang w:val="en-US" w:eastAsia="zh-CN"/>
    </w:rPr>
  </w:style>
  <w:style w:type="character" w:customStyle="1" w:styleId="96">
    <w:name w:val="明显参考1"/>
    <w:qFormat/>
    <w:uiPriority w:val="99"/>
    <w:rPr>
      <w:b/>
      <w:smallCaps/>
      <w:color w:val="auto"/>
      <w:spacing w:val="5"/>
      <w:u w:val="single"/>
    </w:rPr>
  </w:style>
  <w:style w:type="character" w:customStyle="1" w:styleId="97">
    <w:name w:val="明显强调1"/>
    <w:qFormat/>
    <w:uiPriority w:val="99"/>
    <w:rPr>
      <w:b/>
      <w:i/>
      <w:color w:val="4F81BD"/>
    </w:rPr>
  </w:style>
  <w:style w:type="character" w:customStyle="1" w:styleId="98">
    <w:name w:val="文档结构图 Char1"/>
    <w:qFormat/>
    <w:uiPriority w:val="99"/>
    <w:rPr>
      <w:rFonts w:ascii="宋体"/>
      <w:kern w:val="2"/>
      <w:sz w:val="18"/>
    </w:rPr>
  </w:style>
  <w:style w:type="character" w:customStyle="1" w:styleId="99">
    <w:name w:val="日期 Char"/>
    <w:qFormat/>
    <w:uiPriority w:val="99"/>
    <w:rPr>
      <w:rFonts w:ascii="仿宋_GB2312" w:eastAsia="仿宋_GB2312"/>
      <w:kern w:val="2"/>
      <w:sz w:val="30"/>
      <w:lang w:val="en-US" w:eastAsia="zh-CN"/>
    </w:rPr>
  </w:style>
  <w:style w:type="character" w:customStyle="1" w:styleId="100">
    <w:name w:val="textcontents"/>
    <w:qFormat/>
    <w:uiPriority w:val="99"/>
  </w:style>
  <w:style w:type="character" w:customStyle="1" w:styleId="101">
    <w:name w:val="引用 Char"/>
    <w:link w:val="102"/>
    <w:qFormat/>
    <w:locked/>
    <w:uiPriority w:val="99"/>
    <w:rPr>
      <w:i/>
      <w:color w:val="000000"/>
      <w:kern w:val="2"/>
      <w:sz w:val="22"/>
    </w:rPr>
  </w:style>
  <w:style w:type="paragraph" w:customStyle="1" w:styleId="102">
    <w:name w:val="引用1"/>
    <w:basedOn w:val="1"/>
    <w:next w:val="1"/>
    <w:link w:val="101"/>
    <w:qFormat/>
    <w:uiPriority w:val="99"/>
    <w:rPr>
      <w:i/>
      <w:color w:val="000000"/>
      <w:sz w:val="22"/>
      <w:szCs w:val="20"/>
    </w:rPr>
  </w:style>
  <w:style w:type="character" w:customStyle="1" w:styleId="103">
    <w:name w:val="日期 Char1"/>
    <w:qFormat/>
    <w:uiPriority w:val="99"/>
    <w:rPr>
      <w:kern w:val="2"/>
      <w:sz w:val="22"/>
    </w:rPr>
  </w:style>
  <w:style w:type="character" w:customStyle="1" w:styleId="104">
    <w:name w:val="不明显参考1"/>
    <w:qFormat/>
    <w:uiPriority w:val="99"/>
    <w:rPr>
      <w:smallCaps/>
      <w:color w:val="auto"/>
      <w:u w:val="single"/>
    </w:rPr>
  </w:style>
  <w:style w:type="character" w:customStyle="1" w:styleId="105">
    <w:name w:val="批注框文本 Char1"/>
    <w:qFormat/>
    <w:uiPriority w:val="99"/>
    <w:rPr>
      <w:kern w:val="2"/>
      <w:sz w:val="18"/>
    </w:rPr>
  </w:style>
  <w:style w:type="character" w:customStyle="1" w:styleId="106">
    <w:name w:val="不明显强调1"/>
    <w:qFormat/>
    <w:uiPriority w:val="99"/>
    <w:rPr>
      <w:i/>
      <w:color w:val="808080"/>
    </w:rPr>
  </w:style>
  <w:style w:type="character" w:customStyle="1" w:styleId="107">
    <w:name w:val="标题4 Char Char"/>
    <w:link w:val="108"/>
    <w:qFormat/>
    <w:locked/>
    <w:uiPriority w:val="99"/>
    <w:rPr>
      <w:rFonts w:ascii="Arial" w:hAnsi="Arial"/>
      <w:b/>
      <w:sz w:val="32"/>
    </w:rPr>
  </w:style>
  <w:style w:type="paragraph" w:customStyle="1" w:styleId="108">
    <w:name w:val="标题4"/>
    <w:basedOn w:val="7"/>
    <w:next w:val="24"/>
    <w:link w:val="107"/>
    <w:qFormat/>
    <w:uiPriority w:val="99"/>
    <w:pPr>
      <w:spacing w:line="413" w:lineRule="auto"/>
    </w:pPr>
    <w:rPr>
      <w:rFonts w:eastAsia="宋体" w:cs="Times New Roman"/>
      <w:bCs w:val="0"/>
      <w:kern w:val="0"/>
      <w:szCs w:val="20"/>
    </w:rPr>
  </w:style>
  <w:style w:type="character" w:customStyle="1" w:styleId="109">
    <w:name w:val="书籍标题1"/>
    <w:qFormat/>
    <w:uiPriority w:val="99"/>
    <w:rPr>
      <w:b/>
      <w:smallCaps/>
      <w:spacing w:val="5"/>
    </w:rPr>
  </w:style>
  <w:style w:type="character" w:customStyle="1" w:styleId="110">
    <w:name w:val="bigfont"/>
    <w:basedOn w:val="49"/>
    <w:qFormat/>
    <w:uiPriority w:val="99"/>
    <w:rPr>
      <w:rFonts w:cs="Times New Roman"/>
    </w:rPr>
  </w:style>
  <w:style w:type="character" w:customStyle="1" w:styleId="111">
    <w:name w:val="news_title1"/>
    <w:qFormat/>
    <w:uiPriority w:val="99"/>
    <w:rPr>
      <w:rFonts w:ascii="宋体" w:hAnsi="宋体" w:eastAsia="宋体"/>
      <w:b/>
      <w:color w:val="000000"/>
      <w:sz w:val="36"/>
      <w:u w:val="none"/>
    </w:rPr>
  </w:style>
  <w:style w:type="character" w:customStyle="1" w:styleId="112">
    <w:name w:val="标题5 Char Char"/>
    <w:link w:val="113"/>
    <w:qFormat/>
    <w:locked/>
    <w:uiPriority w:val="99"/>
    <w:rPr>
      <w:rFonts w:ascii="Arial" w:hAnsi="Arial"/>
      <w:b/>
      <w:sz w:val="32"/>
    </w:rPr>
  </w:style>
  <w:style w:type="paragraph" w:customStyle="1" w:styleId="113">
    <w:name w:val="标题5"/>
    <w:basedOn w:val="8"/>
    <w:link w:val="112"/>
    <w:qFormat/>
    <w:uiPriority w:val="99"/>
    <w:pPr>
      <w:spacing w:line="413" w:lineRule="auto"/>
    </w:pPr>
    <w:rPr>
      <w:rFonts w:ascii="Arial" w:hAnsi="Arial"/>
      <w:bCs w:val="0"/>
      <w:kern w:val="0"/>
      <w:szCs w:val="20"/>
    </w:rPr>
  </w:style>
  <w:style w:type="character" w:customStyle="1" w:styleId="114">
    <w:name w:val="font161"/>
    <w:qFormat/>
    <w:uiPriority w:val="99"/>
    <w:rPr>
      <w:b/>
      <w:sz w:val="32"/>
    </w:rPr>
  </w:style>
  <w:style w:type="character" w:customStyle="1" w:styleId="115">
    <w:name w:val="标题 2 Char Char"/>
    <w:qFormat/>
    <w:locked/>
    <w:uiPriority w:val="99"/>
    <w:rPr>
      <w:rFonts w:ascii="Arial" w:hAnsi="Arial" w:eastAsia="黑体"/>
      <w:b/>
      <w:kern w:val="2"/>
      <w:sz w:val="32"/>
      <w:lang w:val="en-US" w:eastAsia="zh-CN"/>
    </w:rPr>
  </w:style>
  <w:style w:type="character" w:customStyle="1" w:styleId="116">
    <w:name w:val="Char Char1"/>
    <w:qFormat/>
    <w:uiPriority w:val="99"/>
    <w:rPr>
      <w:rFonts w:ascii="宋体" w:hAnsi="Times New Roman"/>
      <w:sz w:val="28"/>
    </w:rPr>
  </w:style>
  <w:style w:type="character" w:customStyle="1" w:styleId="117">
    <w:name w:val="明显引用 Char"/>
    <w:link w:val="118"/>
    <w:qFormat/>
    <w:locked/>
    <w:uiPriority w:val="99"/>
    <w:rPr>
      <w:b/>
      <w:i/>
      <w:color w:val="4F81BD"/>
      <w:kern w:val="2"/>
      <w:sz w:val="22"/>
    </w:rPr>
  </w:style>
  <w:style w:type="paragraph" w:customStyle="1" w:styleId="118">
    <w:name w:val="明显引用1"/>
    <w:basedOn w:val="1"/>
    <w:next w:val="1"/>
    <w:link w:val="117"/>
    <w:qFormat/>
    <w:uiPriority w:val="99"/>
    <w:pPr>
      <w:pBdr>
        <w:bottom w:val="single" w:color="4F81BD" w:sz="4" w:space="4"/>
      </w:pBdr>
      <w:spacing w:before="200" w:after="280"/>
      <w:ind w:left="936" w:right="936"/>
    </w:pPr>
    <w:rPr>
      <w:b/>
      <w:i/>
      <w:color w:val="4F81BD"/>
      <w:sz w:val="22"/>
      <w:szCs w:val="20"/>
    </w:rPr>
  </w:style>
  <w:style w:type="character" w:customStyle="1" w:styleId="119">
    <w:name w:val="批注主题 Char1"/>
    <w:qFormat/>
    <w:uiPriority w:val="99"/>
    <w:rPr>
      <w:b/>
      <w:kern w:val="2"/>
      <w:sz w:val="22"/>
    </w:rPr>
  </w:style>
  <w:style w:type="character" w:customStyle="1" w:styleId="120">
    <w:name w:val="正文文本 Char1"/>
    <w:qFormat/>
    <w:uiPriority w:val="99"/>
    <w:rPr>
      <w:kern w:val="2"/>
      <w:sz w:val="22"/>
    </w:rPr>
  </w:style>
  <w:style w:type="paragraph" w:customStyle="1" w:styleId="121">
    <w:name w:val="默认段落字体 Para Char Char Char Char"/>
    <w:basedOn w:val="1"/>
    <w:qFormat/>
    <w:uiPriority w:val="99"/>
  </w:style>
  <w:style w:type="paragraph" w:customStyle="1" w:styleId="122">
    <w:name w:val="Char Char Char Char Char Char Char Char Char Char Char Char Char"/>
    <w:basedOn w:val="1"/>
    <w:qFormat/>
    <w:uiPriority w:val="99"/>
  </w:style>
  <w:style w:type="paragraph" w:customStyle="1" w:styleId="123">
    <w:name w:val="样式 标题 3 + (中文) 黑体 小四 非加粗 段前: 7.8 磅 段后: 0 磅 行距: 固定值 20 磅"/>
    <w:basedOn w:val="8"/>
    <w:qFormat/>
    <w:uiPriority w:val="99"/>
    <w:pPr>
      <w:spacing w:before="0" w:after="0" w:line="400" w:lineRule="exact"/>
    </w:pPr>
    <w:rPr>
      <w:rFonts w:eastAsia="黑体"/>
      <w:b w:val="0"/>
      <w:bCs w:val="0"/>
      <w:sz w:val="24"/>
      <w:szCs w:val="24"/>
    </w:rPr>
  </w:style>
  <w:style w:type="paragraph" w:customStyle="1" w:styleId="124">
    <w:name w:val="表格文字"/>
    <w:basedOn w:val="1"/>
    <w:qFormat/>
    <w:uiPriority w:val="99"/>
    <w:pPr>
      <w:adjustRightInd w:val="0"/>
      <w:spacing w:line="420" w:lineRule="atLeast"/>
      <w:jc w:val="left"/>
      <w:textAlignment w:val="baseline"/>
    </w:pPr>
    <w:rPr>
      <w:kern w:val="0"/>
    </w:rPr>
  </w:style>
  <w:style w:type="paragraph" w:customStyle="1" w:styleId="125">
    <w:name w:val="修订1"/>
    <w:qFormat/>
    <w:uiPriority w:val="99"/>
    <w:rPr>
      <w:rFonts w:ascii="Times New Roman" w:hAnsi="Times New Roman" w:eastAsia="宋体" w:cs="Times New Roman"/>
      <w:kern w:val="2"/>
      <w:sz w:val="21"/>
      <w:szCs w:val="21"/>
      <w:lang w:val="en-US" w:eastAsia="zh-CN" w:bidi="ar-SA"/>
    </w:rPr>
  </w:style>
  <w:style w:type="paragraph" w:customStyle="1" w:styleId="126">
    <w:name w:val="Char"/>
    <w:basedOn w:val="1"/>
    <w:next w:val="1"/>
    <w:qFormat/>
    <w:uiPriority w:val="99"/>
    <w:pPr>
      <w:widowControl/>
      <w:spacing w:line="360" w:lineRule="auto"/>
      <w:jc w:val="left"/>
    </w:pPr>
    <w:rPr>
      <w:kern w:val="0"/>
      <w:lang w:eastAsia="en-US"/>
    </w:rPr>
  </w:style>
  <w:style w:type="paragraph" w:customStyle="1" w:styleId="127">
    <w:name w:val="样式2"/>
    <w:basedOn w:val="8"/>
    <w:qFormat/>
    <w:uiPriority w:val="99"/>
    <w:pPr>
      <w:spacing w:line="413" w:lineRule="auto"/>
    </w:pPr>
  </w:style>
  <w:style w:type="paragraph" w:customStyle="1" w:styleId="128">
    <w:name w:val="6'"/>
    <w:basedOn w:val="1"/>
    <w:qFormat/>
    <w:uiPriority w:val="99"/>
    <w:pPr>
      <w:autoSpaceDE w:val="0"/>
      <w:autoSpaceDN w:val="0"/>
      <w:adjustRightInd w:val="0"/>
      <w:snapToGrid w:val="0"/>
      <w:spacing w:line="320" w:lineRule="exact"/>
      <w:jc w:val="center"/>
      <w:textAlignment w:val="baseline"/>
    </w:pPr>
    <w:rPr>
      <w:spacing w:val="20"/>
      <w:kern w:val="28"/>
    </w:rPr>
  </w:style>
  <w:style w:type="paragraph" w:customStyle="1" w:styleId="129">
    <w:name w:val="表格"/>
    <w:basedOn w:val="1"/>
    <w:qFormat/>
    <w:uiPriority w:val="99"/>
    <w:pPr>
      <w:jc w:val="center"/>
      <w:textAlignment w:val="center"/>
    </w:pPr>
    <w:rPr>
      <w:rFonts w:ascii="华文细黑" w:hAnsi="华文细黑" w:cs="华文细黑"/>
      <w:kern w:val="0"/>
    </w:rPr>
  </w:style>
  <w:style w:type="paragraph" w:customStyle="1" w:styleId="130">
    <w:name w:val="Blockquote"/>
    <w:basedOn w:val="1"/>
    <w:qFormat/>
    <w:uiPriority w:val="99"/>
    <w:pPr>
      <w:autoSpaceDE w:val="0"/>
      <w:autoSpaceDN w:val="0"/>
      <w:adjustRightInd w:val="0"/>
      <w:spacing w:before="100" w:after="100"/>
      <w:ind w:left="360" w:right="360"/>
      <w:jc w:val="left"/>
    </w:pPr>
    <w:rPr>
      <w:kern w:val="0"/>
      <w:sz w:val="24"/>
      <w:szCs w:val="24"/>
    </w:rPr>
  </w:style>
  <w:style w:type="paragraph" w:customStyle="1" w:styleId="131">
    <w:name w:val="1"/>
    <w:basedOn w:val="1"/>
    <w:next w:val="1"/>
    <w:qFormat/>
    <w:uiPriority w:val="99"/>
  </w:style>
  <w:style w:type="paragraph" w:customStyle="1" w:styleId="132">
    <w:name w:val="样式1"/>
    <w:basedOn w:val="8"/>
    <w:qFormat/>
    <w:uiPriority w:val="99"/>
    <w:pPr>
      <w:spacing w:line="413" w:lineRule="auto"/>
    </w:pPr>
  </w:style>
  <w:style w:type="paragraph" w:customStyle="1" w:styleId="133">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34">
    <w:name w:val="无间隔1"/>
    <w:qFormat/>
    <w:uiPriority w:val="99"/>
    <w:pPr>
      <w:widowControl w:val="0"/>
      <w:jc w:val="both"/>
    </w:pPr>
    <w:rPr>
      <w:rFonts w:ascii="Calibri" w:hAnsi="Calibri" w:eastAsia="宋体" w:cs="Calibri"/>
      <w:kern w:val="2"/>
      <w:sz w:val="21"/>
      <w:szCs w:val="21"/>
      <w:lang w:val="en-US" w:eastAsia="zh-CN" w:bidi="ar-SA"/>
    </w:rPr>
  </w:style>
  <w:style w:type="paragraph" w:customStyle="1" w:styleId="135">
    <w:name w:val="样式4"/>
    <w:basedOn w:val="8"/>
    <w:qFormat/>
    <w:uiPriority w:val="99"/>
    <w:pPr>
      <w:spacing w:line="413" w:lineRule="auto"/>
    </w:pPr>
  </w:style>
  <w:style w:type="paragraph" w:customStyle="1" w:styleId="136">
    <w:name w:val="TOC 标题1"/>
    <w:basedOn w:val="6"/>
    <w:next w:val="1"/>
    <w:qFormat/>
    <w:uiPriority w:val="99"/>
    <w:pPr>
      <w:spacing w:line="576" w:lineRule="auto"/>
      <w:outlineLvl w:val="9"/>
    </w:pPr>
    <w:rPr>
      <w:rFonts w:ascii="Calibri" w:hAnsi="Calibri" w:cs="Calibri"/>
    </w:rPr>
  </w:style>
  <w:style w:type="paragraph" w:customStyle="1" w:styleId="137">
    <w:name w:val="样式 标题 1 + 黑体 三号 非加粗 居中 段前: 6 磅 段后: 6 磅 行距: 固定值 20 磅"/>
    <w:basedOn w:val="6"/>
    <w:qFormat/>
    <w:uiPriority w:val="99"/>
    <w:pPr>
      <w:spacing w:before="120" w:after="120" w:line="400" w:lineRule="exact"/>
    </w:pPr>
    <w:rPr>
      <w:rFonts w:ascii="黑体" w:hAnsi="黑体" w:eastAsia="黑体" w:cs="黑体"/>
      <w:b w:val="0"/>
      <w:bCs w:val="0"/>
      <w:sz w:val="32"/>
      <w:szCs w:val="32"/>
    </w:rPr>
  </w:style>
  <w:style w:type="paragraph" w:customStyle="1" w:styleId="138">
    <w:name w:val="样式 标题 2 + Times New Roman 四号 非加粗 段前: 5 磅 段后: 0 磅 行距: 固定值 20..."/>
    <w:basedOn w:val="7"/>
    <w:qFormat/>
    <w:uiPriority w:val="99"/>
    <w:pPr>
      <w:spacing w:before="100" w:after="0" w:line="400" w:lineRule="exact"/>
    </w:pPr>
    <w:rPr>
      <w:rFonts w:ascii="Times New Roman" w:hAnsi="Times New Roman" w:cs="Times New Roman"/>
      <w:b w:val="0"/>
      <w:bCs w:val="0"/>
      <w:kern w:val="0"/>
      <w:sz w:val="28"/>
      <w:szCs w:val="28"/>
    </w:rPr>
  </w:style>
  <w:style w:type="paragraph" w:customStyle="1" w:styleId="139">
    <w:name w:val="Char Char Char Char Char Char Char Char Char Char Char Char Char1"/>
    <w:basedOn w:val="17"/>
    <w:qFormat/>
    <w:uiPriority w:val="99"/>
    <w:rPr>
      <w:rFonts w:ascii="Tahoma" w:hAnsi="Tahoma" w:cs="Tahoma"/>
      <w:sz w:val="24"/>
      <w:szCs w:val="24"/>
      <w:shd w:val="clear" w:color="auto" w:fill="auto"/>
    </w:rPr>
  </w:style>
  <w:style w:type="paragraph" w:customStyle="1" w:styleId="140">
    <w:name w:val="列出段落1"/>
    <w:basedOn w:val="1"/>
    <w:qFormat/>
    <w:uiPriority w:val="99"/>
    <w:pPr>
      <w:ind w:firstLine="420" w:firstLineChars="200"/>
    </w:pPr>
    <w:rPr>
      <w:rFonts w:ascii="Calibri" w:hAnsi="Calibri" w:cs="Calibri"/>
    </w:rPr>
  </w:style>
  <w:style w:type="paragraph" w:customStyle="1" w:styleId="141">
    <w:name w:val="Char1"/>
    <w:basedOn w:val="1"/>
    <w:qFormat/>
    <w:uiPriority w:val="99"/>
    <w:rPr>
      <w:rFonts w:ascii="Tahoma" w:hAnsi="Tahoma" w:cs="Tahoma"/>
      <w:sz w:val="24"/>
      <w:szCs w:val="24"/>
    </w:rPr>
  </w:style>
  <w:style w:type="paragraph" w:customStyle="1" w:styleId="142">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43">
    <w:name w:val="样式3"/>
    <w:basedOn w:val="8"/>
    <w:qFormat/>
    <w:uiPriority w:val="99"/>
    <w:pPr>
      <w:spacing w:line="413" w:lineRule="auto"/>
    </w:pPr>
  </w:style>
  <w:style w:type="paragraph" w:customStyle="1" w:styleId="144">
    <w:name w:val="正文1"/>
    <w:qFormat/>
    <w:uiPriority w:val="99"/>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145">
    <w:name w:val="列出段落2"/>
    <w:basedOn w:val="1"/>
    <w:qFormat/>
    <w:uiPriority w:val="99"/>
    <w:pPr>
      <w:ind w:firstLine="200" w:firstLineChars="200"/>
    </w:pPr>
  </w:style>
  <w:style w:type="paragraph" w:customStyle="1" w:styleId="146">
    <w:name w:val="p0"/>
    <w:basedOn w:val="1"/>
    <w:qFormat/>
    <w:uiPriority w:val="99"/>
    <w:pPr>
      <w:widowControl/>
    </w:pPr>
    <w:rPr>
      <w:kern w:val="0"/>
    </w:rPr>
  </w:style>
  <w:style w:type="paragraph" w:customStyle="1" w:styleId="147">
    <w:name w:val="节标题"/>
    <w:basedOn w:val="1"/>
    <w:next w:val="1"/>
    <w:qFormat/>
    <w:uiPriority w:val="99"/>
    <w:pPr>
      <w:widowControl/>
      <w:spacing w:line="289" w:lineRule="atLeast"/>
      <w:jc w:val="center"/>
      <w:textAlignment w:val="baseline"/>
    </w:pPr>
    <w:rPr>
      <w:color w:val="000000"/>
      <w:kern w:val="0"/>
      <w:sz w:val="28"/>
      <w:szCs w:val="20"/>
    </w:rPr>
  </w:style>
  <w:style w:type="paragraph" w:customStyle="1" w:styleId="148">
    <w:name w:val="WPSOffice手动目录 1"/>
    <w:qFormat/>
    <w:uiPriority w:val="99"/>
    <w:rPr>
      <w:rFonts w:ascii="Times New Roman" w:hAnsi="Times New Roman" w:eastAsia="宋体" w:cs="Times New Roman"/>
      <w:lang w:val="en-US" w:eastAsia="zh-CN" w:bidi="ar-SA"/>
    </w:rPr>
  </w:style>
  <w:style w:type="paragraph" w:customStyle="1" w:styleId="149">
    <w:name w:val="WPSOffice手动目录 2"/>
    <w:qFormat/>
    <w:uiPriority w:val="99"/>
    <w:pPr>
      <w:ind w:left="200" w:leftChars="200"/>
    </w:pPr>
    <w:rPr>
      <w:rFonts w:ascii="Times New Roman" w:hAnsi="Times New Roman" w:eastAsia="宋体" w:cs="Times New Roman"/>
      <w:lang w:val="en-US" w:eastAsia="zh-CN" w:bidi="ar-SA"/>
    </w:rPr>
  </w:style>
  <w:style w:type="paragraph" w:customStyle="1" w:styleId="150">
    <w:name w:val="WPSOffice手动目录 3"/>
    <w:qFormat/>
    <w:uiPriority w:val="99"/>
    <w:pPr>
      <w:ind w:left="400" w:leftChars="400"/>
    </w:pPr>
    <w:rPr>
      <w:rFonts w:ascii="Times New Roman" w:hAnsi="Times New Roman" w:eastAsia="宋体" w:cs="Times New Roman"/>
      <w:lang w:val="en-US" w:eastAsia="zh-CN" w:bidi="ar-SA"/>
    </w:rPr>
  </w:style>
  <w:style w:type="character" w:customStyle="1" w:styleId="151">
    <w:name w:val="font12"/>
    <w:basedOn w:val="49"/>
    <w:qFormat/>
    <w:uiPriority w:val="0"/>
    <w:rPr>
      <w:rFonts w:hint="eastAsia" w:ascii="仿宋" w:hAnsi="仿宋" w:eastAsia="仿宋" w:cs="仿宋"/>
      <w:b/>
      <w:color w:val="000000"/>
      <w:sz w:val="32"/>
      <w:szCs w:val="32"/>
      <w:u w:val="none"/>
    </w:rPr>
  </w:style>
  <w:style w:type="paragraph" w:customStyle="1" w:styleId="152">
    <w:name w:val="Char1 Char Char Char"/>
    <w:basedOn w:val="1"/>
    <w:qFormat/>
    <w:uiPriority w:val="0"/>
    <w:pPr>
      <w:widowControl/>
      <w:spacing w:after="160" w:line="240" w:lineRule="exact"/>
      <w:jc w:val="left"/>
    </w:pPr>
    <w:rPr>
      <w:rFonts w:ascii="Verdana" w:hAnsi="Verdana"/>
      <w:kern w:val="0"/>
      <w:sz w:val="30"/>
      <w:szCs w:val="30"/>
      <w:lang w:eastAsia="en-US"/>
    </w:rPr>
  </w:style>
  <w:style w:type="character" w:customStyle="1" w:styleId="153">
    <w:name w:val="font101"/>
    <w:basedOn w:val="49"/>
    <w:qFormat/>
    <w:uiPriority w:val="0"/>
    <w:rPr>
      <w:rFonts w:hint="default" w:ascii="Times New Roman" w:hAnsi="Times New Roman" w:cs="Times New Roman"/>
      <w:color w:val="000000"/>
      <w:sz w:val="24"/>
      <w:szCs w:val="24"/>
      <w:u w:val="none"/>
    </w:rPr>
  </w:style>
  <w:style w:type="character" w:customStyle="1" w:styleId="154">
    <w:name w:val="font111"/>
    <w:basedOn w:val="49"/>
    <w:qFormat/>
    <w:uiPriority w:val="0"/>
    <w:rPr>
      <w:rFonts w:ascii="仿宋_GB2312" w:eastAsia="仿宋_GB2312" w:cs="仿宋_GB2312"/>
      <w:color w:val="000000"/>
      <w:sz w:val="24"/>
      <w:szCs w:val="24"/>
      <w:u w:val="none"/>
    </w:rPr>
  </w:style>
  <w:style w:type="character" w:customStyle="1" w:styleId="155">
    <w:name w:val="font91"/>
    <w:basedOn w:val="49"/>
    <w:qFormat/>
    <w:uiPriority w:val="0"/>
    <w:rPr>
      <w:rFonts w:hint="eastAsia" w:ascii="仿宋" w:hAnsi="仿宋" w:eastAsia="仿宋" w:cs="仿宋"/>
      <w:color w:val="000000"/>
      <w:sz w:val="24"/>
      <w:szCs w:val="24"/>
      <w:u w:val="single"/>
    </w:rPr>
  </w:style>
  <w:style w:type="character" w:customStyle="1" w:styleId="156">
    <w:name w:val="font81"/>
    <w:basedOn w:val="49"/>
    <w:qFormat/>
    <w:uiPriority w:val="0"/>
    <w:rPr>
      <w:rFonts w:hint="eastAsia" w:ascii="仿宋" w:hAnsi="仿宋" w:eastAsia="仿宋" w:cs="仿宋"/>
      <w:color w:val="000000"/>
      <w:sz w:val="24"/>
      <w:szCs w:val="24"/>
      <w:u w:val="none"/>
    </w:rPr>
  </w:style>
  <w:style w:type="character" w:customStyle="1" w:styleId="157">
    <w:name w:val="font61"/>
    <w:basedOn w:val="49"/>
    <w:qFormat/>
    <w:uiPriority w:val="0"/>
    <w:rPr>
      <w:rFonts w:hint="eastAsia" w:ascii="仿宋" w:hAnsi="仿宋" w:eastAsia="仿宋" w:cs="仿宋"/>
      <w:b/>
      <w:color w:val="000000"/>
      <w:sz w:val="32"/>
      <w:szCs w:val="32"/>
      <w:u w:val="none"/>
    </w:rPr>
  </w:style>
  <w:style w:type="character" w:customStyle="1" w:styleId="158">
    <w:name w:val="font21"/>
    <w:basedOn w:val="49"/>
    <w:qFormat/>
    <w:uiPriority w:val="0"/>
    <w:rPr>
      <w:rFonts w:hint="eastAsia" w:ascii="仿宋" w:hAnsi="仿宋" w:eastAsia="仿宋" w:cs="仿宋"/>
      <w:color w:val="000000"/>
      <w:sz w:val="24"/>
      <w:szCs w:val="24"/>
      <w:u w:val="none"/>
    </w:rPr>
  </w:style>
  <w:style w:type="paragraph" w:customStyle="1" w:styleId="159">
    <w:name w:val="纯文本1"/>
    <w:basedOn w:val="1"/>
    <w:qFormat/>
    <w:uiPriority w:val="0"/>
    <w:rPr>
      <w:rFonts w:ascii="宋体"/>
      <w:color w:val="000000"/>
    </w:rPr>
  </w:style>
  <w:style w:type="character" w:customStyle="1" w:styleId="160">
    <w:name w:val="status"/>
    <w:basedOn w:val="49"/>
    <w:qFormat/>
    <w:uiPriority w:val="0"/>
    <w:rPr>
      <w:color w:val="0776DD"/>
    </w:rPr>
  </w:style>
  <w:style w:type="character" w:customStyle="1" w:styleId="161">
    <w:name w:val="time"/>
    <w:basedOn w:val="49"/>
    <w:qFormat/>
    <w:uiPriority w:val="0"/>
  </w:style>
  <w:style w:type="paragraph" w:customStyle="1" w:styleId="162">
    <w:name w:val="Table Paragraph"/>
    <w:basedOn w:val="1"/>
    <w:qFormat/>
    <w:uiPriority w:val="1"/>
    <w:rPr>
      <w:rFonts w:ascii="宋体" w:hAnsi="宋体" w:cs="宋体"/>
      <w:lang w:val="zh-CN" w:bidi="zh-CN"/>
    </w:rPr>
  </w:style>
  <w:style w:type="character" w:customStyle="1" w:styleId="163">
    <w:name w:val="15"/>
    <w:basedOn w:val="49"/>
    <w:qFormat/>
    <w:uiPriority w:val="0"/>
    <w:rPr>
      <w:rFonts w:hint="default" w:ascii="Times New Roman" w:hAnsi="Times New Roman" w:cs="Times New Roman"/>
    </w:rPr>
  </w:style>
  <w:style w:type="character" w:customStyle="1" w:styleId="164">
    <w:name w:val="10"/>
    <w:basedOn w:val="4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17715</Words>
  <Characters>19169</Characters>
  <Lines>1</Lines>
  <Paragraphs>1</Paragraphs>
  <TotalTime>25</TotalTime>
  <ScaleCrop>false</ScaleCrop>
  <LinksUpToDate>false</LinksUpToDate>
  <CharactersWithSpaces>20938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2017-05-18T16:09:00Z</dcterms:created>
  <dc:creator>微软用户</dc:creator>
  <cp:lastModifiedBy>Administrator</cp:lastModifiedBy>
  <cp:lastPrinted>2025-04-11T07:13:00Z</cp:lastPrinted>
  <dcterms:modified xsi:type="dcterms:W3CDTF">2026-09-04T10:32:06Z</dcterms:modified>
  <dc:title>创业园小区9#楼工程施工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403B3E51057E4DB7A290AB876AF09359_13</vt:lpwstr>
  </property>
  <property fmtid="{D5CDD505-2E9C-101B-9397-08002B2CF9AE}" pid="4" name="KSOTemplateDocerSaveRecord">
    <vt:lpwstr>eyJoZGlkIjoiNDA0NzYwZTAzOWQyMzViZmUwY2E1N2Q0ZThkYmY5ZjIifQ==</vt:lpwstr>
  </property>
</Properties>
</file>