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A126">
      <w:pPr>
        <w:rPr>
          <w:rFonts w:hint="eastAsia"/>
          <w:color w:val="auto"/>
          <w:highlight w:val="none"/>
        </w:rPr>
      </w:pPr>
      <w:bookmarkStart w:id="0" w:name="OLE_LINK1"/>
    </w:p>
    <w:p w14:paraId="6E337A0F">
      <w:pPr>
        <w:keepNext w:val="0"/>
        <w:keepLines w:val="0"/>
        <w:pageBreakBefore w:val="0"/>
        <w:widowControl w:val="0"/>
        <w:kinsoku/>
        <w:wordWrap/>
        <w:overflowPunct/>
        <w:topLinePunct w:val="0"/>
        <w:autoSpaceDE/>
        <w:autoSpaceDN/>
        <w:bidi w:val="0"/>
        <w:adjustRightInd/>
        <w:snapToGrid/>
        <w:spacing w:line="920" w:lineRule="exact"/>
        <w:ind w:left="0" w:leftChars="0" w:right="0"/>
        <w:jc w:val="center"/>
        <w:textAlignment w:val="auto"/>
        <w:rPr>
          <w:rFonts w:hint="eastAsia"/>
          <w:color w:val="auto"/>
          <w:sz w:val="24"/>
          <w:highlight w:val="none"/>
        </w:rPr>
      </w:pPr>
      <w:r>
        <w:rPr>
          <w:rFonts w:hint="eastAsia" w:ascii="宋体" w:hAnsi="宋体" w:cs="宋体"/>
          <w:b/>
          <w:bCs/>
          <w:color w:val="auto"/>
          <w:w w:val="85"/>
          <w:sz w:val="48"/>
          <w:szCs w:val="48"/>
          <w:highlight w:val="none"/>
          <w:lang w:eastAsia="zh-CN"/>
        </w:rPr>
        <w:t>北门游客中心“六一书苑”场馆提升项目工程量清单及最高投标限价编制</w:t>
      </w:r>
    </w:p>
    <w:p w14:paraId="7AD5EE92">
      <w:pPr>
        <w:rPr>
          <w:rFonts w:hint="eastAsia" w:ascii="宋体"/>
          <w:bCs/>
          <w:color w:val="auto"/>
          <w:szCs w:val="21"/>
          <w:highlight w:val="none"/>
        </w:rPr>
      </w:pPr>
    </w:p>
    <w:p w14:paraId="0CDC5DC4">
      <w:pPr>
        <w:rPr>
          <w:rFonts w:hint="eastAsia" w:ascii="宋体"/>
          <w:bCs/>
          <w:color w:val="auto"/>
          <w:szCs w:val="21"/>
          <w:highlight w:val="none"/>
        </w:rPr>
      </w:pPr>
    </w:p>
    <w:p w14:paraId="732B09F0">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36A72FF8">
      <w:pPr>
        <w:rPr>
          <w:rFonts w:hint="eastAsia" w:ascii="宋体" w:hAnsi="宋体"/>
          <w:b/>
          <w:color w:val="auto"/>
          <w:sz w:val="84"/>
          <w:szCs w:val="84"/>
          <w:highlight w:val="none"/>
        </w:rPr>
      </w:pPr>
    </w:p>
    <w:p w14:paraId="6F9B41F8">
      <w:pPr>
        <w:pStyle w:val="34"/>
        <w:rPr>
          <w:rFonts w:hint="eastAsia"/>
          <w:color w:val="auto"/>
          <w:highlight w:val="none"/>
        </w:rPr>
      </w:pPr>
    </w:p>
    <w:p w14:paraId="0B7E0817">
      <w:pPr>
        <w:rPr>
          <w:rFonts w:hint="eastAsia"/>
          <w:color w:val="auto"/>
          <w:highlight w:val="none"/>
        </w:rPr>
      </w:pPr>
    </w:p>
    <w:p w14:paraId="31447BF3">
      <w:pPr>
        <w:jc w:val="center"/>
        <w:rPr>
          <w:rFonts w:hint="eastAsia" w:ascii="宋体"/>
          <w:color w:val="auto"/>
          <w:sz w:val="28"/>
          <w:szCs w:val="28"/>
          <w:highlight w:val="none"/>
        </w:rPr>
      </w:pPr>
      <w:r>
        <w:rPr>
          <w:rFonts w:hint="eastAsia" w:ascii="宋体"/>
          <w:color w:val="auto"/>
          <w:sz w:val="28"/>
          <w:szCs w:val="28"/>
          <w:highlight w:val="none"/>
        </w:rPr>
        <w:t>项目编号：HXJY1110001065257001</w:t>
      </w:r>
    </w:p>
    <w:p w14:paraId="4A9B6B37">
      <w:pPr>
        <w:pStyle w:val="20"/>
        <w:rPr>
          <w:rFonts w:hint="eastAsia"/>
          <w:color w:val="auto"/>
          <w:highlight w:val="none"/>
        </w:rPr>
      </w:pPr>
    </w:p>
    <w:p w14:paraId="71737E66">
      <w:pPr>
        <w:rPr>
          <w:rFonts w:hint="eastAsia" w:ascii="宋体"/>
          <w:b/>
          <w:color w:val="auto"/>
          <w:sz w:val="32"/>
          <w:szCs w:val="32"/>
          <w:highlight w:val="none"/>
        </w:rPr>
      </w:pPr>
    </w:p>
    <w:p w14:paraId="355D03DC">
      <w:pPr>
        <w:pStyle w:val="34"/>
        <w:rPr>
          <w:rFonts w:hint="eastAsia"/>
          <w:color w:val="auto"/>
          <w:highlight w:val="none"/>
        </w:rPr>
      </w:pPr>
    </w:p>
    <w:p w14:paraId="2D977D99">
      <w:pPr>
        <w:pStyle w:val="26"/>
        <w:rPr>
          <w:rFonts w:hint="eastAsia"/>
          <w:color w:val="auto"/>
          <w:highlight w:val="none"/>
        </w:rPr>
      </w:pPr>
    </w:p>
    <w:p w14:paraId="7D5BD9FA">
      <w:pPr>
        <w:pStyle w:val="26"/>
        <w:rPr>
          <w:rFonts w:hint="eastAsia"/>
          <w:color w:val="auto"/>
          <w:highlight w:val="none"/>
        </w:rPr>
      </w:pPr>
    </w:p>
    <w:p w14:paraId="7CA20BB5">
      <w:pPr>
        <w:pStyle w:val="26"/>
        <w:rPr>
          <w:rFonts w:hint="eastAsia"/>
          <w:color w:val="auto"/>
          <w:highlight w:val="none"/>
        </w:rPr>
      </w:pPr>
    </w:p>
    <w:p w14:paraId="5F66AD2E">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招</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标</w:t>
      </w:r>
      <w:r>
        <w:rPr>
          <w:rFonts w:hint="eastAsia" w:ascii="宋体"/>
          <w:b/>
          <w:color w:val="auto"/>
          <w:sz w:val="32"/>
          <w:szCs w:val="32"/>
          <w:highlight w:val="none"/>
        </w:rPr>
        <w:t xml:space="preserve"> 人</w:t>
      </w:r>
      <w:r>
        <w:rPr>
          <w:rFonts w:hint="eastAsia" w:ascii="宋体"/>
          <w:b/>
          <w:color w:val="auto"/>
          <w:sz w:val="32"/>
          <w:szCs w:val="32"/>
          <w:highlight w:val="none"/>
          <w:u w:val="none"/>
          <w:lang w:eastAsia="zh-CN"/>
        </w:rPr>
        <w:t>：</w:t>
      </w:r>
      <w:r>
        <w:rPr>
          <w:rFonts w:hint="eastAsia" w:ascii="宋体"/>
          <w:b/>
          <w:color w:val="auto"/>
          <w:sz w:val="32"/>
          <w:szCs w:val="32"/>
          <w:highlight w:val="none"/>
          <w:u w:val="single"/>
          <w:lang w:val="en-US" w:eastAsia="zh-CN"/>
        </w:rPr>
        <w:t xml:space="preserve">   </w:t>
      </w:r>
      <w:r>
        <w:rPr>
          <w:rFonts w:hint="eastAsia" w:ascii="宋体"/>
          <w:b/>
          <w:color w:val="auto"/>
          <w:sz w:val="32"/>
          <w:szCs w:val="32"/>
          <w:highlight w:val="none"/>
          <w:u w:val="single"/>
          <w:lang w:eastAsia="zh-CN"/>
        </w:rPr>
        <w:t>安徽省琅琊山旅游发展有限公司</w:t>
      </w:r>
      <w:r>
        <w:rPr>
          <w:rFonts w:hint="eastAsia" w:ascii="宋体"/>
          <w:b/>
          <w:color w:val="auto"/>
          <w:sz w:val="32"/>
          <w:szCs w:val="32"/>
          <w:highlight w:val="none"/>
          <w:u w:val="single"/>
          <w:lang w:val="en-US" w:eastAsia="zh-CN"/>
        </w:rPr>
        <w:t xml:space="preserve"> </w:t>
      </w:r>
      <w:r>
        <w:rPr>
          <w:rFonts w:hint="eastAsia" w:ascii="宋体"/>
          <w:b/>
          <w:color w:val="auto"/>
          <w:sz w:val="32"/>
          <w:szCs w:val="32"/>
          <w:highlight w:val="none"/>
          <w:u w:val="single"/>
          <w:lang w:eastAsia="zh-CN"/>
        </w:rPr>
        <w:t xml:space="preserve"> </w:t>
      </w:r>
      <w:r>
        <w:rPr>
          <w:rFonts w:hint="eastAsia" w:ascii="宋体"/>
          <w:b/>
          <w:color w:val="auto"/>
          <w:sz w:val="32"/>
          <w:szCs w:val="32"/>
          <w:highlight w:val="none"/>
        </w:rPr>
        <w:t>（盖单位章）</w:t>
      </w:r>
    </w:p>
    <w:p w14:paraId="18961C30">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rPr>
        <w:t>代理机构：</w:t>
      </w:r>
      <w:r>
        <w:rPr>
          <w:rFonts w:hint="eastAsia" w:ascii="宋体"/>
          <w:b/>
          <w:color w:val="auto"/>
          <w:sz w:val="32"/>
          <w:szCs w:val="32"/>
          <w:highlight w:val="none"/>
          <w:u w:val="single"/>
          <w:lang w:val="en-US" w:eastAsia="zh-CN"/>
        </w:rPr>
        <w:t xml:space="preserve">  </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u w:val="single"/>
          <w:lang w:val="en-US" w:eastAsia="zh-CN"/>
        </w:rPr>
        <w:t xml:space="preserve"> </w:t>
      </w:r>
      <w:r>
        <w:rPr>
          <w:rFonts w:hint="eastAsia" w:ascii="宋体"/>
          <w:b/>
          <w:color w:val="auto"/>
          <w:sz w:val="32"/>
          <w:szCs w:val="32"/>
          <w:highlight w:val="none"/>
        </w:rPr>
        <w:t>（盖单位章）</w:t>
      </w:r>
    </w:p>
    <w:p w14:paraId="1FD2D273">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 xml:space="preserve">10 </w:t>
      </w:r>
      <w:r>
        <w:rPr>
          <w:rFonts w:hint="eastAsia" w:ascii="宋体"/>
          <w:b/>
          <w:color w:val="auto"/>
          <w:sz w:val="32"/>
          <w:szCs w:val="32"/>
          <w:highlight w:val="none"/>
        </w:rPr>
        <w:t>月</w:t>
      </w:r>
    </w:p>
    <w:p w14:paraId="23C5652D">
      <w:pPr>
        <w:spacing w:line="360" w:lineRule="exact"/>
        <w:jc w:val="both"/>
        <w:rPr>
          <w:rFonts w:hint="eastAsia"/>
          <w:b/>
          <w:color w:val="auto"/>
          <w:sz w:val="36"/>
          <w:highlight w:val="none"/>
        </w:rPr>
      </w:pPr>
      <w:r>
        <w:rPr>
          <w:rFonts w:hint="eastAsia"/>
          <w:b/>
          <w:color w:val="auto"/>
          <w:sz w:val="36"/>
          <w:highlight w:val="none"/>
        </w:rPr>
        <w:br w:type="page"/>
      </w:r>
    </w:p>
    <w:p w14:paraId="0387D298">
      <w:pPr>
        <w:spacing w:line="360" w:lineRule="exact"/>
        <w:jc w:val="center"/>
        <w:rPr>
          <w:rFonts w:hint="eastAsia"/>
          <w:b/>
          <w:color w:val="auto"/>
          <w:sz w:val="36"/>
          <w:highlight w:val="none"/>
        </w:rPr>
      </w:pPr>
      <w:r>
        <w:rPr>
          <w:rFonts w:hint="eastAsia"/>
          <w:b/>
          <w:color w:val="auto"/>
          <w:sz w:val="36"/>
          <w:highlight w:val="none"/>
        </w:rPr>
        <w:t>目  录</w:t>
      </w:r>
    </w:p>
    <w:p w14:paraId="63D2CA29">
      <w:pPr>
        <w:spacing w:line="360" w:lineRule="exact"/>
        <w:jc w:val="center"/>
        <w:rPr>
          <w:rFonts w:hint="eastAsia"/>
          <w:b/>
          <w:color w:val="auto"/>
          <w:sz w:val="36"/>
          <w:highlight w:val="none"/>
        </w:rPr>
      </w:pPr>
    </w:p>
    <w:p w14:paraId="16FB58A1">
      <w:pPr>
        <w:pStyle w:val="24"/>
        <w:tabs>
          <w:tab w:val="right" w:leader="dot" w:pos="8620"/>
        </w:tabs>
        <w:rPr>
          <w:rFonts w:hint="eastAsia" w:ascii="宋体" w:hAnsi="宋体" w:eastAsia="宋体" w:cs="宋体"/>
          <w:color w:val="auto"/>
          <w:sz w:val="28"/>
          <w:szCs w:val="28"/>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TOC \o "1-3" \h \z \u </w:instrText>
      </w:r>
      <w:r>
        <w:rPr>
          <w:rFonts w:hint="eastAsia" w:ascii="宋体" w:hAnsi="宋体" w:cs="宋体"/>
          <w:color w:val="auto"/>
          <w:sz w:val="24"/>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_Toc4483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eastAsia="宋体" w:cs="宋体"/>
          <w:color w:val="auto"/>
          <w:sz w:val="28"/>
          <w:szCs w:val="28"/>
          <w:highlight w:val="none"/>
          <w:lang w:val="en-US" w:eastAsia="zh-CN"/>
        </w:rPr>
        <w:t>招标公告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_Toc4483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1DC2904">
      <w:pPr>
        <w:pStyle w:val="24"/>
        <w:tabs>
          <w:tab w:val="right" w:leader="dot" w:pos="8620"/>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_Toc30272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第二章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投标人须知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_Toc30272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1FC2605">
      <w:pPr>
        <w:pStyle w:val="24"/>
        <w:tabs>
          <w:tab w:val="right" w:leader="dot" w:pos="8620"/>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_Toc16145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第三章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评标办法</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_Toc16145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20</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69A76C6">
      <w:pPr>
        <w:pStyle w:val="24"/>
        <w:tabs>
          <w:tab w:val="right" w:leader="dot" w:pos="8620"/>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_Toc8910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第四章  合同格式（参考）</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_Toc8910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2CE0DA5">
      <w:pPr>
        <w:pStyle w:val="24"/>
        <w:tabs>
          <w:tab w:val="right" w:leader="dot" w:pos="8620"/>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_Toc23341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五</w:t>
      </w:r>
      <w:r>
        <w:rPr>
          <w:rFonts w:hint="eastAsia" w:ascii="宋体" w:hAnsi="宋体" w:eastAsia="宋体" w:cs="宋体"/>
          <w:color w:val="auto"/>
          <w:sz w:val="28"/>
          <w:szCs w:val="28"/>
          <w:highlight w:val="none"/>
        </w:rPr>
        <w:t>章  投标文件格式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_Toc23341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45</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212FFF4">
      <w:pPr>
        <w:pStyle w:val="24"/>
        <w:tabs>
          <w:tab w:val="right" w:leader="dot" w:pos="8620"/>
        </w:tabs>
        <w:rPr>
          <w:color w:val="auto"/>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_Toc13076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第六章  招标人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代理机构对本招标文件的确认</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_Toc13076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53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64B1684">
      <w:pPr>
        <w:pStyle w:val="24"/>
        <w:tabs>
          <w:tab w:val="right" w:leader="dot" w:pos="8296"/>
        </w:tabs>
        <w:adjustRightInd w:val="0"/>
        <w:snapToGrid w:val="0"/>
        <w:spacing w:before="156" w:beforeLines="50" w:after="156" w:afterLines="50" w:line="500" w:lineRule="exact"/>
        <w:ind w:left="120" w:hanging="105" w:hangingChars="50"/>
        <w:jc w:val="center"/>
        <w:rPr>
          <w:rFonts w:hint="eastAsia" w:ascii="宋体"/>
          <w:b/>
          <w:bCs/>
          <w:color w:val="auto"/>
          <w:sz w:val="32"/>
          <w:szCs w:val="32"/>
          <w:highlight w:val="none"/>
        </w:rPr>
        <w:sectPr>
          <w:headerReference r:id="rId4" w:type="first"/>
          <w:footerReference r:id="rId7" w:type="first"/>
          <w:headerReference r:id="rId3" w:type="default"/>
          <w:footerReference r:id="rId5" w:type="default"/>
          <w:footerReference r:id="rId6" w:type="even"/>
          <w:pgSz w:w="11906" w:h="16838"/>
          <w:pgMar w:top="1440" w:right="1486" w:bottom="1440" w:left="1800" w:header="851" w:footer="992" w:gutter="0"/>
          <w:pgNumType w:start="1"/>
          <w:cols w:space="720" w:num="1"/>
          <w:docGrid w:type="lines" w:linePitch="312" w:charSpace="0"/>
        </w:sectPr>
      </w:pPr>
      <w:r>
        <w:rPr>
          <w:rFonts w:hint="eastAsia" w:ascii="宋体" w:hAnsi="宋体" w:cs="宋体"/>
          <w:color w:val="auto"/>
          <w:highlight w:val="none"/>
        </w:rPr>
        <w:fldChar w:fldCharType="end"/>
      </w:r>
    </w:p>
    <w:p w14:paraId="5A88F254">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4483"/>
      <w:r>
        <w:rPr>
          <w:rFonts w:hint="eastAsia" w:ascii="宋体"/>
          <w:b/>
          <w:color w:val="auto"/>
          <w:sz w:val="32"/>
          <w:szCs w:val="32"/>
          <w:highlight w:val="none"/>
        </w:rPr>
        <w:t xml:space="preserve">第一章  </w:t>
      </w:r>
      <w:r>
        <w:rPr>
          <w:rFonts w:hint="eastAsia" w:ascii="宋体"/>
          <w:b/>
          <w:color w:val="auto"/>
          <w:sz w:val="32"/>
          <w:szCs w:val="32"/>
          <w:highlight w:val="none"/>
          <w:lang w:val="en-US" w:eastAsia="zh-CN"/>
        </w:rPr>
        <w:t>招标公告</w:t>
      </w:r>
      <w:bookmarkEnd w:id="1"/>
    </w:p>
    <w:p w14:paraId="45ED2E4C">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25017AAD">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u w:val="single"/>
          <w:lang w:eastAsia="zh-CN"/>
        </w:rPr>
        <w:t>北门游客中心“六一书苑”场馆提升项目工程量清单及最高投标限价编制</w:t>
      </w:r>
      <w:r>
        <w:rPr>
          <w:rFonts w:hint="eastAsia" w:ascii="宋体" w:hAnsi="宋体" w:eastAsia="宋体" w:cs="宋体"/>
          <w:color w:val="auto"/>
          <w:sz w:val="21"/>
          <w:szCs w:val="21"/>
          <w:highlight w:val="none"/>
        </w:rPr>
        <w:t>的潜在投标人应在</w:t>
      </w:r>
      <w:r>
        <w:rPr>
          <w:rFonts w:hint="eastAsia" w:ascii="宋体" w:hAnsi="宋体" w:cs="宋体"/>
          <w:color w:val="auto"/>
          <w:sz w:val="21"/>
          <w:szCs w:val="21"/>
          <w:highlight w:val="none"/>
          <w:u w:val="single"/>
          <w:lang w:val="en-US" w:eastAsia="zh-CN"/>
        </w:rPr>
        <w:t>安徽省琅琊山旅游发展有限公司</w:t>
      </w:r>
      <w:r>
        <w:rPr>
          <w:rFonts w:hint="eastAsia" w:ascii="宋体" w:hAnsi="宋体" w:eastAsia="宋体" w:cs="宋体"/>
          <w:color w:val="auto"/>
          <w:sz w:val="21"/>
          <w:szCs w:val="21"/>
          <w:highlight w:val="none"/>
          <w:u w:val="single"/>
          <w:lang w:val="en-US" w:eastAsia="zh-CN"/>
        </w:rPr>
        <w:t>（</w:t>
      </w:r>
      <w:r>
        <w:rPr>
          <w:rFonts w:hint="eastAsia" w:ascii="宋体" w:hAnsi="宋体" w:cs="宋体"/>
          <w:color w:val="auto"/>
          <w:sz w:val="21"/>
          <w:szCs w:val="21"/>
          <w:highlight w:val="none"/>
          <w:u w:val="single"/>
          <w:lang w:val="en-US" w:eastAsia="zh-CN"/>
        </w:rPr>
        <w:t>https://www.lysfjq.cn/</w:t>
      </w:r>
      <w:r>
        <w:rPr>
          <w:rFonts w:hint="eastAsia" w:ascii="宋体" w:hAnsi="宋体" w:eastAsia="宋体" w:cs="宋体"/>
          <w:color w:val="auto"/>
          <w:sz w:val="21"/>
          <w:szCs w:val="21"/>
          <w:highlight w:val="none"/>
          <w:u w:val="single"/>
          <w:lang w:val="en-US" w:eastAsia="zh-CN"/>
        </w:rPr>
        <w:t>）</w:t>
      </w:r>
      <w:r>
        <w:rPr>
          <w:rFonts w:hint="eastAsia" w:ascii="宋体" w:hAnsi="宋体" w:cs="宋体"/>
          <w:color w:val="auto"/>
          <w:sz w:val="21"/>
          <w:szCs w:val="21"/>
          <w:highlight w:val="none"/>
          <w:u w:val="single"/>
          <w:lang w:val="en-US" w:eastAsia="zh-CN"/>
        </w:rPr>
        <w:t>或</w:t>
      </w:r>
      <w:r>
        <w:rPr>
          <w:rFonts w:hint="eastAsia" w:ascii="宋体" w:hAnsi="宋体" w:eastAsia="宋体" w:cs="宋体"/>
          <w:color w:val="auto"/>
          <w:sz w:val="21"/>
          <w:szCs w:val="21"/>
          <w:highlight w:val="none"/>
          <w:u w:val="single"/>
          <w:lang w:val="en-US" w:eastAsia="zh-CN"/>
        </w:rPr>
        <w:t>滁州市城投工程咨询管理有限公司（https://www.czctgczx.com/）网站</w:t>
      </w:r>
      <w:r>
        <w:rPr>
          <w:rFonts w:hint="eastAsia" w:ascii="宋体" w:hAnsi="宋体" w:eastAsia="宋体" w:cs="宋体"/>
          <w:color w:val="auto"/>
          <w:sz w:val="21"/>
          <w:szCs w:val="21"/>
          <w:highlight w:val="none"/>
        </w:rPr>
        <w:t>获取招标文件，并于</w:t>
      </w:r>
      <w:r>
        <w:rPr>
          <w:rFonts w:hint="eastAsia" w:ascii="宋体" w:hAnsi="宋体" w:eastAsia="宋体" w:cs="宋体"/>
          <w:color w:val="auto"/>
          <w:sz w:val="21"/>
          <w:szCs w:val="21"/>
          <w:highlight w:val="none"/>
          <w:u w:val="single"/>
        </w:rPr>
        <w:t>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28</w:t>
      </w:r>
      <w:r>
        <w:rPr>
          <w:rFonts w:hint="eastAsia" w:ascii="宋体" w:hAnsi="宋体" w:eastAsia="宋体" w:cs="宋体"/>
          <w:color w:val="auto"/>
          <w:sz w:val="21"/>
          <w:szCs w:val="21"/>
          <w:highlight w:val="none"/>
          <w:u w:val="single"/>
        </w:rPr>
        <w:t>日</w:t>
      </w:r>
      <w:r>
        <w:rPr>
          <w:rFonts w:hint="eastAsia" w:ascii="宋体" w:hAnsi="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rPr>
        <w:t>点</w:t>
      </w:r>
      <w:r>
        <w:rPr>
          <w:rFonts w:hint="eastAsia" w:ascii="宋体" w:hAnsi="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分</w:t>
      </w:r>
      <w:r>
        <w:rPr>
          <w:rFonts w:hint="eastAsia" w:ascii="宋体" w:hAnsi="宋体" w:eastAsia="宋体" w:cs="宋体"/>
          <w:color w:val="auto"/>
          <w:sz w:val="21"/>
          <w:szCs w:val="21"/>
          <w:highlight w:val="none"/>
        </w:rPr>
        <w:t>（北京时间）前递交投标文件。</w:t>
      </w:r>
    </w:p>
    <w:p w14:paraId="02EEB9A9">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w:t>
      </w:r>
    </w:p>
    <w:p w14:paraId="55384E43">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项目编号：HXJY1110001065257001</w:t>
      </w:r>
    </w:p>
    <w:p w14:paraId="12BE7AB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项目名称：</w:t>
      </w:r>
      <w:r>
        <w:rPr>
          <w:rFonts w:hint="eastAsia" w:ascii="宋体" w:hAnsi="宋体" w:cs="宋体"/>
          <w:color w:val="auto"/>
          <w:sz w:val="21"/>
          <w:szCs w:val="21"/>
          <w:highlight w:val="none"/>
          <w:shd w:val="clear" w:color="auto" w:fill="auto"/>
          <w:lang w:eastAsia="zh-CN"/>
        </w:rPr>
        <w:t>北门游客中心“六一书苑”场馆提升项目工程量清单及最高投标限价编制</w:t>
      </w:r>
      <w:r>
        <w:rPr>
          <w:rFonts w:hint="eastAsia" w:ascii="宋体" w:hAnsi="宋体" w:eastAsia="宋体" w:cs="宋体"/>
          <w:color w:val="auto"/>
          <w:sz w:val="21"/>
          <w:szCs w:val="21"/>
          <w:highlight w:val="none"/>
          <w:shd w:val="clear" w:color="auto" w:fill="auto"/>
          <w:lang w:val="en-US" w:eastAsia="zh-CN"/>
        </w:rPr>
        <w:t xml:space="preserve"> </w:t>
      </w:r>
    </w:p>
    <w:p w14:paraId="4ADFF288">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预算金额：</w:t>
      </w:r>
      <w:r>
        <w:rPr>
          <w:rFonts w:hint="eastAsia" w:ascii="宋体" w:hAnsi="宋体" w:eastAsia="宋体" w:cs="宋体"/>
          <w:color w:val="auto"/>
          <w:sz w:val="21"/>
          <w:szCs w:val="21"/>
          <w:highlight w:val="none"/>
          <w:shd w:val="clear" w:color="auto" w:fill="auto"/>
          <w:lang w:val="en-US" w:eastAsia="zh-CN"/>
        </w:rPr>
        <w:t>本项目</w:t>
      </w:r>
      <w:r>
        <w:rPr>
          <w:rFonts w:hint="eastAsia" w:ascii="宋体" w:hAnsi="宋体" w:cs="宋体"/>
          <w:color w:val="auto"/>
          <w:sz w:val="21"/>
          <w:szCs w:val="21"/>
          <w:highlight w:val="none"/>
          <w:shd w:val="clear" w:color="auto" w:fill="auto"/>
          <w:lang w:val="en-US" w:eastAsia="zh-CN"/>
        </w:rPr>
        <w:t>投资额</w:t>
      </w:r>
      <w:r>
        <w:rPr>
          <w:rFonts w:hint="eastAsia" w:ascii="宋体" w:hAnsi="宋体" w:eastAsia="宋体" w:cs="宋体"/>
          <w:color w:val="auto"/>
          <w:sz w:val="21"/>
          <w:szCs w:val="21"/>
          <w:highlight w:val="none"/>
          <w:shd w:val="clear" w:color="auto" w:fill="auto"/>
          <w:lang w:val="en-US" w:eastAsia="zh-CN"/>
        </w:rPr>
        <w:t>约</w:t>
      </w:r>
      <w:r>
        <w:rPr>
          <w:rFonts w:hint="eastAsia" w:ascii="宋体" w:hAnsi="宋体" w:cs="宋体"/>
          <w:color w:val="auto"/>
          <w:sz w:val="21"/>
          <w:szCs w:val="21"/>
          <w:highlight w:val="none"/>
          <w:shd w:val="clear" w:color="auto" w:fill="auto"/>
          <w:lang w:val="en-US" w:eastAsia="zh-CN"/>
        </w:rPr>
        <w:t>190万元</w:t>
      </w:r>
      <w:r>
        <w:rPr>
          <w:rFonts w:hint="eastAsia" w:ascii="宋体" w:hAnsi="宋体" w:eastAsia="宋体" w:cs="宋体"/>
          <w:color w:val="auto"/>
          <w:sz w:val="21"/>
          <w:szCs w:val="21"/>
          <w:highlight w:val="none"/>
          <w:shd w:val="clear" w:color="auto" w:fill="auto"/>
          <w:lang w:val="en-US" w:eastAsia="zh-CN"/>
        </w:rPr>
        <w:t>，编制服务费约</w:t>
      </w:r>
      <w:r>
        <w:rPr>
          <w:rFonts w:hint="eastAsia" w:ascii="宋体" w:hAnsi="宋体" w:cs="宋体"/>
          <w:color w:val="auto"/>
          <w:sz w:val="21"/>
          <w:szCs w:val="21"/>
          <w:highlight w:val="none"/>
          <w:shd w:val="clear" w:color="auto" w:fill="auto"/>
          <w:lang w:val="en-US" w:eastAsia="zh-CN"/>
        </w:rPr>
        <w:t>1.1万元</w:t>
      </w:r>
    </w:p>
    <w:p w14:paraId="364BA877">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最高限价</w:t>
      </w:r>
      <w:r>
        <w:rPr>
          <w:rFonts w:hint="eastAsia" w:ascii="宋体" w:hAnsi="宋体" w:eastAsia="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lang w:val="en-US" w:eastAsia="zh-CN"/>
        </w:rPr>
        <w:t>费率）</w:t>
      </w:r>
      <w:r>
        <w:rPr>
          <w:rFonts w:hint="eastAsia" w:ascii="宋体" w:hAnsi="宋体" w:eastAsia="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val="en-US" w:eastAsia="zh-CN"/>
        </w:rPr>
        <w:t>本项目投标报价采用百分比费率报价，最高限价为100.00%（百分数小数点后最多保留两位小数，否则第三位将四舍五入），投标报价（费率）不得高于最高限价，否则，按无效标处理</w:t>
      </w:r>
    </w:p>
    <w:p w14:paraId="6179484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采购需求：工程量清单及最高投标限价编制服务</w:t>
      </w:r>
    </w:p>
    <w:p w14:paraId="7428063B">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合同履行期限：</w:t>
      </w:r>
      <w:r>
        <w:rPr>
          <w:rFonts w:hint="eastAsia" w:ascii="宋体" w:hAnsi="宋体" w:cs="宋体"/>
          <w:color w:val="auto"/>
          <w:sz w:val="21"/>
          <w:szCs w:val="21"/>
          <w:highlight w:val="none"/>
          <w:shd w:val="clear" w:color="auto" w:fill="auto"/>
          <w:lang w:eastAsia="zh-CN"/>
        </w:rPr>
        <w:t>自签订合同之日起至完成造价编制成果文件</w:t>
      </w:r>
      <w:r>
        <w:rPr>
          <w:rFonts w:hint="eastAsia" w:ascii="宋体" w:hAnsi="宋体" w:eastAsia="宋体" w:cs="宋体"/>
          <w:color w:val="auto"/>
          <w:sz w:val="21"/>
          <w:szCs w:val="21"/>
          <w:highlight w:val="none"/>
          <w:shd w:val="clear" w:color="auto" w:fill="auto"/>
        </w:rPr>
        <w:t>。</w:t>
      </w:r>
    </w:p>
    <w:p w14:paraId="022551FF">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本项目</w:t>
      </w:r>
      <w:r>
        <w:rPr>
          <w:rFonts w:hint="eastAsia" w:ascii="宋体" w:hAnsi="宋体" w:eastAsia="宋体" w:cs="宋体"/>
          <w:color w:val="auto"/>
          <w:sz w:val="21"/>
          <w:szCs w:val="21"/>
          <w:highlight w:val="none"/>
          <w:shd w:val="clear" w:color="auto" w:fill="auto"/>
          <w:lang w:val="en-US" w:eastAsia="zh-CN"/>
        </w:rPr>
        <w:t>不</w:t>
      </w:r>
      <w:r>
        <w:rPr>
          <w:rFonts w:hint="eastAsia" w:ascii="宋体" w:hAnsi="宋体" w:eastAsia="宋体" w:cs="宋体"/>
          <w:color w:val="auto"/>
          <w:sz w:val="21"/>
          <w:szCs w:val="21"/>
          <w:highlight w:val="none"/>
          <w:shd w:val="clear" w:color="auto" w:fill="auto"/>
        </w:rPr>
        <w:t>接受联合体投标</w:t>
      </w:r>
      <w:r>
        <w:rPr>
          <w:rFonts w:hint="eastAsia" w:ascii="宋体" w:hAnsi="宋体" w:eastAsia="宋体" w:cs="宋体"/>
          <w:color w:val="auto"/>
          <w:sz w:val="21"/>
          <w:szCs w:val="21"/>
          <w:highlight w:val="none"/>
          <w:shd w:val="clear" w:color="auto" w:fill="auto"/>
          <w:lang w:eastAsia="zh-CN"/>
        </w:rPr>
        <w:t>。</w:t>
      </w:r>
    </w:p>
    <w:p w14:paraId="4CBFF0CC">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bookmarkStart w:id="2" w:name="_Toc28359080"/>
      <w:bookmarkStart w:id="3" w:name="_Toc35393791"/>
      <w:bookmarkStart w:id="4" w:name="_Toc35393622"/>
      <w:bookmarkStart w:id="5" w:name="_Toc28359003"/>
      <w:r>
        <w:rPr>
          <w:rFonts w:hint="eastAsia" w:ascii="宋体" w:hAnsi="宋体" w:eastAsia="宋体" w:cs="宋体"/>
          <w:b/>
          <w:bCs/>
          <w:color w:val="auto"/>
          <w:sz w:val="24"/>
          <w:szCs w:val="24"/>
          <w:highlight w:val="none"/>
        </w:rPr>
        <w:t>二、申请人的资格要求</w:t>
      </w:r>
      <w:bookmarkEnd w:id="2"/>
      <w:bookmarkEnd w:id="3"/>
      <w:bookmarkEnd w:id="4"/>
      <w:bookmarkEnd w:id="5"/>
    </w:p>
    <w:p w14:paraId="3AA719F6">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bookmarkStart w:id="6" w:name="_Toc28359004"/>
      <w:bookmarkStart w:id="7" w:name="_Toc28359081"/>
      <w:bookmarkStart w:id="8" w:name="_Toc35393623"/>
      <w:bookmarkStart w:id="9" w:name="_Toc35393792"/>
      <w:r>
        <w:rPr>
          <w:rFonts w:hint="eastAsia" w:ascii="宋体" w:hAnsi="宋体" w:eastAsia="宋体" w:cs="宋体"/>
          <w:color w:val="auto"/>
          <w:sz w:val="21"/>
          <w:szCs w:val="21"/>
          <w:highlight w:val="none"/>
          <w:lang w:val="en-US" w:eastAsia="zh-CN"/>
        </w:rPr>
        <w:t>1.投标人要求：须具有独立承担民事责任的能力；</w:t>
      </w:r>
    </w:p>
    <w:p w14:paraId="67A16787">
      <w:pPr>
        <w:pStyle w:val="28"/>
        <w:pageBreakBefore w:val="0"/>
        <w:widowControl w:val="0"/>
        <w:kinsoku/>
        <w:wordWrap w:val="0"/>
        <w:overflowPunct/>
        <w:topLinePunct w:val="0"/>
        <w:autoSpaceDE/>
        <w:autoSpaceDN/>
        <w:bidi w:val="0"/>
        <w:adjustRightInd/>
        <w:snapToGrid/>
        <w:spacing w:after="0"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2.项目负责人要求：须具有注册在投标单位的</w:t>
      </w:r>
      <w:r>
        <w:rPr>
          <w:rFonts w:hint="eastAsia" w:ascii="宋体" w:hAnsi="宋体" w:cs="宋体"/>
          <w:color w:val="auto"/>
          <w:sz w:val="21"/>
          <w:szCs w:val="21"/>
          <w:highlight w:val="none"/>
          <w:lang w:val="en-US" w:eastAsia="zh-CN"/>
        </w:rPr>
        <w:t>土木建筑工程专业</w:t>
      </w:r>
      <w:r>
        <w:rPr>
          <w:rFonts w:hint="eastAsia" w:ascii="宋体" w:hAnsi="宋体" w:eastAsia="宋体" w:cs="宋体"/>
          <w:color w:val="auto"/>
          <w:sz w:val="21"/>
          <w:szCs w:val="21"/>
          <w:highlight w:val="none"/>
          <w:lang w:val="en-US" w:eastAsia="zh-CN"/>
        </w:rPr>
        <w:t>一级注册造价工程师（或原注册造价工程师）；</w:t>
      </w:r>
    </w:p>
    <w:p w14:paraId="38E91381">
      <w:pPr>
        <w:pStyle w:val="28"/>
        <w:pageBreakBefore w:val="0"/>
        <w:widowControl w:val="0"/>
        <w:kinsoku/>
        <w:wordWrap w:val="0"/>
        <w:overflowPunct/>
        <w:topLinePunct w:val="0"/>
        <w:autoSpaceDE/>
        <w:autoSpaceDN/>
        <w:bidi w:val="0"/>
        <w:adjustRightInd/>
        <w:snapToGrid/>
        <w:spacing w:after="0"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3.项目组人员（不含项目负责人）配置要求：不少于2名注册在投标单位的二级及以上造价工程师（其中土木建筑工程专业不少于1</w:t>
      </w:r>
      <w:r>
        <w:rPr>
          <w:rFonts w:hint="eastAsia" w:ascii="宋体" w:hAnsi="宋体" w:cs="宋体"/>
          <w:color w:val="auto"/>
          <w:sz w:val="21"/>
          <w:szCs w:val="21"/>
          <w:highlight w:val="none"/>
          <w:lang w:val="en-US" w:eastAsia="zh-CN"/>
        </w:rPr>
        <w:t>名</w:t>
      </w:r>
      <w:r>
        <w:rPr>
          <w:rFonts w:hint="eastAsia" w:ascii="宋体" w:hAnsi="宋体" w:eastAsia="宋体" w:cs="宋体"/>
          <w:color w:val="auto"/>
          <w:sz w:val="21"/>
          <w:szCs w:val="21"/>
          <w:highlight w:val="none"/>
          <w:lang w:val="en-US" w:eastAsia="zh-CN"/>
        </w:rPr>
        <w:t>，安装工程专业不少于1</w:t>
      </w:r>
      <w:r>
        <w:rPr>
          <w:rFonts w:hint="eastAsia" w:ascii="宋体" w:hAnsi="宋体" w:cs="宋体"/>
          <w:color w:val="auto"/>
          <w:sz w:val="21"/>
          <w:szCs w:val="21"/>
          <w:highlight w:val="none"/>
          <w:lang w:val="en-US" w:eastAsia="zh-CN"/>
        </w:rPr>
        <w:t>名</w:t>
      </w:r>
      <w:r>
        <w:rPr>
          <w:rFonts w:hint="eastAsia" w:ascii="宋体" w:hAnsi="宋体" w:eastAsia="宋体" w:cs="宋体"/>
          <w:color w:val="auto"/>
          <w:sz w:val="21"/>
          <w:szCs w:val="21"/>
          <w:highlight w:val="none"/>
          <w:lang w:val="en-US" w:eastAsia="zh-CN"/>
        </w:rPr>
        <w:t>）。</w:t>
      </w:r>
    </w:p>
    <w:p w14:paraId="3C49B490">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bookmarkEnd w:id="6"/>
      <w:bookmarkEnd w:id="7"/>
      <w:bookmarkEnd w:id="8"/>
      <w:bookmarkEnd w:id="9"/>
    </w:p>
    <w:p w14:paraId="5944036F">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iCs/>
          <w:color w:val="auto"/>
          <w:sz w:val="21"/>
          <w:szCs w:val="21"/>
          <w:highlight w:val="none"/>
          <w:lang w:eastAsia="zh-CN"/>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rPr>
        <w:t>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至</w:t>
      </w:r>
      <w:r>
        <w:rPr>
          <w:rFonts w:hint="eastAsia" w:ascii="宋体" w:hAnsi="宋体" w:eastAsia="宋体" w:cs="宋体"/>
          <w:color w:val="auto"/>
          <w:sz w:val="21"/>
          <w:szCs w:val="21"/>
          <w:highlight w:val="none"/>
          <w:u w:val="single"/>
        </w:rPr>
        <w:t xml:space="preserve"> 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28</w:t>
      </w:r>
      <w:r>
        <w:rPr>
          <w:rFonts w:hint="eastAsia" w:ascii="宋体" w:hAnsi="宋体" w:eastAsia="宋体" w:cs="宋体"/>
          <w:color w:val="auto"/>
          <w:sz w:val="21"/>
          <w:szCs w:val="21"/>
          <w:highlight w:val="none"/>
          <w:u w:val="single"/>
        </w:rPr>
        <w:t>日</w:t>
      </w:r>
    </w:p>
    <w:p w14:paraId="0997B67D">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方式：网上下载</w:t>
      </w:r>
    </w:p>
    <w:p w14:paraId="1EDDFFB2">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售价：0元</w:t>
      </w:r>
    </w:p>
    <w:p w14:paraId="43121A92">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bookmarkStart w:id="10" w:name="_Toc28359082"/>
      <w:bookmarkStart w:id="11" w:name="_Toc28359005"/>
      <w:bookmarkStart w:id="12" w:name="_Toc35393624"/>
      <w:bookmarkStart w:id="13" w:name="_Toc35393793"/>
      <w:r>
        <w:rPr>
          <w:rFonts w:hint="eastAsia" w:ascii="宋体" w:hAnsi="宋体" w:eastAsia="宋体" w:cs="宋体"/>
          <w:b/>
          <w:bCs/>
          <w:color w:val="auto"/>
          <w:sz w:val="24"/>
          <w:szCs w:val="24"/>
          <w:highlight w:val="none"/>
        </w:rPr>
        <w:t>四、提交投标文件</w:t>
      </w:r>
      <w:bookmarkEnd w:id="10"/>
      <w:bookmarkEnd w:id="11"/>
      <w:r>
        <w:rPr>
          <w:rFonts w:hint="eastAsia" w:ascii="宋体" w:hAnsi="宋体" w:eastAsia="宋体" w:cs="宋体"/>
          <w:b/>
          <w:bCs/>
          <w:color w:val="auto"/>
          <w:sz w:val="24"/>
          <w:szCs w:val="24"/>
          <w:highlight w:val="none"/>
        </w:rPr>
        <w:t>截止时间、开标时间和地点</w:t>
      </w:r>
      <w:bookmarkEnd w:id="12"/>
      <w:bookmarkEnd w:id="13"/>
    </w:p>
    <w:p w14:paraId="69DB056B">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时间：2026年</w:t>
      </w:r>
      <w:r>
        <w:rPr>
          <w:rFonts w:hint="eastAsia" w:ascii="宋体" w:hAnsi="宋体" w:cs="宋体"/>
          <w:bCs/>
          <w:color w:val="auto"/>
          <w:sz w:val="21"/>
          <w:szCs w:val="21"/>
          <w:highlight w:val="none"/>
          <w:u w:val="none"/>
          <w:lang w:val="en-US" w:eastAsia="zh-CN"/>
        </w:rPr>
        <w:t>10</w:t>
      </w:r>
      <w:r>
        <w:rPr>
          <w:rFonts w:hint="eastAsia" w:ascii="宋体" w:hAnsi="宋体" w:eastAsia="宋体" w:cs="宋体"/>
          <w:bCs/>
          <w:color w:val="auto"/>
          <w:sz w:val="21"/>
          <w:szCs w:val="21"/>
          <w:highlight w:val="none"/>
          <w:u w:val="none"/>
          <w:lang w:val="en-US" w:eastAsia="zh-CN"/>
        </w:rPr>
        <w:t>月</w:t>
      </w:r>
      <w:r>
        <w:rPr>
          <w:rFonts w:hint="eastAsia" w:ascii="宋体" w:hAnsi="宋体" w:cs="宋体"/>
          <w:bCs/>
          <w:color w:val="auto"/>
          <w:sz w:val="21"/>
          <w:szCs w:val="21"/>
          <w:highlight w:val="none"/>
          <w:u w:val="none"/>
          <w:lang w:val="en-US" w:eastAsia="zh-CN"/>
        </w:rPr>
        <w:t>28</w:t>
      </w:r>
      <w:r>
        <w:rPr>
          <w:rFonts w:hint="eastAsia" w:ascii="宋体" w:hAnsi="宋体" w:eastAsia="宋体" w:cs="宋体"/>
          <w:bCs/>
          <w:color w:val="auto"/>
          <w:sz w:val="21"/>
          <w:szCs w:val="21"/>
          <w:highlight w:val="none"/>
          <w:u w:val="none"/>
          <w:lang w:val="en-US" w:eastAsia="zh-CN"/>
        </w:rPr>
        <w:t>日</w:t>
      </w:r>
      <w:r>
        <w:rPr>
          <w:rFonts w:hint="eastAsia" w:ascii="宋体" w:hAnsi="宋体" w:cs="宋体"/>
          <w:bCs/>
          <w:color w:val="auto"/>
          <w:sz w:val="21"/>
          <w:szCs w:val="21"/>
          <w:highlight w:val="none"/>
          <w:u w:val="none"/>
          <w:lang w:val="en-US" w:eastAsia="zh-CN"/>
        </w:rPr>
        <w:t>8</w:t>
      </w:r>
      <w:r>
        <w:rPr>
          <w:rFonts w:hint="eastAsia" w:ascii="宋体" w:hAnsi="宋体" w:eastAsia="宋体" w:cs="宋体"/>
          <w:bCs/>
          <w:color w:val="auto"/>
          <w:sz w:val="21"/>
          <w:szCs w:val="21"/>
          <w:highlight w:val="none"/>
          <w:u w:val="none"/>
          <w:lang w:val="en-US" w:eastAsia="zh-CN"/>
        </w:rPr>
        <w:t>时</w:t>
      </w:r>
      <w:r>
        <w:rPr>
          <w:rFonts w:hint="eastAsia" w:ascii="宋体" w:hAnsi="宋体" w:cs="宋体"/>
          <w:bCs/>
          <w:color w:val="auto"/>
          <w:sz w:val="21"/>
          <w:szCs w:val="21"/>
          <w:highlight w:val="none"/>
          <w:u w:val="none"/>
          <w:lang w:val="en-US" w:eastAsia="zh-CN"/>
        </w:rPr>
        <w:t>3</w:t>
      </w:r>
      <w:r>
        <w:rPr>
          <w:rFonts w:hint="eastAsia" w:ascii="宋体" w:hAnsi="宋体" w:eastAsia="宋体" w:cs="宋体"/>
          <w:bCs/>
          <w:color w:val="auto"/>
          <w:sz w:val="21"/>
          <w:szCs w:val="21"/>
          <w:highlight w:val="none"/>
          <w:u w:val="none"/>
          <w:lang w:val="en-US" w:eastAsia="zh-CN"/>
        </w:rPr>
        <w:t>0分；</w:t>
      </w:r>
    </w:p>
    <w:p w14:paraId="72EE8B47">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u w:val="none"/>
          <w:lang w:val="en-US" w:eastAsia="zh-CN"/>
        </w:rPr>
        <w:t>地点：网上开标，投标人登录滁州市城投工程咨询管理有限公司不见面开标系统参与网上开标（网址：http://js.etrading.cn/EpointBidOpening/bidopeninghallaction/hall/login）。</w:t>
      </w:r>
    </w:p>
    <w:p w14:paraId="25B4CBFD">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、投标保证金金额及缴纳账户</w:t>
      </w:r>
    </w:p>
    <w:p w14:paraId="1424E71A">
      <w:pPr>
        <w:pStyle w:val="127"/>
        <w:pageBreakBefore w:val="0"/>
        <w:widowControl w:val="0"/>
        <w:kinsoku/>
        <w:wordWrap w:val="0"/>
        <w:overflowPunct/>
        <w:topLinePunct w:val="0"/>
        <w:autoSpaceDE/>
        <w:autoSpaceDN/>
        <w:bidi w:val="0"/>
        <w:adjustRightInd/>
        <w:snapToGrid/>
        <w:spacing w:line="480" w:lineRule="exact"/>
        <w:ind w:left="0" w:leftChars="0" w:right="0" w:rightChars="0" w:firstLine="480" w:firstLineChars="200"/>
        <w:textAlignment w:val="auto"/>
        <w:rPr>
          <w:rFonts w:hint="eastAsia" w:ascii="宋体" w:hAnsi="宋体" w:eastAsia="宋体" w:cs="宋体"/>
          <w:color w:val="auto"/>
          <w:sz w:val="24"/>
          <w:szCs w:val="24"/>
          <w:highlight w:val="none"/>
        </w:rPr>
      </w:pPr>
      <w:bookmarkStart w:id="14" w:name="_Toc35393795"/>
      <w:bookmarkStart w:id="15" w:name="_Toc35393626"/>
      <w:r>
        <w:rPr>
          <w:rFonts w:hint="eastAsia" w:ascii="宋体" w:hAnsi="宋体" w:eastAsia="宋体" w:cs="宋体"/>
          <w:color w:val="auto"/>
          <w:sz w:val="24"/>
          <w:szCs w:val="24"/>
          <w:highlight w:val="none"/>
        </w:rPr>
        <w:t>窗体顶端</w:t>
      </w:r>
    </w:p>
    <w:p w14:paraId="5F4E68C1">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是否要求投标人提交投标保证金：不要求。</w:t>
      </w:r>
    </w:p>
    <w:p w14:paraId="0DAC3816">
      <w:pPr>
        <w:pStyle w:val="128"/>
        <w:pageBreakBefore w:val="0"/>
        <w:widowControl w:val="0"/>
        <w:kinsoku/>
        <w:wordWrap w:val="0"/>
        <w:overflowPunct/>
        <w:topLinePunct w:val="0"/>
        <w:autoSpaceDE/>
        <w:autoSpaceDN/>
        <w:bidi w:val="0"/>
        <w:adjustRightInd/>
        <w:snapToGrid/>
        <w:spacing w:line="48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窗体底端</w:t>
      </w:r>
    </w:p>
    <w:bookmarkEnd w:id="14"/>
    <w:bookmarkEnd w:id="15"/>
    <w:p w14:paraId="054AED32">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六、其他补充事宜</w:t>
      </w:r>
    </w:p>
    <w:p w14:paraId="073400CC">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bookmarkStart w:id="310" w:name="_GoBack"/>
      <w:r>
        <w:rPr>
          <w:rFonts w:hint="eastAsia" w:ascii="宋体" w:hAnsi="宋体" w:eastAsia="宋体" w:cs="宋体"/>
          <w:color w:val="auto"/>
          <w:sz w:val="21"/>
          <w:szCs w:val="21"/>
          <w:highlight w:val="none"/>
        </w:rPr>
        <w:t>本项目采用电子招投标方式，请投标人在“新点电子交易平台”办事指南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74E2D4EC">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参与投标的，须登录新点电子交易平台【滁州专区】查询、获取招标文件。请于公告发布之日起从滁州市城投工程咨询管理有限公司（https://www.czctgczx.com/）网站，点击项目招标公告下方【我要投标】，登录新点电子交易平台后在【滁州专区】（https://www.etrading.cn/BREpointSSO/login/oauth2login?regioncode=DQ_ChuZhou）下载本项目招标文件。</w:t>
      </w:r>
    </w:p>
    <w:p w14:paraId="0AA7B1C1">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首次登录的，请办理入库手续，办理入库不收取任何费用。新点电子招投标统一认证平台使用相关问题（如系统登录、信息登记、录入及提交、数字证书关联等）请拨打服务电话：0512-58151515（工作日），标正通使用相关问题请拨打服务电话：0512-58188013。</w:t>
      </w:r>
    </w:p>
    <w:p w14:paraId="371C2A68">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登录新点电子交易平台【滁州专区】获取招标文件及其它资料（含澄清和补充说明等）。如在招标文件获取过程中遇到系统问题，请拨打技术支持服务热线0512-58151515或者网站首页在线客服。投标人自行承担因未按要求获取招标文件导致无法上传电子投标文件的风险。</w:t>
      </w:r>
    </w:p>
    <w:p w14:paraId="3B222BDF">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5.投标人应在投标截止时间之前，登录新点电子交易平台【滁州专区】上传投标文件。投标人逾期上传投标文件的，电子系统不予受理。</w:t>
      </w:r>
    </w:p>
    <w:p w14:paraId="2E2A5826">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6.本项目采用不见面开标，投标人登录滁州市城投工程咨询管理有限公司不见面开标系统参与网上开标（网址：http://js.etrading.cn/EpointBidOpening/bidopeninghallaction/hall/login）。</w:t>
      </w:r>
    </w:p>
    <w:p w14:paraId="6FF3A96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p w14:paraId="6B421E99">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8.投标人的联系人电话(手机)、电子邮箱等通讯方式在开标过程中必须保持畅通，否则因上述原因造成的后果，责任自负</w:t>
      </w:r>
      <w:bookmarkEnd w:id="310"/>
      <w:r>
        <w:rPr>
          <w:rFonts w:hint="eastAsia" w:ascii="宋体" w:hAnsi="宋体" w:eastAsia="宋体" w:cs="宋体"/>
          <w:color w:val="auto"/>
          <w:sz w:val="21"/>
          <w:szCs w:val="21"/>
          <w:highlight w:val="none"/>
          <w:lang w:eastAsia="zh-CN"/>
        </w:rPr>
        <w:t>。</w:t>
      </w:r>
    </w:p>
    <w:p w14:paraId="3D3E748B">
      <w:pPr>
        <w:keepNext/>
        <w:keepLines/>
        <w:pageBreakBefore w:val="0"/>
        <w:widowControl w:val="0"/>
        <w:kinsoku/>
        <w:wordWrap w:val="0"/>
        <w:overflowPunct/>
        <w:topLinePunct w:val="0"/>
        <w:autoSpaceDE/>
        <w:autoSpaceDN/>
        <w:bidi w:val="0"/>
        <w:adjustRightInd/>
        <w:snapToGrid/>
        <w:spacing w:line="48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七、对本次招标提出询问，请按以下方式联系</w:t>
      </w:r>
    </w:p>
    <w:p w14:paraId="7307E47C">
      <w:pPr>
        <w:pStyle w:val="3"/>
        <w:pageBreakBefore w:val="0"/>
        <w:widowControl w:val="0"/>
        <w:numPr>
          <w:ilvl w:val="0"/>
          <w:numId w:val="0"/>
        </w:numPr>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kern w:val="2"/>
          <w:sz w:val="21"/>
          <w:szCs w:val="21"/>
          <w:highlight w:val="none"/>
        </w:rPr>
      </w:pPr>
      <w:bookmarkStart w:id="16" w:name="_Toc3512"/>
      <w:r>
        <w:rPr>
          <w:rFonts w:hint="eastAsia" w:ascii="宋体" w:hAnsi="宋体" w:eastAsia="宋体" w:cs="宋体"/>
          <w:color w:val="auto"/>
          <w:kern w:val="2"/>
          <w:sz w:val="21"/>
          <w:szCs w:val="21"/>
          <w:highlight w:val="none"/>
        </w:rPr>
        <w:t>1.招标人信息</w:t>
      </w:r>
      <w:bookmarkEnd w:id="16"/>
    </w:p>
    <w:p w14:paraId="604ADC3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名    称：</w:t>
      </w:r>
      <w:r>
        <w:rPr>
          <w:rFonts w:hint="eastAsia" w:ascii="宋体" w:hAnsi="宋体" w:cs="宋体"/>
          <w:color w:val="auto"/>
          <w:sz w:val="21"/>
          <w:szCs w:val="21"/>
          <w:highlight w:val="none"/>
          <w:u w:val="single"/>
          <w:lang w:eastAsia="zh-CN"/>
        </w:rPr>
        <w:t>安徽省琅琊山旅游发展有限公司</w:t>
      </w:r>
      <w:r>
        <w:rPr>
          <w:rFonts w:hint="eastAsia" w:ascii="宋体" w:hAnsi="宋体" w:eastAsia="宋体" w:cs="宋体"/>
          <w:color w:val="auto"/>
          <w:sz w:val="21"/>
          <w:szCs w:val="21"/>
          <w:highlight w:val="none"/>
          <w:u w:val="single"/>
          <w:lang w:eastAsia="zh-CN"/>
        </w:rPr>
        <w:t xml:space="preserve"> </w:t>
      </w:r>
    </w:p>
    <w:p w14:paraId="4191A14B">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r>
        <w:rPr>
          <w:rFonts w:hint="eastAsia" w:ascii="宋体" w:hAnsi="宋体" w:cs="宋体"/>
          <w:color w:val="auto"/>
          <w:sz w:val="21"/>
          <w:szCs w:val="21"/>
          <w:highlight w:val="none"/>
          <w:u w:val="single"/>
          <w:lang w:eastAsia="zh-CN"/>
        </w:rPr>
        <w:t>安徽省滁州市西涧中路4306号</w:t>
      </w:r>
    </w:p>
    <w:p w14:paraId="2886E211">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系</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w:t>
      </w:r>
      <w:r>
        <w:rPr>
          <w:rFonts w:hint="eastAsia" w:ascii="宋体" w:hAnsi="宋体" w:cs="宋体"/>
          <w:color w:val="auto"/>
          <w:sz w:val="21"/>
          <w:szCs w:val="21"/>
          <w:highlight w:val="none"/>
          <w:u w:val="single"/>
          <w:lang w:eastAsia="zh-CN"/>
        </w:rPr>
        <w:t>代工</w:t>
      </w:r>
    </w:p>
    <w:p w14:paraId="22A045A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联系方式：</w:t>
      </w:r>
      <w:r>
        <w:rPr>
          <w:rFonts w:hint="eastAsia" w:ascii="宋体" w:hAnsi="宋体" w:cs="宋体"/>
          <w:color w:val="auto"/>
          <w:sz w:val="21"/>
          <w:szCs w:val="21"/>
          <w:highlight w:val="none"/>
          <w:u w:val="single"/>
          <w:lang w:val="en-US" w:eastAsia="zh-CN"/>
        </w:rPr>
        <w:t>0550-3525595</w:t>
      </w:r>
    </w:p>
    <w:p w14:paraId="46F6CDF9">
      <w:pPr>
        <w:pStyle w:val="3"/>
        <w:pageBreakBefore w:val="0"/>
        <w:widowControl w:val="0"/>
        <w:numPr>
          <w:ilvl w:val="0"/>
          <w:numId w:val="0"/>
        </w:numPr>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kern w:val="2"/>
          <w:sz w:val="21"/>
          <w:szCs w:val="21"/>
          <w:highlight w:val="none"/>
        </w:rPr>
      </w:pPr>
      <w:bookmarkStart w:id="17" w:name="_Toc9966"/>
      <w:r>
        <w:rPr>
          <w:rFonts w:hint="eastAsia" w:ascii="宋体" w:hAnsi="宋体" w:eastAsia="宋体" w:cs="宋体"/>
          <w:color w:val="auto"/>
          <w:kern w:val="2"/>
          <w:sz w:val="21"/>
          <w:szCs w:val="21"/>
          <w:highlight w:val="none"/>
        </w:rPr>
        <w:t>2.代理机构信息</w:t>
      </w:r>
      <w:bookmarkEnd w:id="17"/>
    </w:p>
    <w:p w14:paraId="6503ED29">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滁州市城投工程咨询管理有限公司</w:t>
      </w:r>
    </w:p>
    <w:p w14:paraId="6AB9D21A">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滁州市龙蟠大道109号房产商务大厦6楼</w:t>
      </w:r>
    </w:p>
    <w:p w14:paraId="2430B6E5">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系</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u w:val="single"/>
        </w:rPr>
        <w:t>胡国庆</w:t>
      </w:r>
    </w:p>
    <w:p w14:paraId="335066CF">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联系方式：</w:t>
      </w:r>
      <w:r>
        <w:rPr>
          <w:rFonts w:hint="eastAsia" w:ascii="宋体" w:hAnsi="宋体" w:eastAsia="宋体" w:cs="宋体"/>
          <w:color w:val="auto"/>
          <w:sz w:val="21"/>
          <w:szCs w:val="21"/>
          <w:highlight w:val="none"/>
          <w:u w:val="single"/>
          <w:lang w:eastAsia="zh-CN"/>
        </w:rPr>
        <w:t>0550-3519517、18005500950</w:t>
      </w:r>
    </w:p>
    <w:p w14:paraId="42608EA6">
      <w:pPr>
        <w:pageBreakBefore w:val="0"/>
        <w:widowControl w:val="0"/>
        <w:kinsoku/>
        <w:wordWrap w:val="0"/>
        <w:overflowPunct/>
        <w:topLinePunct w:val="0"/>
        <w:autoSpaceDE/>
        <w:autoSpaceDN/>
        <w:bidi w:val="0"/>
        <w:adjustRightInd/>
        <w:snapToGrid/>
        <w:spacing w:line="480" w:lineRule="exact"/>
        <w:ind w:left="0" w:leftChars="0"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p>
    <w:p w14:paraId="29FC2FC7">
      <w:pPr>
        <w:spacing w:before="156" w:beforeLines="50" w:after="156" w:afterLines="50"/>
        <w:ind w:firstLine="643" w:firstLineChars="20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18" w:name="_Toc30272"/>
      <w:r>
        <w:rPr>
          <w:rFonts w:hint="eastAsia" w:ascii="宋体"/>
          <w:b/>
          <w:color w:val="auto"/>
          <w:sz w:val="32"/>
          <w:szCs w:val="32"/>
          <w:highlight w:val="none"/>
        </w:rPr>
        <w:t xml:space="preserve">第二章 </w:t>
      </w:r>
      <w:r>
        <w:rPr>
          <w:rFonts w:hint="eastAsia" w:ascii="宋体"/>
          <w:b/>
          <w:color w:val="auto"/>
          <w:sz w:val="32"/>
          <w:szCs w:val="32"/>
          <w:highlight w:val="none"/>
          <w:lang w:val="en-US" w:eastAsia="zh-CN"/>
        </w:rPr>
        <w:t xml:space="preserve"> </w:t>
      </w:r>
      <w:r>
        <w:rPr>
          <w:rFonts w:hint="eastAsia" w:ascii="宋体"/>
          <w:b/>
          <w:color w:val="auto"/>
          <w:sz w:val="32"/>
          <w:szCs w:val="32"/>
          <w:highlight w:val="none"/>
        </w:rPr>
        <w:t>投标人须知</w:t>
      </w:r>
      <w:bookmarkEnd w:id="18"/>
    </w:p>
    <w:p w14:paraId="355FA043">
      <w:pPr>
        <w:snapToGrid w:val="0"/>
        <w:spacing w:line="500" w:lineRule="exact"/>
        <w:jc w:val="center"/>
        <w:outlineLvl w:val="1"/>
        <w:rPr>
          <w:rFonts w:hint="eastAsia" w:ascii="宋体"/>
          <w:b/>
          <w:color w:val="auto"/>
          <w:sz w:val="28"/>
          <w:szCs w:val="28"/>
          <w:highlight w:val="none"/>
        </w:rPr>
      </w:pPr>
      <w:bookmarkStart w:id="19" w:name="_Toc15210"/>
      <w:bookmarkStart w:id="20" w:name="_Toc58430314"/>
      <w:bookmarkStart w:id="21" w:name="_Toc449028865"/>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19"/>
      <w:bookmarkEnd w:id="20"/>
      <w:bookmarkEnd w:id="21"/>
    </w:p>
    <w:tbl>
      <w:tblPr>
        <w:tblStyle w:val="35"/>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1351"/>
        <w:gridCol w:w="1005"/>
        <w:gridCol w:w="6824"/>
      </w:tblGrid>
      <w:tr w14:paraId="09490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62DF8FF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356" w:type="dxa"/>
            <w:gridSpan w:val="2"/>
            <w:noWrap w:val="0"/>
            <w:vAlign w:val="center"/>
          </w:tcPr>
          <w:p w14:paraId="1626C368">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824" w:type="dxa"/>
            <w:noWrap w:val="0"/>
            <w:vAlign w:val="center"/>
          </w:tcPr>
          <w:p w14:paraId="25E8DE9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64F3EC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1" w:hRule="atLeast"/>
          <w:jc w:val="center"/>
        </w:trPr>
        <w:tc>
          <w:tcPr>
            <w:tcW w:w="1020" w:type="dxa"/>
            <w:noWrap w:val="0"/>
            <w:vAlign w:val="center"/>
          </w:tcPr>
          <w:p w14:paraId="13A7E251">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497CC02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824" w:type="dxa"/>
            <w:noWrap w:val="0"/>
            <w:vAlign w:val="center"/>
          </w:tcPr>
          <w:p w14:paraId="230E47C3">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北门游客中心“六一书苑”场馆提升项目工程量清单及最高投标限价编制</w:t>
            </w:r>
          </w:p>
        </w:tc>
      </w:tr>
      <w:tr w14:paraId="7E18C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7BDC3FD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076C073A">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824" w:type="dxa"/>
            <w:noWrap w:val="0"/>
            <w:vAlign w:val="center"/>
          </w:tcPr>
          <w:p w14:paraId="29327E8C">
            <w:pPr>
              <w:pStyle w:val="20"/>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自签订合同之日起至完成造价编制成果文件</w:t>
            </w:r>
            <w:r>
              <w:rPr>
                <w:rFonts w:hint="eastAsia" w:ascii="宋体" w:hAnsi="宋体" w:eastAsia="宋体" w:cs="宋体"/>
                <w:color w:val="auto"/>
                <w:sz w:val="21"/>
                <w:szCs w:val="21"/>
                <w:highlight w:val="none"/>
              </w:rPr>
              <w:t>。</w:t>
            </w:r>
          </w:p>
        </w:tc>
      </w:tr>
      <w:tr w14:paraId="1CA3C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7" w:hRule="atLeast"/>
          <w:jc w:val="center"/>
        </w:trPr>
        <w:tc>
          <w:tcPr>
            <w:tcW w:w="1020" w:type="dxa"/>
            <w:noWrap w:val="0"/>
            <w:vAlign w:val="center"/>
          </w:tcPr>
          <w:p w14:paraId="1689B35B">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66546174">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w:t>
            </w:r>
          </w:p>
        </w:tc>
        <w:tc>
          <w:tcPr>
            <w:tcW w:w="6824" w:type="dxa"/>
            <w:noWrap w:val="0"/>
            <w:vAlign w:val="center"/>
          </w:tcPr>
          <w:p w14:paraId="49BFE41F">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滁州市内</w:t>
            </w:r>
          </w:p>
        </w:tc>
      </w:tr>
      <w:tr w14:paraId="0A4C2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020" w:type="dxa"/>
            <w:noWrap w:val="0"/>
            <w:vAlign w:val="center"/>
          </w:tcPr>
          <w:p w14:paraId="7266B7DD">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1CC5A0D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824" w:type="dxa"/>
            <w:noWrap w:val="0"/>
            <w:vAlign w:val="center"/>
          </w:tcPr>
          <w:p w14:paraId="2FEDBC9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代工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val="en-US" w:eastAsia="zh-CN"/>
              </w:rPr>
              <w:t>0550-3525595</w:t>
            </w:r>
          </w:p>
        </w:tc>
      </w:tr>
      <w:tr w14:paraId="53C8D2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1020" w:type="dxa"/>
            <w:noWrap w:val="0"/>
            <w:vAlign w:val="center"/>
          </w:tcPr>
          <w:p w14:paraId="7C37C4F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7849B6B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824" w:type="dxa"/>
            <w:noWrap w:val="0"/>
            <w:vAlign w:val="center"/>
          </w:tcPr>
          <w:p w14:paraId="3EEC10F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eastAsia="zh-CN"/>
              </w:rPr>
              <w:t>胡国庆</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：0550-3519517、18005500950</w:t>
            </w:r>
          </w:p>
        </w:tc>
      </w:tr>
      <w:tr w14:paraId="358A5E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255" w:hRule="atLeast"/>
          <w:jc w:val="center"/>
        </w:trPr>
        <w:tc>
          <w:tcPr>
            <w:tcW w:w="1020" w:type="dxa"/>
            <w:noWrap w:val="0"/>
            <w:vAlign w:val="center"/>
          </w:tcPr>
          <w:p w14:paraId="5B535AE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356" w:type="dxa"/>
            <w:gridSpan w:val="2"/>
            <w:noWrap w:val="0"/>
            <w:vAlign w:val="center"/>
          </w:tcPr>
          <w:p w14:paraId="43474B4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824" w:type="dxa"/>
            <w:noWrap w:val="0"/>
            <w:vAlign w:val="center"/>
          </w:tcPr>
          <w:p w14:paraId="051DE1C6">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自筹资金</w:t>
            </w:r>
          </w:p>
        </w:tc>
      </w:tr>
      <w:tr w14:paraId="61825A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1020" w:type="dxa"/>
            <w:noWrap w:val="0"/>
            <w:vAlign w:val="center"/>
          </w:tcPr>
          <w:p w14:paraId="25FDD473">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356" w:type="dxa"/>
            <w:gridSpan w:val="2"/>
            <w:noWrap w:val="0"/>
            <w:vAlign w:val="center"/>
          </w:tcPr>
          <w:p w14:paraId="587006A5">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824" w:type="dxa"/>
            <w:noWrap w:val="0"/>
            <w:vAlign w:val="center"/>
          </w:tcPr>
          <w:p w14:paraId="271872F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本项目投资额约190万元，编制服务费约1.1万元</w:t>
            </w:r>
          </w:p>
        </w:tc>
      </w:tr>
      <w:tr w14:paraId="633F14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90" w:hRule="atLeast"/>
          <w:jc w:val="center"/>
        </w:trPr>
        <w:tc>
          <w:tcPr>
            <w:tcW w:w="1020" w:type="dxa"/>
            <w:noWrap w:val="0"/>
            <w:vAlign w:val="center"/>
          </w:tcPr>
          <w:p w14:paraId="01C3159F">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356" w:type="dxa"/>
            <w:gridSpan w:val="2"/>
            <w:noWrap w:val="0"/>
            <w:vAlign w:val="center"/>
          </w:tcPr>
          <w:p w14:paraId="386764A9">
            <w:pPr>
              <w:pStyle w:val="17"/>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最高限价</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费率）</w:t>
            </w:r>
          </w:p>
        </w:tc>
        <w:tc>
          <w:tcPr>
            <w:tcW w:w="6824" w:type="dxa"/>
            <w:noWrap w:val="0"/>
            <w:vAlign w:val="center"/>
          </w:tcPr>
          <w:p w14:paraId="144BC836">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本项目投标报价采用百分比费率报价，最高限价为100.00%（百分数小数点后最多保留两位小数，否则第三位将四舍五入），投标报价（费率）不得高于最高限价，否则，按无效标处理</w:t>
            </w:r>
            <w:r>
              <w:rPr>
                <w:rFonts w:hint="eastAsia" w:hAnsi="宋体" w:cs="宋体"/>
                <w:color w:val="auto"/>
                <w:sz w:val="21"/>
                <w:szCs w:val="21"/>
                <w:highlight w:val="none"/>
                <w:lang w:val="en-US" w:eastAsia="zh-CN"/>
              </w:rPr>
              <w:t>。</w:t>
            </w:r>
          </w:p>
          <w:p w14:paraId="1A8FFAC9">
            <w:pPr>
              <w:pStyle w:val="17"/>
              <w:keepNext w:val="0"/>
              <w:keepLines w:val="0"/>
              <w:pageBreakBefore w:val="0"/>
              <w:kinsoku/>
              <w:overflowPunct/>
              <w:topLinePunct w:val="0"/>
              <w:autoSpaceDE/>
              <w:autoSpaceDN/>
              <w:bidi w:val="0"/>
              <w:adjustRightInd/>
              <w:spacing w:line="500" w:lineRule="exact"/>
              <w:textAlignment w:val="auto"/>
              <w:rPr>
                <w:rFonts w:hint="default"/>
                <w:color w:val="auto"/>
                <w:highlight w:val="none"/>
                <w:lang w:val="en-US"/>
              </w:rPr>
            </w:pPr>
            <w:r>
              <w:rPr>
                <w:rFonts w:hint="eastAsia" w:ascii="宋体" w:hAnsi="宋体" w:eastAsia="宋体" w:cs="宋体"/>
                <w:color w:val="auto"/>
                <w:sz w:val="21"/>
                <w:szCs w:val="21"/>
                <w:highlight w:val="none"/>
                <w:lang w:val="en-US" w:eastAsia="zh-CN"/>
              </w:rPr>
              <w:t>2.本项目</w:t>
            </w:r>
            <w:r>
              <w:rPr>
                <w:rFonts w:hint="eastAsia" w:hAnsi="宋体" w:cs="宋体"/>
                <w:color w:val="auto"/>
                <w:sz w:val="21"/>
                <w:szCs w:val="21"/>
                <w:highlight w:val="none"/>
                <w:lang w:val="en-US" w:eastAsia="zh-CN"/>
              </w:rPr>
              <w:t>编制费用=（施工中标价-暂列金额-暂估价）×6.1‰×中标费率</w:t>
            </w:r>
            <w:r>
              <w:rPr>
                <w:rFonts w:hint="eastAsia" w:ascii="宋体" w:hAnsi="宋体" w:eastAsia="宋体" w:cs="宋体"/>
                <w:color w:val="auto"/>
                <w:sz w:val="21"/>
                <w:szCs w:val="21"/>
                <w:highlight w:val="none"/>
                <w:lang w:val="en-US" w:eastAsia="zh-CN"/>
              </w:rPr>
              <w:t>。项目结算时中标费率不予调整。</w:t>
            </w:r>
          </w:p>
        </w:tc>
      </w:tr>
      <w:tr w14:paraId="60778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CA7CFB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356" w:type="dxa"/>
            <w:gridSpan w:val="2"/>
            <w:noWrap w:val="0"/>
            <w:vAlign w:val="center"/>
          </w:tcPr>
          <w:p w14:paraId="3F08F91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824" w:type="dxa"/>
            <w:noWrap w:val="0"/>
            <w:vAlign w:val="center"/>
          </w:tcPr>
          <w:p w14:paraId="25820C3D">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依据招标人提供的全套设计施工图纸进行本项目的工程量清单及最高投标限价的编制，并完成网上备案工作</w:t>
            </w:r>
            <w:r>
              <w:rPr>
                <w:rFonts w:hint="eastAsia" w:hAnsi="宋体" w:cs="宋体"/>
                <w:color w:val="auto"/>
                <w:sz w:val="21"/>
                <w:szCs w:val="21"/>
                <w:highlight w:val="none"/>
                <w:lang w:val="en-US" w:eastAsia="zh-CN"/>
              </w:rPr>
              <w:t>（如需备案）</w:t>
            </w:r>
            <w:r>
              <w:rPr>
                <w:rFonts w:hint="default" w:ascii="宋体" w:hAnsi="宋体" w:eastAsia="宋体" w:cs="宋体"/>
                <w:color w:val="auto"/>
                <w:sz w:val="21"/>
                <w:szCs w:val="21"/>
                <w:highlight w:val="none"/>
                <w:lang w:val="en-US" w:eastAsia="zh-CN"/>
              </w:rPr>
              <w:t>，向招标人提交造价成果及最高限价备案表</w:t>
            </w:r>
            <w:r>
              <w:rPr>
                <w:rFonts w:hint="eastAsia" w:hAnsi="宋体" w:cs="宋体"/>
                <w:color w:val="auto"/>
                <w:sz w:val="21"/>
                <w:szCs w:val="21"/>
                <w:highlight w:val="none"/>
                <w:lang w:val="en-US" w:eastAsia="zh-CN"/>
              </w:rPr>
              <w:t>。</w:t>
            </w:r>
          </w:p>
        </w:tc>
      </w:tr>
      <w:tr w14:paraId="7DCF0A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020" w:type="dxa"/>
            <w:noWrap w:val="0"/>
            <w:vAlign w:val="center"/>
          </w:tcPr>
          <w:p w14:paraId="1A0E67D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356" w:type="dxa"/>
            <w:gridSpan w:val="2"/>
            <w:noWrap w:val="0"/>
            <w:vAlign w:val="center"/>
          </w:tcPr>
          <w:p w14:paraId="56631A72">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824" w:type="dxa"/>
            <w:noWrap w:val="0"/>
            <w:vAlign w:val="center"/>
          </w:tcPr>
          <w:p w14:paraId="32FADC15">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4FD90F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300" w:hRule="atLeast"/>
          <w:jc w:val="center"/>
        </w:trPr>
        <w:tc>
          <w:tcPr>
            <w:tcW w:w="1020" w:type="dxa"/>
            <w:noWrap w:val="0"/>
            <w:vAlign w:val="center"/>
          </w:tcPr>
          <w:p w14:paraId="3E46C7A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356" w:type="dxa"/>
            <w:gridSpan w:val="2"/>
            <w:noWrap w:val="0"/>
            <w:vAlign w:val="center"/>
          </w:tcPr>
          <w:p w14:paraId="5BAC495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824" w:type="dxa"/>
            <w:noWrap w:val="0"/>
            <w:vAlign w:val="center"/>
          </w:tcPr>
          <w:p w14:paraId="6BA5C1C0">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公开招标</w:t>
            </w:r>
          </w:p>
        </w:tc>
      </w:tr>
      <w:tr w14:paraId="0F01E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020" w:type="dxa"/>
            <w:noWrap w:val="0"/>
            <w:vAlign w:val="center"/>
          </w:tcPr>
          <w:p w14:paraId="3E12EAFC">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356" w:type="dxa"/>
            <w:gridSpan w:val="2"/>
            <w:noWrap w:val="0"/>
            <w:vAlign w:val="center"/>
          </w:tcPr>
          <w:p w14:paraId="576874AC">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824" w:type="dxa"/>
            <w:noWrap w:val="0"/>
            <w:vAlign w:val="center"/>
          </w:tcPr>
          <w:p w14:paraId="1A8B0DFE">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204910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28" w:hRule="atLeast"/>
          <w:jc w:val="center"/>
        </w:trPr>
        <w:tc>
          <w:tcPr>
            <w:tcW w:w="1020" w:type="dxa"/>
            <w:noWrap w:val="0"/>
            <w:vAlign w:val="center"/>
          </w:tcPr>
          <w:p w14:paraId="190AD7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356" w:type="dxa"/>
            <w:gridSpan w:val="2"/>
            <w:noWrap w:val="0"/>
            <w:vAlign w:val="center"/>
          </w:tcPr>
          <w:p w14:paraId="37EBE7D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824" w:type="dxa"/>
            <w:noWrap w:val="0"/>
            <w:vAlign w:val="center"/>
          </w:tcPr>
          <w:p w14:paraId="08DBD487">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不组织,投标人自行踏勘现场</w:t>
            </w:r>
          </w:p>
        </w:tc>
      </w:tr>
      <w:tr w14:paraId="70B87A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1EECDC1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356" w:type="dxa"/>
            <w:gridSpan w:val="2"/>
            <w:noWrap w:val="0"/>
            <w:vAlign w:val="center"/>
          </w:tcPr>
          <w:p w14:paraId="25E7B32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824" w:type="dxa"/>
            <w:noWrap w:val="0"/>
            <w:vAlign w:val="center"/>
          </w:tcPr>
          <w:p w14:paraId="6F65784E">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EE0A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9" w:hRule="atLeast"/>
          <w:jc w:val="center"/>
        </w:trPr>
        <w:tc>
          <w:tcPr>
            <w:tcW w:w="1020" w:type="dxa"/>
            <w:noWrap w:val="0"/>
            <w:vAlign w:val="center"/>
          </w:tcPr>
          <w:p w14:paraId="6C5B4A3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356" w:type="dxa"/>
            <w:gridSpan w:val="2"/>
            <w:noWrap w:val="0"/>
            <w:vAlign w:val="center"/>
          </w:tcPr>
          <w:p w14:paraId="10D1D6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824" w:type="dxa"/>
            <w:noWrap w:val="0"/>
            <w:vAlign w:val="center"/>
          </w:tcPr>
          <w:p w14:paraId="3ECA2BC4">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3CDF0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701C422D">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356" w:type="dxa"/>
            <w:gridSpan w:val="2"/>
            <w:noWrap w:val="0"/>
            <w:vAlign w:val="center"/>
          </w:tcPr>
          <w:p w14:paraId="05BFC0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824" w:type="dxa"/>
            <w:noWrap w:val="0"/>
            <w:vAlign w:val="center"/>
          </w:tcPr>
          <w:p w14:paraId="2A8F499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1000</w:t>
            </w:r>
            <w:r>
              <w:rPr>
                <w:rFonts w:hint="eastAsia" w:ascii="宋体" w:hAnsi="宋体" w:eastAsia="宋体" w:cs="宋体"/>
                <w:color w:val="auto"/>
                <w:sz w:val="21"/>
                <w:szCs w:val="21"/>
                <w:highlight w:val="none"/>
              </w:rPr>
              <w:t>元；</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费用以实际发生费用为准。</w:t>
            </w:r>
          </w:p>
          <w:p w14:paraId="51FE684A">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支付主体：</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p>
        </w:tc>
      </w:tr>
      <w:tr w14:paraId="2FF637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0D0EB9D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2356" w:type="dxa"/>
            <w:gridSpan w:val="2"/>
            <w:noWrap w:val="0"/>
            <w:vAlign w:val="center"/>
          </w:tcPr>
          <w:p w14:paraId="4925A65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824" w:type="dxa"/>
            <w:noWrap w:val="0"/>
            <w:vAlign w:val="center"/>
          </w:tcPr>
          <w:p w14:paraId="5393634A">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val="en-US" w:eastAsia="zh-CN"/>
              </w:rPr>
              <w:t>时</w:t>
            </w:r>
            <w:r>
              <w:rPr>
                <w:rFonts w:hint="eastAsia" w:ascii="宋体" w:hAnsi="宋体" w:cs="宋体"/>
                <w:color w:val="auto"/>
                <w:sz w:val="21"/>
                <w:szCs w:val="21"/>
                <w:highlight w:val="none"/>
                <w:lang w:val="en-US" w:eastAsia="zh-CN"/>
              </w:rPr>
              <w:t>前</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以更正公告形式</w:t>
            </w:r>
            <w:r>
              <w:rPr>
                <w:rFonts w:hint="eastAsia" w:ascii="宋体" w:hAnsi="宋体" w:eastAsia="宋体" w:cs="宋体"/>
                <w:color w:val="auto"/>
                <w:sz w:val="21"/>
                <w:szCs w:val="21"/>
                <w:highlight w:val="none"/>
                <w:lang w:val="en-US" w:eastAsia="zh-CN"/>
              </w:rPr>
              <w:t>在</w:t>
            </w:r>
            <w:r>
              <w:rPr>
                <w:rFonts w:hint="eastAsia" w:ascii="宋体" w:hAnsi="宋体" w:cs="宋体"/>
                <w:color w:val="auto"/>
                <w:sz w:val="21"/>
                <w:szCs w:val="21"/>
                <w:highlight w:val="none"/>
                <w:lang w:val="en-US" w:eastAsia="zh-CN"/>
              </w:rPr>
              <w:t>安徽省琅琊山旅游发展有限公司（https://www.lysfjq.cn/）、滁州市城投工程咨询管理有限公司（https://www.czctgczx.com/）等网站</w:t>
            </w:r>
            <w:r>
              <w:rPr>
                <w:rFonts w:hint="eastAsia" w:ascii="宋体" w:hAnsi="宋体" w:eastAsia="宋体" w:cs="宋体"/>
                <w:color w:val="auto"/>
                <w:sz w:val="21"/>
                <w:szCs w:val="21"/>
                <w:highlight w:val="none"/>
                <w:lang w:val="en-US" w:eastAsia="zh-CN"/>
              </w:rPr>
              <w:t>予以公布。</w:t>
            </w:r>
          </w:p>
        </w:tc>
      </w:tr>
      <w:tr w14:paraId="5281A2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46C81365">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356" w:type="dxa"/>
            <w:gridSpan w:val="2"/>
            <w:noWrap w:val="0"/>
            <w:vAlign w:val="center"/>
          </w:tcPr>
          <w:p w14:paraId="1860036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24" w:type="dxa"/>
            <w:noWrap w:val="0"/>
            <w:vAlign w:val="center"/>
          </w:tcPr>
          <w:p w14:paraId="399376C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val="en-US" w:eastAsia="zh-CN"/>
              </w:rPr>
              <w:t>9</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493B3B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4BC4FB0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356" w:type="dxa"/>
            <w:gridSpan w:val="2"/>
            <w:noWrap w:val="0"/>
            <w:vAlign w:val="center"/>
          </w:tcPr>
          <w:p w14:paraId="1051690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824" w:type="dxa"/>
            <w:noWrap w:val="0"/>
            <w:vAlign w:val="top"/>
          </w:tcPr>
          <w:p w14:paraId="3B55E0DA">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749D7FA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215" w:hRule="atLeast"/>
          <w:jc w:val="center"/>
        </w:trPr>
        <w:tc>
          <w:tcPr>
            <w:tcW w:w="1020" w:type="dxa"/>
            <w:noWrap w:val="0"/>
            <w:vAlign w:val="center"/>
          </w:tcPr>
          <w:p w14:paraId="673B3D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2356" w:type="dxa"/>
            <w:gridSpan w:val="2"/>
            <w:noWrap w:val="0"/>
            <w:vAlign w:val="center"/>
          </w:tcPr>
          <w:p w14:paraId="6A3448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hAnsi="宋体" w:cs="宋体"/>
                <w:color w:val="auto"/>
                <w:sz w:val="21"/>
                <w:szCs w:val="21"/>
                <w:highlight w:val="none"/>
                <w:lang w:val="en-US" w:eastAsia="zh-CN"/>
              </w:rPr>
              <w:t>份数</w:t>
            </w:r>
          </w:p>
        </w:tc>
        <w:tc>
          <w:tcPr>
            <w:tcW w:w="6824" w:type="dxa"/>
            <w:noWrap w:val="0"/>
            <w:vAlign w:val="center"/>
          </w:tcPr>
          <w:p w14:paraId="6147BFCA">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加密电子投标文件供应商应在投标截止时间前通过新点电子交易平台后在【滁州专区】</w:t>
            </w:r>
          </w:p>
          <w:p w14:paraId="3995E74C">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（https://www.etrading.cn/BREpointSSO/login/oauth2login?regioncode=DQ_ChuZhou）交易系统递交电子投标文件。</w:t>
            </w:r>
          </w:p>
          <w:p w14:paraId="66A92907">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投标人中标</w:t>
            </w:r>
            <w:r>
              <w:rPr>
                <w:rFonts w:hint="eastAsia" w:ascii="宋体" w:hAnsi="宋体" w:eastAsia="宋体" w:cs="宋体"/>
                <w:color w:val="auto"/>
                <w:sz w:val="21"/>
                <w:szCs w:val="21"/>
                <w:highlight w:val="none"/>
                <w:lang w:val="en-US" w:eastAsia="zh-CN"/>
              </w:rPr>
              <w:t>后须递交与网上电子投标文件完全一致的纸质版</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文件，并按要求加盖单位章；份数：正本1份，副本1份；</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领取</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通知书时，一并递交给代理机构）</w:t>
            </w:r>
          </w:p>
        </w:tc>
      </w:tr>
      <w:tr w14:paraId="01707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5FEA482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w:t>
            </w:r>
          </w:p>
        </w:tc>
        <w:tc>
          <w:tcPr>
            <w:tcW w:w="2356" w:type="dxa"/>
            <w:gridSpan w:val="2"/>
            <w:noWrap w:val="0"/>
            <w:vAlign w:val="center"/>
          </w:tcPr>
          <w:p w14:paraId="63E3E5A8">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824" w:type="dxa"/>
            <w:noWrap w:val="0"/>
            <w:vAlign w:val="center"/>
          </w:tcPr>
          <w:p w14:paraId="3FC1CA6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41EF6E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020" w:type="dxa"/>
            <w:noWrap w:val="0"/>
            <w:vAlign w:val="center"/>
          </w:tcPr>
          <w:p w14:paraId="512EFE0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356" w:type="dxa"/>
            <w:gridSpan w:val="2"/>
            <w:noWrap w:val="0"/>
            <w:vAlign w:val="center"/>
          </w:tcPr>
          <w:p w14:paraId="0726E870">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投标文件提交截止时间</w:t>
            </w:r>
            <w:r>
              <w:rPr>
                <w:rFonts w:hint="eastAsia" w:ascii="宋体" w:hAnsi="宋体" w:cs="宋体"/>
                <w:color w:val="auto"/>
                <w:sz w:val="21"/>
                <w:szCs w:val="21"/>
                <w:highlight w:val="none"/>
                <w:lang w:val="en-US" w:eastAsia="zh-CN"/>
              </w:rPr>
              <w:t>及地点</w:t>
            </w:r>
          </w:p>
        </w:tc>
        <w:tc>
          <w:tcPr>
            <w:tcW w:w="6824" w:type="dxa"/>
            <w:noWrap w:val="0"/>
            <w:vAlign w:val="center"/>
          </w:tcPr>
          <w:p w14:paraId="6FE98E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时间：</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分（北京时间）</w:t>
            </w:r>
          </w:p>
          <w:p w14:paraId="0139084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地点：通过新点电子交易平台后在【滁州专区】（https://www.etrading.cn/BREpointSSO/login/oauth2login?regioncode=DQ_ChuZhou）交易系统递交加密电子投标文件。</w:t>
            </w:r>
          </w:p>
        </w:tc>
      </w:tr>
      <w:tr w14:paraId="66B28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1020" w:type="dxa"/>
            <w:noWrap w:val="0"/>
            <w:vAlign w:val="center"/>
          </w:tcPr>
          <w:p w14:paraId="199D894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356" w:type="dxa"/>
            <w:gridSpan w:val="2"/>
            <w:noWrap w:val="0"/>
            <w:vAlign w:val="center"/>
          </w:tcPr>
          <w:p w14:paraId="75E01BD5">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824" w:type="dxa"/>
            <w:noWrap w:val="0"/>
            <w:vAlign w:val="center"/>
          </w:tcPr>
          <w:p w14:paraId="4CEA9BF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F3826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6F2EE8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27.1</w:t>
            </w:r>
          </w:p>
        </w:tc>
        <w:tc>
          <w:tcPr>
            <w:tcW w:w="2356" w:type="dxa"/>
            <w:gridSpan w:val="2"/>
            <w:noWrap w:val="0"/>
            <w:vAlign w:val="center"/>
          </w:tcPr>
          <w:p w14:paraId="4DF99FAC">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824" w:type="dxa"/>
            <w:noWrap w:val="0"/>
            <w:vAlign w:val="center"/>
          </w:tcPr>
          <w:p w14:paraId="2E7E26E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4362D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77B4048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356" w:type="dxa"/>
            <w:gridSpan w:val="2"/>
            <w:noWrap w:val="0"/>
            <w:vAlign w:val="center"/>
          </w:tcPr>
          <w:p w14:paraId="1C2EA3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824" w:type="dxa"/>
            <w:noWrap w:val="0"/>
            <w:vAlign w:val="center"/>
          </w:tcPr>
          <w:p w14:paraId="612FECC3">
            <w:pPr>
              <w:spacing w:line="500" w:lineRule="exact"/>
              <w:jc w:val="left"/>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解密时间：解密程序开始后</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分钟内（以电子交易系统解密倒计时为准）。</w:t>
            </w:r>
          </w:p>
          <w:p w14:paraId="400808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开标顺序：</w:t>
            </w:r>
            <w:r>
              <w:rPr>
                <w:rFonts w:hint="eastAsia" w:ascii="宋体" w:hAnsi="宋体" w:eastAsia="宋体" w:cs="宋体"/>
                <w:color w:val="auto"/>
                <w:sz w:val="21"/>
                <w:szCs w:val="21"/>
                <w:highlight w:val="none"/>
                <w:lang w:val="en-US" w:eastAsia="zh-CN"/>
              </w:rPr>
              <w:t>解密电子投标文件后，由评标委员会评审。</w:t>
            </w:r>
          </w:p>
        </w:tc>
      </w:tr>
      <w:tr w14:paraId="7EECF8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338EA4D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356" w:type="dxa"/>
            <w:gridSpan w:val="2"/>
            <w:noWrap w:val="0"/>
            <w:vAlign w:val="center"/>
          </w:tcPr>
          <w:p w14:paraId="5F1041A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824" w:type="dxa"/>
            <w:noWrap w:val="0"/>
            <w:vAlign w:val="top"/>
          </w:tcPr>
          <w:p w14:paraId="75941166">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评标委员会</w:t>
            </w:r>
            <w:r>
              <w:rPr>
                <w:rFonts w:hint="eastAsia" w:ascii="宋体" w:hAnsi="宋体" w:eastAsia="宋体" w:cs="宋体"/>
                <w:color w:val="auto"/>
                <w:sz w:val="21"/>
                <w:szCs w:val="21"/>
                <w:highlight w:val="none"/>
                <w:lang w:val="en-US" w:eastAsia="zh-CN"/>
              </w:rPr>
              <w:t>由招标人组建；</w:t>
            </w:r>
          </w:p>
          <w:p w14:paraId="25283D63">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评标专家确定方式：专家评委由招标单位在评标前24小时内从专家库中随机抽取</w:t>
            </w:r>
            <w:r>
              <w:rPr>
                <w:rFonts w:hint="eastAsia" w:ascii="宋体" w:hAnsi="宋体" w:eastAsia="宋体" w:cs="宋体"/>
                <w:color w:val="auto"/>
                <w:sz w:val="21"/>
                <w:szCs w:val="21"/>
                <w:highlight w:val="none"/>
              </w:rPr>
              <w:t>。</w:t>
            </w:r>
          </w:p>
        </w:tc>
      </w:tr>
      <w:tr w14:paraId="3664FE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1020" w:type="dxa"/>
            <w:noWrap w:val="0"/>
            <w:vAlign w:val="center"/>
          </w:tcPr>
          <w:p w14:paraId="39C113BE">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30.1.1</w:t>
            </w:r>
          </w:p>
        </w:tc>
        <w:tc>
          <w:tcPr>
            <w:tcW w:w="2356" w:type="dxa"/>
            <w:gridSpan w:val="2"/>
            <w:noWrap w:val="0"/>
            <w:vAlign w:val="center"/>
          </w:tcPr>
          <w:p w14:paraId="18DAF9A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824" w:type="dxa"/>
            <w:noWrap w:val="0"/>
            <w:vAlign w:val="center"/>
          </w:tcPr>
          <w:p w14:paraId="70B2677A">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5129A1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7AA5E140">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w:t>
            </w:r>
          </w:p>
        </w:tc>
        <w:tc>
          <w:tcPr>
            <w:tcW w:w="2356" w:type="dxa"/>
            <w:gridSpan w:val="2"/>
            <w:noWrap w:val="0"/>
            <w:vAlign w:val="center"/>
          </w:tcPr>
          <w:p w14:paraId="54EDD3E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824" w:type="dxa"/>
            <w:noWrap w:val="0"/>
            <w:vAlign w:val="center"/>
          </w:tcPr>
          <w:p w14:paraId="7AB3A22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7E805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1020" w:type="dxa"/>
            <w:noWrap w:val="0"/>
            <w:vAlign w:val="center"/>
          </w:tcPr>
          <w:p w14:paraId="632D810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356" w:type="dxa"/>
            <w:gridSpan w:val="2"/>
            <w:noWrap w:val="0"/>
            <w:vAlign w:val="center"/>
          </w:tcPr>
          <w:p w14:paraId="2973429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824" w:type="dxa"/>
            <w:noWrap w:val="0"/>
            <w:vAlign w:val="center"/>
          </w:tcPr>
          <w:p w14:paraId="4CD25D4B">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11FB7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21B303EF">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w:t>
            </w:r>
          </w:p>
        </w:tc>
        <w:tc>
          <w:tcPr>
            <w:tcW w:w="2356" w:type="dxa"/>
            <w:gridSpan w:val="2"/>
            <w:noWrap w:val="0"/>
            <w:vAlign w:val="center"/>
          </w:tcPr>
          <w:p w14:paraId="135098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824" w:type="dxa"/>
            <w:noWrap w:val="0"/>
            <w:vAlign w:val="center"/>
          </w:tcPr>
          <w:p w14:paraId="26E992C2">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如投标人对招标文件有质疑，可以于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cs="宋体"/>
                <w:b/>
                <w:bCs/>
                <w:color w:val="auto"/>
                <w:sz w:val="21"/>
                <w:szCs w:val="21"/>
                <w:highlight w:val="none"/>
                <w:lang w:val="en-US" w:eastAsia="zh-CN"/>
              </w:rPr>
              <w:t>前</w:t>
            </w:r>
            <w:r>
              <w:rPr>
                <w:rFonts w:hint="eastAsia" w:ascii="宋体" w:hAnsi="宋体" w:eastAsia="宋体" w:cs="宋体"/>
                <w:b/>
                <w:bCs/>
                <w:color w:val="auto"/>
                <w:sz w:val="21"/>
                <w:szCs w:val="21"/>
                <w:highlight w:val="none"/>
                <w:lang w:val="en-US" w:eastAsia="zh-CN"/>
              </w:rPr>
              <w:t>将疑问内容通过登录新点电子交易平台【滁州专区】线上提出异议。</w:t>
            </w:r>
            <w:r>
              <w:rPr>
                <w:rFonts w:hint="eastAsia" w:ascii="宋体" w:hAnsi="宋体" w:eastAsia="宋体" w:cs="宋体"/>
                <w:color w:val="auto"/>
                <w:sz w:val="21"/>
                <w:szCs w:val="21"/>
                <w:highlight w:val="none"/>
                <w:lang w:val="en-US" w:eastAsia="zh-CN"/>
              </w:rPr>
              <w:t xml:space="preserve">招标人不再集中召开招标答疑会；投标人自行组织勘察现场。  </w:t>
            </w:r>
          </w:p>
        </w:tc>
      </w:tr>
      <w:tr w14:paraId="59A01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08CBBC3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39.6</w:t>
            </w:r>
          </w:p>
        </w:tc>
        <w:tc>
          <w:tcPr>
            <w:tcW w:w="2356" w:type="dxa"/>
            <w:gridSpan w:val="2"/>
            <w:noWrap w:val="0"/>
            <w:vAlign w:val="center"/>
          </w:tcPr>
          <w:p w14:paraId="0940287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答复在线质疑的时间及方式</w:t>
            </w:r>
          </w:p>
        </w:tc>
        <w:tc>
          <w:tcPr>
            <w:tcW w:w="6824" w:type="dxa"/>
            <w:noWrap w:val="0"/>
            <w:vAlign w:val="center"/>
          </w:tcPr>
          <w:p w14:paraId="257C5C58">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同15.4“</w:t>
            </w:r>
            <w:r>
              <w:rPr>
                <w:rFonts w:hint="eastAsia" w:ascii="宋体" w:hAnsi="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CN"/>
              </w:rPr>
              <w:t>澄清的方式</w:t>
            </w:r>
            <w:r>
              <w:rPr>
                <w:rFonts w:hint="default"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tc>
      </w:tr>
      <w:tr w14:paraId="5757C0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2371" w:type="dxa"/>
            <w:gridSpan w:val="2"/>
            <w:noWrap w:val="0"/>
            <w:vAlign w:val="center"/>
          </w:tcPr>
          <w:p w14:paraId="66621BB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29" w:type="dxa"/>
            <w:gridSpan w:val="2"/>
            <w:noWrap w:val="0"/>
            <w:vAlign w:val="center"/>
          </w:tcPr>
          <w:p w14:paraId="1E91BF5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imes New Roman"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编制成果经委托人确认，并完成核对工作（若需完成网上最高投标限价备案工作，须向委托人提交最高投标限价备案表）后，支付编制费用的60%，余款待工程竣工验收合格并审计结算后一次性付清</w:t>
            </w:r>
            <w:r>
              <w:rPr>
                <w:rFonts w:hint="eastAsia" w:ascii="Times New Roman" w:hAnsi="宋体" w:eastAsia="宋体" w:cs="宋体"/>
                <w:color w:val="auto"/>
                <w:sz w:val="21"/>
                <w:szCs w:val="21"/>
                <w:highlight w:val="none"/>
                <w:lang w:val="en-US" w:eastAsia="zh-CN"/>
              </w:rPr>
              <w:t>。</w:t>
            </w:r>
          </w:p>
          <w:p w14:paraId="0C239EA8">
            <w:pPr>
              <w:pStyle w:val="28"/>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color w:val="auto"/>
                <w:highlight w:val="none"/>
                <w:lang w:val="en-US" w:eastAsia="zh-CN"/>
              </w:rPr>
            </w:pPr>
            <w:r>
              <w:rPr>
                <w:rFonts w:hint="eastAsia" w:ascii="宋体" w:hAnsi="宋体" w:eastAsia="宋体" w:cs="宋体"/>
                <w:b/>
                <w:bCs/>
                <w:color w:val="auto"/>
                <w:sz w:val="21"/>
                <w:szCs w:val="21"/>
                <w:highlight w:val="none"/>
                <w:lang w:val="en-US" w:eastAsia="zh-CN"/>
              </w:rPr>
              <w:t>注：编制服务费=（施工中标价-暂列金额-暂估价）×</w:t>
            </w:r>
            <w:r>
              <w:rPr>
                <w:rFonts w:hint="eastAsia" w:ascii="宋体" w:hAnsi="宋体" w:cs="宋体"/>
                <w:b/>
                <w:bCs/>
                <w:color w:val="auto"/>
                <w:sz w:val="21"/>
                <w:szCs w:val="21"/>
                <w:highlight w:val="none"/>
                <w:lang w:val="en-US" w:eastAsia="zh-CN"/>
              </w:rPr>
              <w:t>6.1‰</w:t>
            </w:r>
            <w:r>
              <w:rPr>
                <w:rFonts w:hint="eastAsia" w:ascii="宋体" w:hAnsi="宋体" w:eastAsia="宋体" w:cs="宋体"/>
                <w:b/>
                <w:bCs/>
                <w:color w:val="auto"/>
                <w:sz w:val="21"/>
                <w:szCs w:val="21"/>
                <w:highlight w:val="none"/>
                <w:lang w:val="en-US" w:eastAsia="zh-CN"/>
              </w:rPr>
              <w:t>×中标费率。项目结算时中标费率不予调整。</w:t>
            </w:r>
          </w:p>
        </w:tc>
      </w:tr>
      <w:tr w14:paraId="6167079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292441FC">
            <w:pPr>
              <w:keepNext w:val="0"/>
              <w:keepLines w:val="0"/>
              <w:pageBreakBefore w:val="0"/>
              <w:kinsoku/>
              <w:overflowPunct/>
              <w:topLinePunct w:val="0"/>
              <w:autoSpaceDE/>
              <w:autoSpaceDN/>
              <w:bidi w:val="0"/>
              <w:adjustRightInd/>
              <w:spacing w:line="500" w:lineRule="exact"/>
              <w:jc w:val="center"/>
              <w:textAlignment w:val="auto"/>
              <w:rPr>
                <w:rFonts w:hint="default" w:ascii="宋体" w:hAnsi="宋体" w:eastAsia="宋体" w:cs="宋体"/>
                <w:color w:val="auto"/>
                <w:sz w:val="21"/>
                <w:szCs w:val="21"/>
                <w:highlight w:val="none"/>
                <w:lang w:val="en-US" w:eastAsia="zh-CN"/>
              </w:rPr>
            </w:pPr>
            <w:bookmarkStart w:id="22" w:name="_Toc449028866"/>
            <w:bookmarkStart w:id="23" w:name="_Toc58430315"/>
            <w:r>
              <w:rPr>
                <w:rFonts w:hint="eastAsia" w:ascii="宋体" w:hAnsi="宋体" w:cs="宋体"/>
                <w:color w:val="auto"/>
                <w:sz w:val="21"/>
                <w:szCs w:val="21"/>
                <w:highlight w:val="none"/>
                <w:lang w:val="en-US" w:eastAsia="zh-CN"/>
              </w:rPr>
              <w:t>其他要求</w:t>
            </w:r>
          </w:p>
        </w:tc>
        <w:tc>
          <w:tcPr>
            <w:tcW w:w="7829" w:type="dxa"/>
            <w:gridSpan w:val="2"/>
            <w:noWrap w:val="0"/>
            <w:vAlign w:val="center"/>
          </w:tcPr>
          <w:p w14:paraId="3B499DA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1.中标人须为本项目预留足够人员并驻场服务，确保服务质量及不耽误项目建设进度。中标人中标后须按照招标人要求及时完成工程量清单及最高限价编制，并积极配合招标人开展工程的招投标工作。</w:t>
            </w:r>
          </w:p>
          <w:p w14:paraId="660182D4">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工程量清单最高投标限价编制及复核过程中，中标人应与招标人充分及时沟通，及时踏勘项目现场，以使清单项目特征描述尽可能详尽,满足招标人要求。工程量清单最高投标限价编制及复核过程中须要常驻建设单位办公地点进行办公，如有一次项目负责人及编制人员不到场，项目负责人处以1000元/次违约金，其他人员每一次处以500元违约金。</w:t>
            </w:r>
          </w:p>
          <w:p w14:paraId="3CC9B26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3.当完成工程量清单及最高投标限价编制及复核时，中标人根据自己的工作经验向招标人提出有关造价及工作管理等方面的建议性意见。</w:t>
            </w:r>
          </w:p>
          <w:p w14:paraId="6A420D58">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工程量清单最高投标限价编制严格按照国家、省、市及行业主管部门规定的最新计价规范、办法、政策性调整及现行定额计算，材料价格按滁州市工程造价信息最新一期，对没有的价格参见本市级部分的价格或通过市场询价确定，提供主要材料和设备询价单（询价单里须有报价截图或加盖公章的报价单），咨询品牌不应少于3家。</w:t>
            </w:r>
          </w:p>
          <w:p w14:paraId="7AE0779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5.招标人安排的其他合理事项，中标人应予以配合完成；中标人有错、漏项的必须及时配合补充编制、复审。</w:t>
            </w:r>
          </w:p>
          <w:p w14:paraId="6FD669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6.根据招标人安排，通知中标单位项目负责人及编制人员到场开会，如有一次项目负责人及编制人员不到场，项目负责人处以1000元/次违约金，其他人员处以500元</w:t>
            </w:r>
            <w:r>
              <w:rPr>
                <w:rFonts w:hint="eastAsia" w:ascii="宋体" w:hAnsi="宋体" w:cs="宋体"/>
                <w:color w:val="auto"/>
                <w:sz w:val="21"/>
                <w:szCs w:val="21"/>
                <w:highlight w:val="none"/>
                <w:lang w:val="en-US" w:eastAsia="zh-CN"/>
              </w:rPr>
              <w:t>/次</w:t>
            </w:r>
            <w:r>
              <w:rPr>
                <w:rFonts w:hint="eastAsia" w:ascii="宋体" w:hAnsi="宋体" w:eastAsia="宋体" w:cs="宋体"/>
                <w:color w:val="auto"/>
                <w:sz w:val="21"/>
                <w:szCs w:val="21"/>
                <w:highlight w:val="none"/>
                <w:lang w:val="en-US" w:eastAsia="zh-CN"/>
              </w:rPr>
              <w:t>违约金。</w:t>
            </w:r>
          </w:p>
          <w:p w14:paraId="5AEE75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7.本项目在实施过程中可能存在减少（或增加）导致的编制工作量减少（或增加）时，中标人须无条件配合工作。</w:t>
            </w:r>
          </w:p>
        </w:tc>
      </w:tr>
      <w:tr w14:paraId="7D9F4A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4A5F705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cs="宋体"/>
                <w:color w:val="auto"/>
                <w:sz w:val="21"/>
                <w:szCs w:val="21"/>
                <w:highlight w:val="none"/>
                <w:lang w:val="en-US" w:eastAsia="zh-CN"/>
              </w:rPr>
            </w:pPr>
            <w:bookmarkStart w:id="24" w:name="_Toc12127"/>
            <w:r>
              <w:rPr>
                <w:rFonts w:hint="eastAsia" w:ascii="宋体" w:hAnsi="宋体" w:cs="宋体"/>
                <w:color w:val="auto"/>
                <w:sz w:val="21"/>
                <w:szCs w:val="21"/>
                <w:highlight w:val="none"/>
                <w:lang w:val="en-US" w:eastAsia="zh-CN"/>
              </w:rPr>
              <w:t>评标过程中的澄清、说明或补正</w:t>
            </w:r>
          </w:p>
        </w:tc>
        <w:tc>
          <w:tcPr>
            <w:tcW w:w="7829" w:type="dxa"/>
            <w:gridSpan w:val="2"/>
            <w:noWrap w:val="0"/>
            <w:vAlign w:val="center"/>
          </w:tcPr>
          <w:p w14:paraId="2D211D62">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（1）评标委员会通过网上招投标系统将需要澄清、说明或补正的内容以询标函的形式发送给投标人，投标人应安排专人登录网上招投标系统并保持在线状态，以便及时接收评标委员会可能发出的询标函。</w:t>
            </w:r>
          </w:p>
          <w:p w14:paraId="14349A39">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4BD928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375" w:hRule="atLeast"/>
          <w:jc w:val="center"/>
        </w:trPr>
        <w:tc>
          <w:tcPr>
            <w:tcW w:w="2371" w:type="dxa"/>
            <w:gridSpan w:val="2"/>
            <w:noWrap w:val="0"/>
            <w:vAlign w:val="center"/>
          </w:tcPr>
          <w:p w14:paraId="5833F9E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其他说明</w:t>
            </w:r>
          </w:p>
        </w:tc>
        <w:tc>
          <w:tcPr>
            <w:tcW w:w="7829" w:type="dxa"/>
            <w:gridSpan w:val="2"/>
            <w:noWrap w:val="0"/>
            <w:vAlign w:val="center"/>
          </w:tcPr>
          <w:p w14:paraId="49D3EC8A">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1、本招标文件前后条款若有不一致之处，在澄清答疑时又未作出明确规定时，各投标人的投标文件只要满足其中任一条款，均视为对本招标文件的响应。</w:t>
            </w:r>
          </w:p>
          <w:p w14:paraId="69709F9A">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2、系统中提供的表格与招标文件不一致时，以招标文件中提供的表格格式为准。</w:t>
            </w:r>
          </w:p>
          <w:p w14:paraId="38DBB0D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3、本项目招标公告与本招标文件不一致之处，以本招标文件为准。</w:t>
            </w:r>
          </w:p>
          <w:p w14:paraId="60A96CB7">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4、本文件的最终解释权归招标人、招标代理机构所有。</w:t>
            </w:r>
          </w:p>
        </w:tc>
      </w:tr>
      <w:tr w14:paraId="7492A5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666E4533">
            <w:pPr>
              <w:keepNext w:val="0"/>
              <w:keepLines w:val="0"/>
              <w:pageBreakBefore w:val="0"/>
              <w:kinsoku/>
              <w:overflowPunct/>
              <w:topLinePunct w:val="0"/>
              <w:autoSpaceDE/>
              <w:autoSpaceDN/>
              <w:bidi w:val="0"/>
              <w:adjustRightInd/>
              <w:spacing w:line="500" w:lineRule="exact"/>
              <w:jc w:val="center"/>
              <w:textAlignment w:val="auto"/>
              <w:rPr>
                <w:rFonts w:hint="default"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特别说明</w:t>
            </w:r>
          </w:p>
        </w:tc>
        <w:tc>
          <w:tcPr>
            <w:tcW w:w="7829" w:type="dxa"/>
            <w:gridSpan w:val="2"/>
            <w:noWrap w:val="0"/>
            <w:vAlign w:val="center"/>
          </w:tcPr>
          <w:p w14:paraId="74408514">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北门游客中心“六一书苑”场馆提升项目设计单位、施工单位、监理单位、招标代理单位及审计单位，不得参加本项目投标。</w:t>
            </w:r>
          </w:p>
        </w:tc>
      </w:tr>
    </w:tbl>
    <w:p w14:paraId="367AAA42">
      <w:pPr>
        <w:pageBreakBefore/>
        <w:spacing w:before="312" w:beforeLines="100" w:after="312" w:afterLines="100" w:line="440" w:lineRule="exact"/>
        <w:jc w:val="center"/>
        <w:outlineLvl w:val="1"/>
        <w:rPr>
          <w:rFonts w:hint="eastAsia" w:ascii="宋体" w:hAnsi="宋体" w:cs="宋体"/>
          <w:b/>
          <w:color w:val="auto"/>
          <w:sz w:val="28"/>
          <w:szCs w:val="32"/>
          <w:highlight w:val="none"/>
        </w:rPr>
      </w:pPr>
      <w:r>
        <w:rPr>
          <w:rFonts w:hint="eastAsia" w:ascii="宋体" w:hAnsi="宋体" w:cs="宋体"/>
          <w:b/>
          <w:color w:val="auto"/>
          <w:sz w:val="28"/>
          <w:szCs w:val="28"/>
          <w:highlight w:val="none"/>
        </w:rPr>
        <w:t>二、投标人须知</w:t>
      </w:r>
      <w:bookmarkEnd w:id="22"/>
      <w:bookmarkEnd w:id="23"/>
      <w:bookmarkEnd w:id="24"/>
    </w:p>
    <w:p w14:paraId="71C5E524">
      <w:pPr>
        <w:spacing w:line="440" w:lineRule="exact"/>
        <w:jc w:val="center"/>
        <w:rPr>
          <w:rFonts w:hint="eastAsia" w:ascii="宋体" w:hAnsi="宋体" w:cs="宋体"/>
          <w:color w:val="auto"/>
          <w:sz w:val="28"/>
          <w:szCs w:val="28"/>
          <w:highlight w:val="none"/>
        </w:rPr>
      </w:pPr>
      <w:bookmarkStart w:id="25" w:name="_Toc449028867"/>
      <w:r>
        <w:rPr>
          <w:rFonts w:hint="eastAsia" w:ascii="宋体" w:hAnsi="宋体" w:cs="宋体"/>
          <w:b/>
          <w:color w:val="auto"/>
          <w:sz w:val="28"/>
          <w:szCs w:val="28"/>
          <w:highlight w:val="none"/>
        </w:rPr>
        <w:t>（一）</w:t>
      </w:r>
      <w:r>
        <w:rPr>
          <w:rFonts w:hint="eastAsia" w:ascii="宋体" w:hAnsi="宋体" w:cs="宋体"/>
          <w:b/>
          <w:color w:val="auto"/>
          <w:sz w:val="28"/>
          <w:szCs w:val="32"/>
          <w:highlight w:val="none"/>
        </w:rPr>
        <w:t>总  则</w:t>
      </w:r>
      <w:bookmarkEnd w:id="25"/>
    </w:p>
    <w:p w14:paraId="6751CB15">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2794C4BA">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5F0FC197">
      <w:pPr>
        <w:snapToGrid w:val="0"/>
        <w:spacing w:line="44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项目编号：见投标人须知前附表。</w:t>
      </w:r>
    </w:p>
    <w:p w14:paraId="6C4DA563">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342C6A91">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期：见投标人须知前附表。</w:t>
      </w:r>
    </w:p>
    <w:p w14:paraId="357F27A4">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地点：见投标人须知前附表。</w:t>
      </w:r>
    </w:p>
    <w:p w14:paraId="4992A507">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及联系人: 见投标人须知前附表。</w:t>
      </w:r>
    </w:p>
    <w:p w14:paraId="0C184FFA">
      <w:pPr>
        <w:snapToGrid w:val="0"/>
        <w:spacing w:line="44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rPr>
        <w:t xml:space="preserve">  代理机构及联系人: 见投标人须知前附表。</w:t>
      </w:r>
    </w:p>
    <w:p w14:paraId="188B78C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313A93F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4DB87F7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072B7BF8">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1983D489">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2.1 采购内容：见投标人须知前附表。</w:t>
      </w:r>
    </w:p>
    <w:p w14:paraId="260899ED">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3470692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6AB9D787">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62FC656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00F9DE79">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CE3412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固定费率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w:t>
      </w:r>
    </w:p>
    <w:p w14:paraId="76A9A77C">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4128FE8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综合评估法</w:t>
      </w:r>
      <w:r>
        <w:rPr>
          <w:rFonts w:hint="eastAsia" w:ascii="宋体" w:hAnsi="宋体" w:cs="宋体"/>
          <w:color w:val="auto"/>
          <w:szCs w:val="21"/>
          <w:highlight w:val="none"/>
        </w:rPr>
        <w:t>（详见第三章评标办法）</w:t>
      </w:r>
    </w:p>
    <w:p w14:paraId="2165EE83">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7691ED36">
      <w:pPr>
        <w:widowControl/>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7.1本项目投标人资格：见投标人须知前附表。</w:t>
      </w:r>
    </w:p>
    <w:p w14:paraId="6E10BC6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948CC2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2BCAF23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w:t>
      </w:r>
      <w:bookmarkStart w:id="26" w:name="_Toc296602429"/>
      <w:bookmarkStart w:id="27" w:name="_Toc152045539"/>
      <w:bookmarkStart w:id="28" w:name="_Toc247513962"/>
      <w:bookmarkStart w:id="29" w:name="_Toc152042315"/>
      <w:bookmarkStart w:id="30" w:name="_Toc247592876"/>
      <w:bookmarkStart w:id="31" w:name="_Toc144974507"/>
      <w:bookmarkStart w:id="32" w:name="_Toc247527563"/>
      <w:r>
        <w:rPr>
          <w:rFonts w:hint="eastAsia" w:ascii="宋体" w:hAnsi="宋体" w:cs="宋体"/>
          <w:b/>
          <w:color w:val="auto"/>
          <w:szCs w:val="21"/>
          <w:highlight w:val="none"/>
        </w:rPr>
        <w:t xml:space="preserve"> 踏勘现场</w:t>
      </w:r>
      <w:bookmarkEnd w:id="26"/>
      <w:bookmarkEnd w:id="27"/>
      <w:bookmarkEnd w:id="28"/>
      <w:bookmarkEnd w:id="29"/>
      <w:bookmarkEnd w:id="30"/>
      <w:bookmarkEnd w:id="31"/>
      <w:bookmarkEnd w:id="32"/>
    </w:p>
    <w:p w14:paraId="75C9E8AA">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 9.1 投标人须知前附表规定组织踏勘现场的，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 xml:space="preserve">按投标人须知前附表规定的时间、地点组织投标人踏勘项目现场。 </w:t>
      </w:r>
    </w:p>
    <w:p w14:paraId="285F926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23FA28D6">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9.3 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的原因外，投标人自行负责在踏勘现场中所发生的人员伤亡和财产损失。</w:t>
      </w:r>
    </w:p>
    <w:p w14:paraId="36C87362">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9.4 </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在踏勘现场中介绍的场地和相关的周边环境情况，供投标人在编制投标文件时参考，</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不对投标人据此作出的判断和决策负责。</w:t>
      </w:r>
      <w:bookmarkStart w:id="33" w:name="_Toc247513963"/>
      <w:bookmarkStart w:id="34" w:name="_Toc247527564"/>
      <w:bookmarkStart w:id="35" w:name="_Toc152042316"/>
      <w:bookmarkStart w:id="36" w:name="_Toc247592877"/>
      <w:bookmarkStart w:id="37" w:name="_Toc144974508"/>
      <w:bookmarkStart w:id="38" w:name="_Toc152045540"/>
      <w:bookmarkStart w:id="39" w:name="_Toc296602430"/>
    </w:p>
    <w:p w14:paraId="72301C1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33"/>
      <w:bookmarkEnd w:id="34"/>
      <w:bookmarkEnd w:id="35"/>
      <w:bookmarkEnd w:id="36"/>
      <w:bookmarkEnd w:id="37"/>
      <w:bookmarkEnd w:id="38"/>
      <w:bookmarkEnd w:id="39"/>
      <w:r>
        <w:rPr>
          <w:rFonts w:hint="eastAsia" w:ascii="宋体" w:hAnsi="宋体" w:cs="宋体"/>
          <w:b/>
          <w:color w:val="auto"/>
          <w:szCs w:val="21"/>
          <w:highlight w:val="none"/>
        </w:rPr>
        <w:t>（本项目不采用）</w:t>
      </w:r>
    </w:p>
    <w:p w14:paraId="151E551C">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10.1投标人须知前附表规定召开投标预备会的，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按投标人须知前附表规定的时间和地点召开投标预备会，澄清投标人提出的问题。</w:t>
      </w:r>
    </w:p>
    <w:p w14:paraId="1711C381">
      <w:pPr>
        <w:numPr>
          <w:ilvl w:val="0"/>
          <w:numId w:val="8"/>
        </w:num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联合投标、合同分包（本项目不采用）</w:t>
      </w:r>
    </w:p>
    <w:p w14:paraId="5E4C1394">
      <w:pPr>
        <w:numPr>
          <w:ilvl w:val="0"/>
          <w:numId w:val="0"/>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11.1两个以上投标人可以组成一个投标联合体，以一个投标人的身份投标。以联合体形式参加投标的，联合体各方均应当符合《</w:t>
      </w:r>
      <w:r>
        <w:rPr>
          <w:rFonts w:hint="eastAsia" w:ascii="宋体" w:hAnsi="宋体" w:cs="宋体"/>
          <w:color w:val="auto"/>
          <w:highlight w:val="none"/>
        </w:rPr>
        <w:t>中华人民共和国政府采购法</w:t>
      </w:r>
      <w:r>
        <w:rPr>
          <w:rFonts w:hint="eastAsia" w:ascii="宋体" w:hAnsi="宋体" w:cs="宋体"/>
          <w:color w:val="auto"/>
          <w:szCs w:val="21"/>
          <w:highlight w:val="none"/>
        </w:rPr>
        <w:t>》第二十二条规定的条件。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根据采购项目的特殊要求规定投标人特定条件的，联合体各方中至少应当有一方符合</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规定的特定条件。</w:t>
      </w:r>
    </w:p>
    <w:p w14:paraId="4E3E8685">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。联合体各方签订共同投标协议后，不得再以自己名义单独在同一项目中投标，也不得组成新的联合体参加同一项目投标。</w:t>
      </w:r>
    </w:p>
    <w:p w14:paraId="4632889C">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11.3 联合体应当确定其中一个单位为投标的全权代表，负责参加投标的一切事务，并承担投标及履约中应承担的全部责任与义务。</w:t>
      </w:r>
    </w:p>
    <w:p w14:paraId="2B079823">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11.4 联合体各方应当共同与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签订采购合同，就采购合同约定的事项对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承担连带责任。</w:t>
      </w:r>
    </w:p>
    <w:p w14:paraId="0552FA5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11.5 联合体中有同类资质的供应商按照联合体分工承担相同工作的，应当按照资质等级较低的供应商确定资质等级。</w:t>
      </w:r>
    </w:p>
    <w:p w14:paraId="58FD39DE">
      <w:pPr>
        <w:pStyle w:val="34"/>
        <w:spacing w:after="0" w:line="440" w:lineRule="exact"/>
        <w:ind w:left="0" w:leftChars="0"/>
        <w:rPr>
          <w:rFonts w:hint="eastAsia" w:ascii="宋体" w:hAnsi="宋体" w:cs="宋体"/>
          <w:b/>
          <w:color w:val="auto"/>
          <w:szCs w:val="21"/>
          <w:highlight w:val="none"/>
        </w:rPr>
      </w:pPr>
      <w:r>
        <w:rPr>
          <w:rFonts w:hint="eastAsia" w:ascii="宋体" w:hAnsi="宋体" w:cs="宋体"/>
          <w:color w:val="auto"/>
          <w:szCs w:val="21"/>
          <w:highlight w:val="none"/>
        </w:rPr>
        <w:t>11.6 非专门面向中小企业采购项目是否允许大中型企业向一家或者多家小微企业分包见投标人须知前附表。</w:t>
      </w:r>
    </w:p>
    <w:p w14:paraId="73F505EE">
      <w:pPr>
        <w:spacing w:line="440" w:lineRule="exact"/>
        <w:ind w:firstLine="413" w:firstLineChars="196"/>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12.招标代理费和</w:t>
      </w:r>
      <w:r>
        <w:rPr>
          <w:rFonts w:hint="eastAsia" w:ascii="宋体" w:hAnsi="宋体" w:cs="宋体"/>
          <w:b/>
          <w:color w:val="auto"/>
          <w:szCs w:val="21"/>
          <w:highlight w:val="none"/>
          <w:lang w:val="en-US" w:eastAsia="zh-CN"/>
        </w:rPr>
        <w:t>其他费用</w:t>
      </w:r>
    </w:p>
    <w:p w14:paraId="729DF7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12.1</w:t>
      </w:r>
      <w:r>
        <w:rPr>
          <w:rFonts w:hint="eastAsia" w:ascii="宋体" w:hAnsi="宋体" w:cs="宋体"/>
          <w:color w:val="auto"/>
          <w:szCs w:val="21"/>
          <w:highlight w:val="none"/>
        </w:rPr>
        <w:t>见投标人须知前附表。</w:t>
      </w:r>
    </w:p>
    <w:p w14:paraId="1210020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2ECE2C1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13.1投标人一旦参加投标，即被认为接受了本招标文件中的所有条件和规定。投标人必须严格按招标文件的要求编制投标文件，以便评委审核。否则，由此产生的一切后果由投标人承担。</w:t>
      </w:r>
    </w:p>
    <w:p w14:paraId="06171C2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13.2投标人对采购内容中规定的</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和要求等必须</w:t>
      </w:r>
      <w:r>
        <w:rPr>
          <w:rFonts w:hint="eastAsia" w:ascii="宋体" w:hAnsi="宋体" w:cs="宋体"/>
          <w:color w:val="auto"/>
          <w:szCs w:val="21"/>
          <w:highlight w:val="none"/>
          <w:lang w:val="en-US" w:eastAsia="zh-CN"/>
        </w:rPr>
        <w:t>响应或优于</w:t>
      </w:r>
      <w:r>
        <w:rPr>
          <w:rFonts w:hint="eastAsia" w:ascii="宋体" w:hAnsi="宋体" w:cs="宋体"/>
          <w:color w:val="auto"/>
          <w:szCs w:val="21"/>
          <w:highlight w:val="none"/>
        </w:rPr>
        <w:t>招标文件的相关要求。</w:t>
      </w:r>
    </w:p>
    <w:p w14:paraId="50220D8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cs="宋体"/>
          <w:bCs/>
          <w:color w:val="auto"/>
          <w:szCs w:val="21"/>
          <w:highlight w:val="none"/>
        </w:rPr>
        <w:t>单位负责人为同一人或者存在直接控股、管理关系的不同投标人，不得参加同一合同项下的政府采购活动。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7BBE4780">
      <w:pPr>
        <w:spacing w:line="440" w:lineRule="exact"/>
        <w:ind w:firstLine="417" w:firstLineChars="199"/>
        <w:jc w:val="left"/>
        <w:rPr>
          <w:rFonts w:hint="eastAsia" w:ascii="宋体" w:hAnsi="宋体" w:cs="宋体"/>
          <w:color w:val="auto"/>
          <w:szCs w:val="21"/>
          <w:highlight w:val="none"/>
        </w:rPr>
      </w:pPr>
      <w:r>
        <w:rPr>
          <w:rFonts w:hint="eastAsia" w:ascii="宋体" w:hAnsi="宋体" w:cs="宋体"/>
          <w:color w:val="auto"/>
          <w:szCs w:val="21"/>
          <w:highlight w:val="none"/>
        </w:rPr>
        <w:t>13.5 投标人被视为充分熟悉本招标项目所在地的与履行合同有关的各种情况，包括但不限于：</w:t>
      </w:r>
    </w:p>
    <w:p w14:paraId="3DCA8395">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（1）国家对本次投标货物和服务的生产、安装调试、验收、维修等有关法律、法规及行业管理标准；</w:t>
      </w:r>
    </w:p>
    <w:p w14:paraId="35AE652D">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（2）安徽省及滁州市等有关管理部门的相关规定；</w:t>
      </w:r>
    </w:p>
    <w:p w14:paraId="544402F9">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的相关场地情况、基础建设、电力供应情况及相关设计标准。</w:t>
      </w:r>
    </w:p>
    <w:p w14:paraId="4F80E724">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本招标文件不再对上述情况进行描述。</w:t>
      </w:r>
    </w:p>
    <w:p w14:paraId="709FD34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中标候选人无正当理由放弃中标候选人资格的，其将被记不良信息记录。</w:t>
      </w:r>
    </w:p>
    <w:p w14:paraId="701428F5">
      <w:pPr>
        <w:spacing w:before="312" w:beforeLines="100" w:after="312" w:afterLines="100" w:line="440" w:lineRule="exact"/>
        <w:jc w:val="center"/>
        <w:rPr>
          <w:rFonts w:hint="eastAsia" w:ascii="宋体" w:hAnsi="宋体" w:cs="宋体"/>
          <w:b/>
          <w:color w:val="auto"/>
          <w:sz w:val="28"/>
          <w:szCs w:val="28"/>
          <w:highlight w:val="none"/>
        </w:rPr>
      </w:pPr>
      <w:bookmarkStart w:id="40" w:name="_Toc449028868"/>
      <w:r>
        <w:rPr>
          <w:rFonts w:hint="eastAsia" w:ascii="宋体" w:hAnsi="宋体" w:cs="宋体"/>
          <w:b/>
          <w:color w:val="auto"/>
          <w:sz w:val="28"/>
          <w:szCs w:val="28"/>
          <w:highlight w:val="none"/>
        </w:rPr>
        <w:t>（二）</w:t>
      </w:r>
      <w:bookmarkEnd w:id="40"/>
      <w:r>
        <w:rPr>
          <w:rFonts w:hint="eastAsia" w:ascii="宋体" w:hAnsi="宋体" w:cs="宋体"/>
          <w:b/>
          <w:color w:val="auto"/>
          <w:sz w:val="28"/>
          <w:szCs w:val="28"/>
          <w:highlight w:val="none"/>
        </w:rPr>
        <w:t>招标文件</w:t>
      </w:r>
    </w:p>
    <w:p w14:paraId="22B409E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招标文件的编制依据</w:t>
      </w:r>
    </w:p>
    <w:p w14:paraId="22DC08B7">
      <w:pPr>
        <w:spacing w:line="440" w:lineRule="exact"/>
        <w:ind w:firstLine="420" w:firstLineChars="200"/>
        <w:rPr>
          <w:rFonts w:hint="eastAsia" w:ascii="宋体"/>
          <w:color w:val="auto"/>
          <w:spacing w:val="-2"/>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025B44A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招标文件的组成</w:t>
      </w:r>
    </w:p>
    <w:p w14:paraId="6E6227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 招标文件包括内容：</w:t>
      </w:r>
    </w:p>
    <w:p w14:paraId="58CAF91F">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第一章  </w:t>
      </w:r>
      <w:r>
        <w:rPr>
          <w:rFonts w:hint="eastAsia" w:ascii="宋体" w:hAnsi="宋体" w:cs="宋体"/>
          <w:color w:val="auto"/>
          <w:szCs w:val="21"/>
          <w:highlight w:val="none"/>
          <w:lang w:val="en-US" w:eastAsia="zh-CN"/>
        </w:rPr>
        <w:t>招标公告</w:t>
      </w:r>
    </w:p>
    <w:p w14:paraId="4A8A5114">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5BF394C0">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6C7325F0">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章  合同格式</w:t>
      </w:r>
    </w:p>
    <w:p w14:paraId="29C022FF">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  投标文件格式</w:t>
      </w:r>
    </w:p>
    <w:p w14:paraId="0E9C4806">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15.2 除15.1款内容外，招标答疑亦为招标文件的组成部分，对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和投标人起约束作用。</w:t>
      </w:r>
    </w:p>
    <w:p w14:paraId="0A3D104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投标人应仔细阅读和检查招标文件的全部内容。如发现缺页或附件不全，应及时向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提出，以便补齐。</w:t>
      </w:r>
    </w:p>
    <w:p w14:paraId="60DA9C65">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15.4</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投标人可以通过</w:t>
      </w:r>
      <w:r>
        <w:rPr>
          <w:rFonts w:hint="eastAsia" w:ascii="宋体" w:hAnsi="宋体" w:cs="宋体"/>
          <w:color w:val="auto"/>
          <w:szCs w:val="21"/>
          <w:highlight w:val="none"/>
          <w:lang w:val="en-US" w:eastAsia="zh-CN"/>
        </w:rPr>
        <w:t>电子邮箱</w:t>
      </w:r>
      <w:r>
        <w:rPr>
          <w:rFonts w:hint="eastAsia" w:ascii="宋体" w:hAnsi="宋体" w:cs="宋体"/>
          <w:color w:val="auto"/>
          <w:szCs w:val="21"/>
          <w:highlight w:val="none"/>
        </w:rPr>
        <w:t>对招标文件提出澄清（质疑）。招标文件的澄清</w:t>
      </w:r>
      <w:r>
        <w:rPr>
          <w:rFonts w:hint="eastAsia" w:ascii="宋体" w:hAnsi="宋体" w:cs="宋体"/>
          <w:color w:val="auto"/>
          <w:szCs w:val="21"/>
          <w:highlight w:val="none"/>
          <w:lang w:val="en-US" w:eastAsia="zh-CN"/>
        </w:rPr>
        <w:t>将以更正公告形式在安徽省琅琊山旅游发展有限公司（https://www.lysfjq.cn/）、滁州市城投工程咨询管理有限公司（https://www.czctgczx.com/）等网站予以公布</w:t>
      </w:r>
      <w:r>
        <w:rPr>
          <w:rFonts w:hint="eastAsia" w:ascii="宋体" w:hAnsi="宋体" w:cs="宋体"/>
          <w:color w:val="auto"/>
          <w:szCs w:val="21"/>
          <w:highlight w:val="none"/>
        </w:rPr>
        <w:t>，但不指明澄清问题的来源。如果澄清内容影响投标文件编制的，将相应延长投标截止时间。</w:t>
      </w:r>
    </w:p>
    <w:p w14:paraId="63F69C71">
      <w:pPr>
        <w:spacing w:line="44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16. 招标文件的修改、补充、解释</w:t>
      </w:r>
    </w:p>
    <w:p w14:paraId="619B55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16.1招标文件发出后，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在规定的投标截止时间前可对招标文件进行必要的修改和补充，并以更正公告形式</w:t>
      </w:r>
      <w:r>
        <w:rPr>
          <w:rFonts w:hint="eastAsia" w:ascii="宋体" w:hAnsi="宋体" w:cs="宋体"/>
          <w:color w:val="auto"/>
          <w:szCs w:val="21"/>
          <w:highlight w:val="none"/>
          <w:lang w:val="en-US" w:eastAsia="zh-CN"/>
        </w:rPr>
        <w:t>在安徽省琅琊山旅游发展有限公司（https://www.lysfjq.cn/）、滁州市城投工程咨询管理有限公司（https://www.czctgczx.com/）等网站予以公布。</w:t>
      </w:r>
      <w:r>
        <w:rPr>
          <w:rFonts w:hint="eastAsia" w:ascii="宋体" w:hAnsi="宋体" w:cs="宋体"/>
          <w:color w:val="auto"/>
          <w:szCs w:val="21"/>
          <w:highlight w:val="none"/>
        </w:rPr>
        <w:t>请各位投标人注意查看有关澄清内容，如不及时查看造成后果由投标人自负。招标文件的修改、补充等内容作为招标文件的组成部分，具有约束作用。</w:t>
      </w:r>
    </w:p>
    <w:p w14:paraId="65BFCBEB">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17.</w:t>
      </w:r>
      <w:r>
        <w:rPr>
          <w:rFonts w:hint="eastAsia" w:ascii="宋体" w:hAnsi="宋体" w:eastAsia="宋体" w:cs="宋体"/>
          <w:b/>
          <w:bCs/>
          <w:color w:val="auto"/>
          <w:szCs w:val="21"/>
          <w:highlight w:val="none"/>
        </w:rPr>
        <w:t>招标文件的解释</w:t>
      </w:r>
    </w:p>
    <w:p w14:paraId="14C616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17.1</w:t>
      </w:r>
      <w:r>
        <w:rPr>
          <w:rFonts w:hint="eastAsia" w:ascii="宋体" w:hAnsi="宋体" w:cs="宋体"/>
          <w:color w:val="auto"/>
          <w:szCs w:val="21"/>
          <w:highlight w:val="none"/>
        </w:rPr>
        <w:t>构成本招标文件的各个组成文件应互为解释，互为说明；</w:t>
      </w:r>
    </w:p>
    <w:p w14:paraId="44DCD2E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17.2</w:t>
      </w:r>
      <w:r>
        <w:rPr>
          <w:rFonts w:hint="eastAsia" w:ascii="宋体" w:hAnsi="宋体" w:cs="宋体"/>
          <w:color w:val="auto"/>
          <w:szCs w:val="21"/>
          <w:highlight w:val="none"/>
        </w:rPr>
        <w:t>同一组成文件中就同一事项的规定或约定不一致的，以编排顺序在后者为准；</w:t>
      </w:r>
    </w:p>
    <w:p w14:paraId="7C663F7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如有不明确或不一致，构成合同文件组成内容的，以合同文件约定内容为准，且以专用合同条款约定的合同文件优先顺序解释；</w:t>
      </w:r>
    </w:p>
    <w:p w14:paraId="24334E6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按本款前述规定仍不能形成结论的，由</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（或其委托的采购代理机构）负责解释。</w:t>
      </w:r>
    </w:p>
    <w:p w14:paraId="537CB6FC">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18</w:t>
      </w:r>
      <w:r>
        <w:rPr>
          <w:rFonts w:hint="eastAsia" w:ascii="宋体" w:hAnsi="宋体" w:cs="宋体"/>
          <w:b/>
          <w:color w:val="auto"/>
          <w:szCs w:val="21"/>
          <w:highlight w:val="none"/>
        </w:rPr>
        <w:t>. 招标文件的发出</w:t>
      </w:r>
    </w:p>
    <w:p w14:paraId="3E48E0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.1招标文件、招标文件的澄清、修改、补充及招标答疑等均应</w:t>
      </w:r>
      <w:r>
        <w:rPr>
          <w:rFonts w:hint="eastAsia" w:ascii="宋体" w:hAnsi="宋体" w:cs="宋体"/>
          <w:color w:val="auto"/>
          <w:szCs w:val="21"/>
          <w:highlight w:val="none"/>
          <w:lang w:val="en-US" w:eastAsia="zh-CN"/>
        </w:rPr>
        <w:t>招标人确认</w:t>
      </w:r>
      <w:r>
        <w:rPr>
          <w:rFonts w:hint="eastAsia" w:ascii="宋体" w:hAnsi="宋体" w:cs="宋体"/>
          <w:color w:val="auto"/>
          <w:szCs w:val="21"/>
          <w:highlight w:val="none"/>
        </w:rPr>
        <w:t>后，方可发出。</w:t>
      </w:r>
    </w:p>
    <w:p w14:paraId="087E6BAC">
      <w:pPr>
        <w:spacing w:before="312" w:beforeLines="100" w:after="312" w:afterLines="100" w:line="440" w:lineRule="exact"/>
        <w:jc w:val="center"/>
        <w:rPr>
          <w:rFonts w:hint="eastAsia" w:ascii="宋体" w:hAnsi="宋体" w:cs="宋体"/>
          <w:b/>
          <w:color w:val="auto"/>
          <w:sz w:val="28"/>
          <w:szCs w:val="28"/>
          <w:highlight w:val="none"/>
        </w:rPr>
      </w:pPr>
      <w:bookmarkStart w:id="41" w:name="_Toc449028869"/>
      <w:r>
        <w:rPr>
          <w:rFonts w:hint="eastAsia" w:ascii="宋体" w:hAnsi="宋体" w:cs="宋体"/>
          <w:b/>
          <w:color w:val="auto"/>
          <w:sz w:val="28"/>
          <w:szCs w:val="28"/>
          <w:highlight w:val="none"/>
        </w:rPr>
        <w:t>（三）投标文件的编制</w:t>
      </w:r>
      <w:bookmarkEnd w:id="41"/>
    </w:p>
    <w:p w14:paraId="65D2CF94">
      <w:pPr>
        <w:spacing w:line="440" w:lineRule="exact"/>
        <w:ind w:firstLine="306" w:firstLineChars="145"/>
        <w:rPr>
          <w:rFonts w:hint="eastAsia" w:ascii="宋体" w:hAnsi="宋体" w:cs="宋体"/>
          <w:b/>
          <w:color w:val="auto"/>
          <w:szCs w:val="21"/>
          <w:highlight w:val="none"/>
        </w:rPr>
      </w:pPr>
      <w:r>
        <w:rPr>
          <w:rFonts w:hint="eastAsia" w:ascii="宋体" w:hAnsi="宋体" w:cs="宋体"/>
          <w:b/>
          <w:color w:val="auto"/>
          <w:szCs w:val="21"/>
          <w:highlight w:val="none"/>
        </w:rPr>
        <w:t>19. 投标的语言及度量衡单位</w:t>
      </w:r>
    </w:p>
    <w:p w14:paraId="5666AB1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19.1投标人的投标文件、以及投标人与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就投标的所有往来函电，均须使用简体中文。</w:t>
      </w:r>
    </w:p>
    <w:p w14:paraId="1A721E07">
      <w:pPr>
        <w:spacing w:line="440" w:lineRule="exact"/>
        <w:ind w:left="267" w:leftChars="127" w:firstLine="105" w:firstLineChars="50"/>
        <w:rPr>
          <w:rFonts w:hint="eastAsia" w:ascii="宋体" w:hAnsi="宋体" w:cs="宋体"/>
          <w:color w:val="auto"/>
          <w:szCs w:val="21"/>
          <w:highlight w:val="none"/>
        </w:rPr>
      </w:pPr>
      <w:r>
        <w:rPr>
          <w:rFonts w:hint="eastAsia" w:ascii="宋体" w:hAnsi="宋体" w:cs="宋体"/>
          <w:color w:val="auto"/>
          <w:szCs w:val="21"/>
          <w:highlight w:val="none"/>
        </w:rPr>
        <w:t>19.2除招标文件中另有规定外，投标文件所使用的度量衡均须采用法定计量单位。</w:t>
      </w:r>
    </w:p>
    <w:p w14:paraId="0EEAD9A7">
      <w:pPr>
        <w:spacing w:line="440" w:lineRule="exact"/>
        <w:ind w:firstLine="207" w:firstLineChars="98"/>
        <w:rPr>
          <w:rFonts w:hint="eastAsia" w:ascii="宋体" w:hAnsi="宋体" w:cs="宋体"/>
          <w:b/>
          <w:color w:val="auto"/>
          <w:szCs w:val="21"/>
          <w:highlight w:val="none"/>
        </w:rPr>
      </w:pPr>
      <w:r>
        <w:rPr>
          <w:rFonts w:hint="eastAsia" w:ascii="宋体" w:hAnsi="宋体" w:cs="宋体"/>
          <w:b/>
          <w:color w:val="auto"/>
          <w:szCs w:val="21"/>
          <w:highlight w:val="none"/>
        </w:rPr>
        <w:t>20. 投标文件的组成</w:t>
      </w:r>
    </w:p>
    <w:p w14:paraId="60580E6B">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20.1投标文件的组成</w:t>
      </w:r>
    </w:p>
    <w:p w14:paraId="1FCC55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具体内容详见第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章投标文件格式内容。</w:t>
      </w:r>
    </w:p>
    <w:p w14:paraId="1361D8CC">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20.</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投标文件的编制</w:t>
      </w:r>
    </w:p>
    <w:p w14:paraId="1365148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20.2.1</w:t>
      </w:r>
      <w:r>
        <w:rPr>
          <w:rFonts w:hint="eastAsia" w:ascii="宋体" w:hAnsi="宋体" w:cs="宋体"/>
          <w:color w:val="auto"/>
          <w:szCs w:val="21"/>
          <w:highlight w:val="none"/>
        </w:rPr>
        <w:t>投标文件应按第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章“投标文件格式”进行编写，如有必要，可以增加附页，作为投标文件的组成部分。</w:t>
      </w:r>
    </w:p>
    <w:p w14:paraId="5675E8F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20.2.2</w:t>
      </w:r>
      <w:r>
        <w:rPr>
          <w:rFonts w:hint="eastAsia" w:ascii="宋体" w:hAnsi="宋体" w:cs="宋体"/>
          <w:color w:val="auto"/>
          <w:szCs w:val="21"/>
          <w:highlight w:val="none"/>
        </w:rPr>
        <w:t>投标文件应当对招标文件有关服务期限、投标有效期、质量要求、技术标准和要求、招标范围等实质性内容作出响应。</w:t>
      </w:r>
    </w:p>
    <w:p w14:paraId="71D12E53">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新点驱动（安徽省互联互通版）”，仔细阅读招标文件要求和相关操作手册，以免影响投标文件编制，因投标人未及时关注相关信息对开标造成的不利后果由其自行承担。</w:t>
      </w:r>
    </w:p>
    <w:p w14:paraId="4C4487C7">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20.2.4</w:t>
      </w:r>
      <w:r>
        <w:rPr>
          <w:rFonts w:hint="eastAsia" w:ascii="宋体" w:hAnsi="宋体" w:cs="宋体"/>
          <w:color w:val="auto"/>
          <w:szCs w:val="21"/>
          <w:highlight w:val="none"/>
        </w:rPr>
        <w:t>因投标人自身原因而导致投标文件无法导入电子交易系统电子开标、评标系统，该投标视为无效投标，投标人自行承担由此导致的全部责任。</w:t>
      </w:r>
    </w:p>
    <w:p w14:paraId="76B1B23D">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投标人中标后须递交与网上电子响应文件完全一致的纸质版投标文件，在领取中标通知书时，一并递交给代理机构。</w:t>
      </w:r>
    </w:p>
    <w:p w14:paraId="65A30418">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21</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70545F5F">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color w:val="auto"/>
          <w:szCs w:val="21"/>
          <w:highlight w:val="none"/>
          <w:lang w:val="en-US" w:eastAsia="zh-CN"/>
        </w:rPr>
        <w:t>本项目采用费率报价</w:t>
      </w:r>
      <w:r>
        <w:rPr>
          <w:rFonts w:hint="eastAsia" w:ascii="宋体" w:hAnsi="宋体" w:cs="宋体"/>
          <w:color w:val="auto"/>
          <w:szCs w:val="21"/>
          <w:highlight w:val="none"/>
        </w:rPr>
        <w:t>。投标人的报价应含有服务（货物）、利润、税金、政策性文件规定及合同包含的所有风险、责任、义务等，即为完成招标文件要求的服务（货物）内容所包含的一切应有费用，</w:t>
      </w:r>
      <w:r>
        <w:rPr>
          <w:rFonts w:hint="eastAsia" w:ascii="宋体" w:hAnsi="宋体" w:cs="宋体"/>
          <w:color w:val="auto"/>
          <w:szCs w:val="21"/>
          <w:highlight w:val="none"/>
          <w:lang w:val="en-US" w:eastAsia="zh-CN"/>
        </w:rPr>
        <w:t>中标费率</w:t>
      </w:r>
      <w:r>
        <w:rPr>
          <w:rFonts w:hint="eastAsia" w:ascii="宋体" w:hAnsi="宋体" w:cs="宋体"/>
          <w:color w:val="auto"/>
          <w:szCs w:val="21"/>
          <w:highlight w:val="none"/>
        </w:rPr>
        <w:t>今后将不作任何调整，</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后期不再追加费用，投标</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自行考虑投标风险。</w:t>
      </w:r>
    </w:p>
    <w:p w14:paraId="4B56881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投标人只允许有一个方案、一个报价。</w:t>
      </w:r>
    </w:p>
    <w:p w14:paraId="56263A2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投标报价应由法定代表人或被授权人签署。</w:t>
      </w:r>
    </w:p>
    <w:p w14:paraId="082C64E4">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7AC7708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总投标价中不得包含招标文件要求以外的内容，否则，在评标时不予核减，但在授予合同时，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有权将这部分价格从其中标价格中扣除。</w:t>
      </w:r>
    </w:p>
    <w:p w14:paraId="31EE4337">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71B1907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投标有效期</w:t>
      </w:r>
    </w:p>
    <w:p w14:paraId="0EB2C52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22.1投标有效期见投标人须知前附表。</w:t>
      </w:r>
    </w:p>
    <w:p w14:paraId="028F237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22.2在投标有效期内，投标人撤销或修改其投标文件的，应承担招标文件和法律规定的责任。</w:t>
      </w:r>
    </w:p>
    <w:p w14:paraId="108AF3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22.3出现特殊情况需要延长投标有效期的，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以书面形式通知所有投标人延长投标有效期。投标人同意延长的，不得要求或被允许修改或撤销其投标文件；投标人拒绝延长的，其投标失效。</w:t>
      </w:r>
    </w:p>
    <w:p w14:paraId="1D034C2E">
      <w:pPr>
        <w:spacing w:line="440" w:lineRule="exact"/>
        <w:ind w:firstLine="405" w:firstLineChars="192"/>
        <w:rPr>
          <w:rFonts w:hint="eastAsia" w:ascii="宋体" w:hAnsi="宋体" w:cs="宋体"/>
          <w:b/>
          <w:color w:val="auto"/>
          <w:szCs w:val="21"/>
          <w:highlight w:val="none"/>
        </w:rPr>
      </w:pPr>
      <w:r>
        <w:rPr>
          <w:rFonts w:hint="eastAsia" w:ascii="宋体" w:hAnsi="宋体" w:cs="宋体"/>
          <w:b/>
          <w:color w:val="auto"/>
          <w:szCs w:val="21"/>
          <w:highlight w:val="none"/>
        </w:rPr>
        <w:t>23. 投标保证金</w:t>
      </w:r>
    </w:p>
    <w:p w14:paraId="0F2A59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23.1本项目不缴纳投标保证金。</w:t>
      </w:r>
    </w:p>
    <w:p w14:paraId="1724861B">
      <w:pPr>
        <w:spacing w:before="312" w:beforeLines="100" w:after="312" w:afterLines="100" w:line="440" w:lineRule="exact"/>
        <w:jc w:val="center"/>
        <w:rPr>
          <w:rFonts w:hint="eastAsia" w:ascii="宋体" w:hAnsi="宋体" w:eastAsia="宋体" w:cs="宋体"/>
          <w:b/>
          <w:color w:val="auto"/>
          <w:sz w:val="28"/>
          <w:szCs w:val="28"/>
          <w:highlight w:val="none"/>
        </w:rPr>
      </w:pPr>
      <w:bookmarkStart w:id="42" w:name="_Toc449028870"/>
      <w:r>
        <w:rPr>
          <w:rFonts w:hint="eastAsia" w:ascii="宋体" w:hAnsi="宋体" w:eastAsia="宋体" w:cs="宋体"/>
          <w:b/>
          <w:color w:val="auto"/>
          <w:sz w:val="28"/>
          <w:szCs w:val="28"/>
          <w:highlight w:val="none"/>
        </w:rPr>
        <w:t>（四）投标文件的递交</w:t>
      </w:r>
      <w:bookmarkEnd w:id="42"/>
    </w:p>
    <w:p w14:paraId="651B01A6">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24.投标文件的份数和签署</w:t>
      </w:r>
    </w:p>
    <w:p w14:paraId="1CCF219C">
      <w:pPr>
        <w:spacing w:line="440" w:lineRule="exact"/>
        <w:ind w:firstLine="420" w:firstLineChars="200"/>
        <w:rPr>
          <w:rFonts w:hint="eastAsia" w:ascii="宋体" w:hAnsi="宋体" w:cs="宋体"/>
          <w:color w:val="auto"/>
          <w:szCs w:val="21"/>
          <w:highlight w:val="none"/>
        </w:rPr>
      </w:pPr>
      <w:bookmarkStart w:id="43" w:name="_Toc449028871"/>
      <w:r>
        <w:rPr>
          <w:rFonts w:hint="eastAsia" w:ascii="宋体" w:hAnsi="宋体" w:cs="宋体"/>
          <w:color w:val="auto"/>
          <w:szCs w:val="21"/>
          <w:highlight w:val="none"/>
        </w:rPr>
        <w:t>24.</w:t>
      </w:r>
      <w:r>
        <w:rPr>
          <w:rFonts w:hint="eastAsia" w:ascii="宋体" w:hAnsi="宋体" w:cs="宋体"/>
          <w:color w:val="auto"/>
          <w:szCs w:val="21"/>
          <w:highlight w:val="none"/>
          <w:lang w:val="en-US" w:eastAsia="zh-CN"/>
        </w:rPr>
        <w:t>1投标人中标后须递交与网上电子投标文件完全一致的纸质版投标文件，并按要求加盖单位章；份数：正本1份，副本1份；中标人领取中标通知书时，一并递交给代理机构。</w:t>
      </w:r>
    </w:p>
    <w:p w14:paraId="3D7843B5">
      <w:pPr>
        <w:spacing w:line="440" w:lineRule="exact"/>
        <w:ind w:firstLine="312" w:firstLineChars="148"/>
        <w:jc w:val="left"/>
        <w:rPr>
          <w:rFonts w:hint="eastAsia" w:ascii="宋体" w:hAnsi="宋体" w:cs="宋体"/>
          <w:b/>
          <w:color w:val="auto"/>
          <w:szCs w:val="21"/>
          <w:highlight w:val="none"/>
        </w:rPr>
      </w:pPr>
      <w:r>
        <w:rPr>
          <w:rFonts w:hint="eastAsia" w:ascii="宋体" w:hAnsi="宋体" w:cs="宋体"/>
          <w:b/>
          <w:color w:val="auto"/>
          <w:szCs w:val="21"/>
          <w:highlight w:val="none"/>
        </w:rPr>
        <w:t>25.投标文件的提交</w:t>
      </w:r>
    </w:p>
    <w:p w14:paraId="0DEF7F48">
      <w:pPr>
        <w:spacing w:line="440" w:lineRule="exact"/>
        <w:ind w:firstLine="310" w:firstLineChars="148"/>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25.1投标人应在投标人须知前附表规定的投标递交时间内在网上递交投标文件。将加密投标文件上传至电子交易系统。未在递交时间内上传投标文件的，不予接收，投标将被拒绝。</w:t>
      </w:r>
    </w:p>
    <w:p w14:paraId="35B17B0B">
      <w:pPr>
        <w:spacing w:line="440" w:lineRule="exact"/>
        <w:ind w:firstLine="314" w:firstLineChars="149"/>
        <w:rPr>
          <w:rFonts w:hint="eastAsia" w:ascii="宋体" w:hAnsi="宋体" w:cs="宋体"/>
          <w:b/>
          <w:color w:val="auto"/>
          <w:szCs w:val="21"/>
          <w:highlight w:val="none"/>
        </w:rPr>
      </w:pPr>
      <w:r>
        <w:rPr>
          <w:rFonts w:hint="eastAsia" w:ascii="宋体" w:hAnsi="宋体" w:cs="宋体"/>
          <w:b/>
          <w:color w:val="auto"/>
          <w:szCs w:val="21"/>
          <w:highlight w:val="none"/>
        </w:rPr>
        <w:t>26．投标文件的修改与撤回</w:t>
      </w:r>
    </w:p>
    <w:p w14:paraId="4D57C942">
      <w:pPr>
        <w:spacing w:line="440" w:lineRule="exact"/>
        <w:ind w:firstLine="310" w:firstLineChars="148"/>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26.1</w:t>
      </w:r>
      <w:r>
        <w:rPr>
          <w:rFonts w:hint="eastAsia" w:ascii="宋体" w:hAnsi="宋体" w:eastAsia="宋体" w:cs="宋体"/>
          <w:b w:val="0"/>
          <w:bCs w:val="0"/>
          <w:color w:val="auto"/>
          <w:szCs w:val="21"/>
          <w:highlight w:val="none"/>
        </w:rPr>
        <w:t>在第一章“招标公告”规定的投标截止时间前，投标人可以自行从网上开评标系统撤回已递交的投标文件，并可修改后重新加密上传，开标时以开标截止时间前供应商最终上传的</w:t>
      </w:r>
      <w:r>
        <w:rPr>
          <w:rFonts w:hint="eastAsia" w:ascii="宋体" w:hAnsi="宋体" w:cs="宋体"/>
          <w:b w:val="0"/>
          <w:bCs w:val="0"/>
          <w:color w:val="auto"/>
          <w:szCs w:val="21"/>
          <w:highlight w:val="none"/>
          <w:lang w:val="en-US" w:eastAsia="zh-CN"/>
        </w:rPr>
        <w:t>投标</w:t>
      </w:r>
      <w:r>
        <w:rPr>
          <w:rFonts w:hint="eastAsia" w:ascii="宋体" w:hAnsi="宋体" w:eastAsia="宋体" w:cs="宋体"/>
          <w:b w:val="0"/>
          <w:bCs w:val="0"/>
          <w:color w:val="auto"/>
          <w:szCs w:val="21"/>
          <w:highlight w:val="none"/>
        </w:rPr>
        <w:t>文件为准。</w:t>
      </w:r>
    </w:p>
    <w:p w14:paraId="13CF36C7">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（五）开标、评标和定标</w:t>
      </w:r>
      <w:bookmarkEnd w:id="43"/>
    </w:p>
    <w:p w14:paraId="1D9DFDEC">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27.开标</w:t>
      </w:r>
    </w:p>
    <w:p w14:paraId="3B1ADD3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 开标的时间和地点</w:t>
      </w:r>
    </w:p>
    <w:p w14:paraId="463FECB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27.1.1</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按招标公告中的开标时间和地点公开开标，并邀请所有投标人参加。</w:t>
      </w:r>
    </w:p>
    <w:p w14:paraId="7E09DECC">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 参与开标的监督部门</w:t>
      </w:r>
    </w:p>
    <w:p w14:paraId="5516DCCD">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27.2.1</w:t>
      </w:r>
      <w:r>
        <w:rPr>
          <w:rFonts w:hint="eastAsia" w:ascii="宋体" w:hAnsi="宋体" w:cs="宋体"/>
          <w:color w:val="auto"/>
          <w:highlight w:val="none"/>
          <w:lang w:eastAsia="zh-CN"/>
        </w:rPr>
        <w:t>招标人</w:t>
      </w:r>
      <w:r>
        <w:rPr>
          <w:rFonts w:hint="eastAsia" w:ascii="宋体" w:hAnsi="宋体" w:cs="宋体"/>
          <w:color w:val="auto"/>
          <w:highlight w:val="none"/>
        </w:rPr>
        <w:t>可以邀请相关监管部门参加</w:t>
      </w:r>
      <w:r>
        <w:rPr>
          <w:rFonts w:hint="eastAsia" w:ascii="宋体" w:hAnsi="宋体" w:cs="宋体"/>
          <w:color w:val="auto"/>
          <w:szCs w:val="21"/>
          <w:highlight w:val="none"/>
        </w:rPr>
        <w:t>。</w:t>
      </w:r>
    </w:p>
    <w:p w14:paraId="0062CDD2">
      <w:pPr>
        <w:adjustRightInd w:val="0"/>
        <w:snapToGrid w:val="0"/>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27.3开标程序</w:t>
      </w:r>
    </w:p>
    <w:p w14:paraId="1B09DAD5">
      <w:pPr>
        <w:spacing w:line="440" w:lineRule="exact"/>
        <w:ind w:right="-155" w:rightChars="-74"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开标会议由代理机构主持。</w:t>
      </w:r>
    </w:p>
    <w:p w14:paraId="7856B94A">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26C3C7B9">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（2）宣布招标人、代理机构主持人、见证人等有关人员姓名；</w:t>
      </w:r>
    </w:p>
    <w:p w14:paraId="2A0037D5">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3BE49EB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（4）投标人在投标截止时间后，规定时间内完成投标文件解密工作；</w:t>
      </w:r>
    </w:p>
    <w:p w14:paraId="75959A4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A4D3C4C">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（6）开标结束。</w:t>
      </w:r>
    </w:p>
    <w:p w14:paraId="5146B014">
      <w:pPr>
        <w:spacing w:line="440" w:lineRule="exact"/>
        <w:ind w:right="-155" w:rightChars="-74"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 xml:space="preserve"> 27.4开标疑义</w:t>
      </w:r>
    </w:p>
    <w:p w14:paraId="44028A3B">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投标人代表对开标过程和开标记录有疑义，以及认为</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、采购代理机构相关工作人员有需要回避的情形的，应当场提出询问或者回避申请。</w:t>
      </w:r>
    </w:p>
    <w:p w14:paraId="7D67594E">
      <w:pPr>
        <w:spacing w:line="440" w:lineRule="exact"/>
        <w:ind w:firstLine="421"/>
        <w:jc w:val="left"/>
        <w:rPr>
          <w:rFonts w:hint="eastAsia" w:ascii="宋体" w:hAnsi="宋体" w:cs="宋体"/>
          <w:b/>
          <w:color w:val="auto"/>
          <w:szCs w:val="21"/>
          <w:highlight w:val="none"/>
        </w:rPr>
      </w:pPr>
      <w:r>
        <w:rPr>
          <w:rFonts w:hint="eastAsia" w:ascii="宋体" w:hAnsi="宋体" w:cs="宋体"/>
          <w:b/>
          <w:color w:val="auto"/>
          <w:szCs w:val="21"/>
          <w:highlight w:val="none"/>
        </w:rPr>
        <w:t>28.评标委员会</w:t>
      </w:r>
    </w:p>
    <w:p w14:paraId="13810358">
      <w:pPr>
        <w:spacing w:line="420" w:lineRule="exact"/>
        <w:ind w:firstLine="420" w:firstLineChars="200"/>
        <w:jc w:val="left"/>
        <w:rPr>
          <w:rFonts w:ascii="宋体" w:cs="宋体"/>
          <w:color w:val="auto"/>
          <w:szCs w:val="21"/>
          <w:highlight w:val="none"/>
        </w:rPr>
      </w:pPr>
      <w:r>
        <w:rPr>
          <w:rFonts w:hint="eastAsia" w:ascii="宋体"/>
          <w:color w:val="auto"/>
          <w:szCs w:val="21"/>
          <w:highlight w:val="none"/>
          <w:lang w:val="en-US" w:eastAsia="zh-CN"/>
        </w:rPr>
        <w:t>28</w:t>
      </w:r>
      <w:r>
        <w:rPr>
          <w:rFonts w:hint="eastAsia" w:ascii="宋体"/>
          <w:color w:val="auto"/>
          <w:szCs w:val="21"/>
          <w:highlight w:val="none"/>
        </w:rPr>
        <w:t>.1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F43ECA6">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val="en-US" w:eastAsia="zh-CN"/>
        </w:rPr>
        <w:t>28</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7606EF8B">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DB4ABE1">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B1484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2EF40F9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63CE528A">
      <w:pPr>
        <w:spacing w:line="420" w:lineRule="exact"/>
        <w:ind w:firstLine="420" w:firstLineChars="200"/>
        <w:jc w:val="left"/>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08EA1690">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.3评标过程中，评标委员会成员有回避事由、擅离职守或因健康等原因不能继续评标的， 招标人有权更换。被更换的评标委员会成员作出的评审结论无效，由更换后的评标委员会成员重新进行评审。</w:t>
      </w:r>
    </w:p>
    <w:p w14:paraId="6279A94D">
      <w:pPr>
        <w:spacing w:line="420" w:lineRule="exact"/>
        <w:ind w:firstLine="421"/>
        <w:jc w:val="left"/>
        <w:rPr>
          <w:rFonts w:hint="eastAsia" w:ascii="宋体"/>
          <w:b/>
          <w:color w:val="auto"/>
          <w:szCs w:val="21"/>
          <w:highlight w:val="none"/>
        </w:rPr>
      </w:pPr>
      <w:bookmarkStart w:id="44" w:name="_Toc449028873"/>
      <w:r>
        <w:rPr>
          <w:rFonts w:hint="eastAsia" w:ascii="宋体"/>
          <w:b/>
          <w:color w:val="auto"/>
          <w:szCs w:val="21"/>
          <w:highlight w:val="none"/>
          <w:lang w:val="en-US" w:eastAsia="zh-CN"/>
        </w:rPr>
        <w:t>29</w:t>
      </w:r>
      <w:r>
        <w:rPr>
          <w:rFonts w:hint="eastAsia" w:ascii="宋体"/>
          <w:b/>
          <w:color w:val="auto"/>
          <w:szCs w:val="21"/>
          <w:highlight w:val="none"/>
        </w:rPr>
        <w:t>.评标</w:t>
      </w:r>
    </w:p>
    <w:p w14:paraId="20712703">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.1评标委员会按照第三章“评标办法”规定的方法、评审因素、标准和程序对投标文件进行评审。第三章“评标办法”没有规定的方法、评审因素和标准，不作为评标依据。</w:t>
      </w:r>
    </w:p>
    <w:p w14:paraId="45C4A5AA">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.2评标完成后，评标委员会应向招标人提交书面评标报告和中标候选人名单。评标委员会推荐中标候选人的人数见投标人须知前附表。</w:t>
      </w:r>
    </w:p>
    <w:p w14:paraId="0C07A47D">
      <w:pPr>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.3评标原则：遵循公平、公正、科学和择优的原则。</w:t>
      </w:r>
    </w:p>
    <w:p w14:paraId="2336DC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.4投标文件的澄清</w:t>
      </w:r>
    </w:p>
    <w:p w14:paraId="6F0C216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的监督下，可要求投标人对投标文件中的有关问题进行澄清或提供补充说明及有关资料，投标人应做出书面答复。</w:t>
      </w:r>
    </w:p>
    <w:p w14:paraId="3AF1449E">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.4.2书面答复须经投标人法定代表人或其委托代理人签字或盖章，签字或盖章的书面答复将被视为投标文件的组成部分。</w:t>
      </w:r>
    </w:p>
    <w:p w14:paraId="4776B253">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.5报价合理性的判断</w:t>
      </w:r>
    </w:p>
    <w:p w14:paraId="57CD62B5">
      <w:pPr>
        <w:spacing w:line="420" w:lineRule="exact"/>
        <w:ind w:firstLine="420" w:firstLineChars="200"/>
        <w:jc w:val="left"/>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7CF53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.6评审意见分歧的处理办法</w:t>
      </w:r>
    </w:p>
    <w:p w14:paraId="5F4FED1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98CCD7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（2）招标投标当事人对评标结果提出异议或者投诉，</w:t>
      </w:r>
      <w:r>
        <w:rPr>
          <w:rFonts w:hint="eastAsia" w:ascii="宋体"/>
          <w:color w:val="auto"/>
          <w:szCs w:val="21"/>
          <w:highlight w:val="none"/>
          <w:lang w:val="en-US" w:eastAsia="zh-CN"/>
        </w:rPr>
        <w:t>招标人</w:t>
      </w:r>
      <w:r>
        <w:rPr>
          <w:rFonts w:hint="eastAsia" w:ascii="宋体"/>
          <w:color w:val="auto"/>
          <w:szCs w:val="21"/>
          <w:highlight w:val="none"/>
        </w:rPr>
        <w:t>认为需要重新进行评标的，评标委员会成员应当按照</w:t>
      </w:r>
      <w:r>
        <w:rPr>
          <w:rFonts w:hint="eastAsia" w:ascii="宋体"/>
          <w:color w:val="auto"/>
          <w:szCs w:val="21"/>
          <w:highlight w:val="none"/>
          <w:lang w:val="en-US" w:eastAsia="zh-CN"/>
        </w:rPr>
        <w:t>招标人</w:t>
      </w:r>
      <w:r>
        <w:rPr>
          <w:rFonts w:hint="eastAsia" w:ascii="宋体"/>
          <w:color w:val="auto"/>
          <w:szCs w:val="21"/>
          <w:highlight w:val="none"/>
        </w:rPr>
        <w:t>要求重新评标。</w:t>
      </w:r>
    </w:p>
    <w:p w14:paraId="154DB6B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.7评标报告的签署</w:t>
      </w:r>
    </w:p>
    <w:p w14:paraId="689BF34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7671444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.8评标过程的保密</w:t>
      </w:r>
    </w:p>
    <w:p w14:paraId="42B262BF">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6AA034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.9评标结果公告</w:t>
      </w:r>
    </w:p>
    <w:p w14:paraId="7F5EC5AC">
      <w:pPr>
        <w:tabs>
          <w:tab w:val="left" w:pos="720"/>
        </w:tabs>
        <w:spacing w:line="420" w:lineRule="exact"/>
        <w:ind w:right="-313" w:rightChars="-149" w:firstLine="420" w:firstLineChars="200"/>
        <w:jc w:val="left"/>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val="en-US" w:eastAsia="zh-CN"/>
        </w:rPr>
        <w:t>安徽省琅琊山旅游发展有限公司（https://www.lysfjq.cn/）、滁州市城投工程咨询管理有限公司（https://www.czctgczx.com/）等网站</w:t>
      </w:r>
      <w:r>
        <w:rPr>
          <w:rFonts w:hint="eastAsia" w:ascii="宋体"/>
          <w:color w:val="auto"/>
          <w:szCs w:val="21"/>
          <w:highlight w:val="none"/>
        </w:rPr>
        <w:t>上予以公告，公告期为3日。投标人或其他利害关系人对评标结果有异议的，应在中标候选人公示期内提出。招标人将在收到异议之日起</w:t>
      </w:r>
      <w:r>
        <w:rPr>
          <w:rFonts w:hint="eastAsia" w:ascii="宋体"/>
          <w:color w:val="auto"/>
          <w:szCs w:val="21"/>
          <w:highlight w:val="none"/>
          <w:lang w:val="en-US" w:eastAsia="zh-CN"/>
        </w:rPr>
        <w:t>3</w:t>
      </w:r>
      <w:r>
        <w:rPr>
          <w:rFonts w:hint="eastAsia" w:ascii="宋体"/>
          <w:color w:val="auto"/>
          <w:szCs w:val="21"/>
          <w:highlight w:val="none"/>
        </w:rPr>
        <w:t>日内作出答复；作出答复前，将暂停招标投标活动。</w:t>
      </w:r>
    </w:p>
    <w:p w14:paraId="1285831F">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0</w:t>
      </w:r>
      <w:r>
        <w:rPr>
          <w:rFonts w:hint="eastAsia" w:ascii="宋体"/>
          <w:b/>
          <w:color w:val="auto"/>
          <w:szCs w:val="21"/>
          <w:highlight w:val="none"/>
        </w:rPr>
        <w:t>.定标</w:t>
      </w:r>
    </w:p>
    <w:p w14:paraId="485F0B1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 中标人的确定</w:t>
      </w:r>
    </w:p>
    <w:p w14:paraId="0D8141F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.1.1招标人确定</w:t>
      </w:r>
      <w:r>
        <w:rPr>
          <w:rFonts w:hint="eastAsia" w:ascii="宋体"/>
          <w:color w:val="auto"/>
          <w:szCs w:val="21"/>
          <w:highlight w:val="none"/>
          <w:lang w:val="en-US" w:eastAsia="zh-CN"/>
        </w:rPr>
        <w:t>排名第一的中标候选人为</w:t>
      </w:r>
      <w:r>
        <w:rPr>
          <w:rFonts w:hint="eastAsia" w:ascii="宋体"/>
          <w:color w:val="auto"/>
          <w:szCs w:val="21"/>
          <w:highlight w:val="none"/>
        </w:rPr>
        <w:t>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5B847F9">
      <w:pPr>
        <w:keepNext w:val="0"/>
        <w:keepLines w:val="0"/>
        <w:pageBreakBefore w:val="0"/>
        <w:widowControl w:val="0"/>
        <w:tabs>
          <w:tab w:val="left" w:pos="720"/>
        </w:tabs>
        <w:kinsoku/>
        <w:wordWrap w:val="0"/>
        <w:overflowPunct/>
        <w:topLinePunct w:val="0"/>
        <w:autoSpaceDE/>
        <w:autoSpaceDN/>
        <w:bidi w:val="0"/>
        <w:adjustRightInd/>
        <w:snapToGrid/>
        <w:spacing w:line="4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.1.2中标人确定后，招标人应将中标信息在</w:t>
      </w:r>
      <w:r>
        <w:rPr>
          <w:rFonts w:hint="eastAsia" w:ascii="宋体"/>
          <w:color w:val="auto"/>
          <w:szCs w:val="21"/>
          <w:highlight w:val="none"/>
          <w:lang w:val="en-US" w:eastAsia="zh-CN"/>
        </w:rPr>
        <w:t>安徽省琅琊山旅游发展有限公司（https://www.lysfjq.cn/）、滁州市城投工程咨询管理有限公司（https://www.czctgczx.com/）等网站</w:t>
      </w:r>
      <w:r>
        <w:rPr>
          <w:rFonts w:hint="eastAsia" w:ascii="宋体"/>
          <w:color w:val="auto"/>
          <w:szCs w:val="21"/>
          <w:highlight w:val="none"/>
        </w:rPr>
        <w:t>上公告。</w:t>
      </w:r>
    </w:p>
    <w:p w14:paraId="36630B2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 中标通知书</w:t>
      </w:r>
    </w:p>
    <w:p w14:paraId="20C30054">
      <w:pPr>
        <w:keepNext w:val="0"/>
        <w:keepLines w:val="0"/>
        <w:pageBreakBefore w:val="0"/>
        <w:widowControl w:val="0"/>
        <w:tabs>
          <w:tab w:val="left" w:pos="720"/>
        </w:tabs>
        <w:kinsoku/>
        <w:wordWrap w:val="0"/>
        <w:overflowPunct/>
        <w:topLinePunct w:val="0"/>
        <w:autoSpaceDE/>
        <w:autoSpaceDN/>
        <w:bidi w:val="0"/>
        <w:adjustRightInd/>
        <w:snapToGrid/>
        <w:spacing w:line="42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.2.1招标人或代理机构应在中标人确定之日起2个工作日内，在</w:t>
      </w:r>
      <w:r>
        <w:rPr>
          <w:rFonts w:hint="eastAsia" w:ascii="宋体"/>
          <w:color w:val="auto"/>
          <w:szCs w:val="21"/>
          <w:highlight w:val="none"/>
          <w:lang w:val="en-US" w:eastAsia="zh-CN"/>
        </w:rPr>
        <w:t>安徽省琅琊山旅游发展有限公司（https://www.lysfjq.cn/）、</w:t>
      </w:r>
      <w:r>
        <w:rPr>
          <w:rFonts w:hint="eastAsia" w:ascii="宋体"/>
          <w:color w:val="auto"/>
          <w:szCs w:val="21"/>
          <w:highlight w:val="none"/>
        </w:rPr>
        <w:t>滁州市城投工程咨询管理有限公司（https://www.czctgczx.com/）</w:t>
      </w:r>
      <w:r>
        <w:rPr>
          <w:rFonts w:hint="eastAsia" w:ascii="宋体"/>
          <w:color w:val="auto"/>
          <w:szCs w:val="21"/>
          <w:highlight w:val="none"/>
          <w:lang w:val="en-US" w:eastAsia="zh-CN"/>
        </w:rPr>
        <w:t>等</w:t>
      </w:r>
      <w:r>
        <w:rPr>
          <w:rFonts w:hint="eastAsia" w:ascii="宋体"/>
          <w:color w:val="auto"/>
          <w:szCs w:val="21"/>
          <w:highlight w:val="none"/>
        </w:rPr>
        <w:t>网站公告中标结果并同时向中标人发出中标通知书。</w:t>
      </w:r>
    </w:p>
    <w:p w14:paraId="3FEA5E8A">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.2.2中标通知书须加盖招标人、代理机构公章后，方可发出。</w:t>
      </w:r>
    </w:p>
    <w:p w14:paraId="27F2400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.2.3招标人将在发出中标通知书的同时，向未通过资格审查的投标人告知其未通过的原因。</w:t>
      </w:r>
    </w:p>
    <w:p w14:paraId="06B4880B">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1</w:t>
      </w:r>
      <w:r>
        <w:rPr>
          <w:rFonts w:hint="eastAsia" w:ascii="宋体"/>
          <w:b/>
          <w:color w:val="auto"/>
          <w:szCs w:val="21"/>
          <w:highlight w:val="none"/>
        </w:rPr>
        <w:t>.开评标异常情况处理</w:t>
      </w:r>
    </w:p>
    <w:p w14:paraId="21213BD7">
      <w:pPr>
        <w:spacing w:line="420" w:lineRule="exact"/>
        <w:ind w:firstLine="421"/>
        <w:jc w:val="left"/>
        <w:rPr>
          <w:rFonts w:hint="eastAsia" w:ascii="宋体"/>
          <w:b/>
          <w:bCs/>
          <w:color w:val="auto"/>
          <w:szCs w:val="21"/>
          <w:highlight w:val="none"/>
        </w:rPr>
      </w:pPr>
      <w:r>
        <w:rPr>
          <w:rFonts w:hint="eastAsia" w:ascii="宋体"/>
          <w:b/>
          <w:bCs/>
          <w:color w:val="auto"/>
          <w:kern w:val="10"/>
          <w:szCs w:val="21"/>
          <w:highlight w:val="none"/>
        </w:rPr>
        <w:t>3</w:t>
      </w:r>
      <w:r>
        <w:rPr>
          <w:rFonts w:hint="eastAsia" w:ascii="宋体"/>
          <w:b/>
          <w:bCs/>
          <w:color w:val="auto"/>
          <w:kern w:val="10"/>
          <w:szCs w:val="21"/>
          <w:highlight w:val="none"/>
          <w:lang w:val="en-US" w:eastAsia="zh-CN"/>
        </w:rPr>
        <w:t>1</w:t>
      </w:r>
      <w:r>
        <w:rPr>
          <w:rFonts w:hint="eastAsia" w:ascii="宋体"/>
          <w:b/>
          <w:bCs/>
          <w:color w:val="auto"/>
          <w:kern w:val="10"/>
          <w:szCs w:val="21"/>
          <w:highlight w:val="none"/>
        </w:rPr>
        <w:t>.1</w:t>
      </w:r>
      <w:r>
        <w:rPr>
          <w:rFonts w:hint="eastAsia" w:ascii="宋体"/>
          <w:b/>
          <w:bCs/>
          <w:color w:val="auto"/>
          <w:szCs w:val="21"/>
          <w:highlight w:val="none"/>
        </w:rPr>
        <w:t xml:space="preserve">重新招标 </w:t>
      </w:r>
    </w:p>
    <w:p w14:paraId="31A5D01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项目有下列情形之一的，招标人将重新招标：</w:t>
      </w:r>
    </w:p>
    <w:p w14:paraId="61AA2F3A">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 xml:space="preserve">(1)投标截止时间止，投标人少于三个的； </w:t>
      </w:r>
    </w:p>
    <w:p w14:paraId="04C25708">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(2)符合专业条件的供应商或者对招标文件作实质响应的供应商不足三家的；</w:t>
      </w:r>
    </w:p>
    <w:p w14:paraId="15B0F175">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(3)出现影响招标公正的违法、违规行为的；</w:t>
      </w:r>
    </w:p>
    <w:p w14:paraId="1EA8BFE1">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(4)投标人的报价均脱离实际且无充分证据的；</w:t>
      </w:r>
    </w:p>
    <w:p w14:paraId="747198F9">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w:t>
      </w:r>
      <w:r>
        <w:rPr>
          <w:rFonts w:hint="eastAsia" w:ascii="宋体"/>
          <w:color w:val="auto"/>
          <w:kern w:val="10"/>
          <w:szCs w:val="21"/>
          <w:highlight w:val="none"/>
          <w:lang w:val="en-US" w:eastAsia="zh-CN"/>
        </w:rPr>
        <w:t>5</w:t>
      </w:r>
      <w:r>
        <w:rPr>
          <w:rFonts w:hint="eastAsia" w:ascii="宋体"/>
          <w:color w:val="auto"/>
          <w:kern w:val="10"/>
          <w:szCs w:val="21"/>
          <w:highlight w:val="none"/>
        </w:rPr>
        <w:t>)因重大变故，采购任务取消的。</w:t>
      </w:r>
    </w:p>
    <w:p w14:paraId="191876E3">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（六）合同的授予</w:t>
      </w:r>
      <w:bookmarkEnd w:id="44"/>
    </w:p>
    <w:p w14:paraId="4884662A">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32.合同授予标准</w:t>
      </w:r>
    </w:p>
    <w:p w14:paraId="434236C3">
      <w:pPr>
        <w:adjustRightInd w:val="0"/>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32.1本招标项目的合同将授予按本投标须知第30条规定所确定的中标人。 </w:t>
      </w:r>
    </w:p>
    <w:p w14:paraId="635DC074">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33.合同协议书的签订</w:t>
      </w:r>
    </w:p>
    <w:p w14:paraId="4DB0191D">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33.1招标人与中标人将于中标通知书发出之日起30日内，按照招标文件和中标人的投标文件订立书面采购合同。中标人无正当理由拒签合同的，在签订合同时向招标人提出附加条件，或不按照招标文件要求提交履约保证金的，招标人取消其中标资格；给招标人造成的损失的，中标人还应当予以赔偿。</w:t>
      </w:r>
    </w:p>
    <w:p w14:paraId="5EC2A393">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33.2发出中标通知书后，招标人无正当理由拒签合同的，给中标人造成损失的，还应当赔偿损失。</w:t>
      </w:r>
    </w:p>
    <w:p w14:paraId="5D88ED25">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依法必须进行招标的项目，除中标人以外的其他投标人存在串通投标、弄虚作假、行贿情形且在评标过程中未被发现的，视为对中标结果没有造成实质性影响，招标人可以依法继续开展招标活动。</w:t>
      </w:r>
    </w:p>
    <w:p w14:paraId="288371C3">
      <w:pPr>
        <w:spacing w:line="440" w:lineRule="exact"/>
        <w:rPr>
          <w:rFonts w:hint="default" w:ascii="宋体" w:hAnsi="宋体" w:eastAsia="宋体" w:cs="宋体"/>
          <w:b/>
          <w:color w:val="auto"/>
          <w:szCs w:val="21"/>
          <w:highlight w:val="none"/>
          <w:lang w:val="en-US" w:eastAsia="zh-CN"/>
        </w:rPr>
      </w:pPr>
      <w:r>
        <w:rPr>
          <w:rFonts w:hint="eastAsia" w:ascii="宋体" w:hAnsi="宋体" w:cs="宋体"/>
          <w:color w:val="auto"/>
          <w:szCs w:val="21"/>
          <w:highlight w:val="none"/>
        </w:rPr>
        <w:t xml:space="preserve">    34.</w:t>
      </w:r>
      <w:bookmarkStart w:id="45" w:name="_Toc217446068"/>
      <w:r>
        <w:rPr>
          <w:rFonts w:hint="eastAsia" w:ascii="宋体" w:hAnsi="宋体" w:cs="宋体"/>
          <w:b/>
          <w:color w:val="auto"/>
          <w:szCs w:val="21"/>
          <w:highlight w:val="none"/>
        </w:rPr>
        <w:t>履约保证金</w:t>
      </w:r>
      <w:bookmarkEnd w:id="45"/>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本项目不采用）</w:t>
      </w:r>
    </w:p>
    <w:p w14:paraId="559919D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34.1在签订合同前，中标人应按投标人须知前附表规定的担保形式、金额和招标文件第五章“合同条款及格式”规定的或者事先经过</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书面认可的履约担保格式向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提交履约担保。</w:t>
      </w:r>
    </w:p>
    <w:p w14:paraId="3FA9EC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34.2中标人不能按本章第34.1款要求提交履约担保的，视为放弃中标，</w:t>
      </w:r>
      <w:r>
        <w:rPr>
          <w:rFonts w:hint="eastAsia" w:ascii="宋体" w:hAnsi="宋体" w:cs="宋体"/>
          <w:color w:val="auto"/>
          <w:szCs w:val="21"/>
          <w:highlight w:val="none"/>
          <w:shd w:val="clear" w:color="auto" w:fill="FFFFFF"/>
        </w:rPr>
        <w:t>给</w:t>
      </w:r>
      <w:r>
        <w:rPr>
          <w:rFonts w:hint="eastAsia" w:ascii="宋体" w:hAnsi="宋体" w:cs="宋体"/>
          <w:color w:val="auto"/>
          <w:szCs w:val="21"/>
          <w:highlight w:val="none"/>
          <w:shd w:val="clear" w:color="auto" w:fill="FFFFFF"/>
          <w:lang w:eastAsia="zh-CN"/>
        </w:rPr>
        <w:t>招标人</w:t>
      </w:r>
      <w:r>
        <w:rPr>
          <w:rFonts w:hint="eastAsia" w:ascii="宋体" w:hAnsi="宋体" w:cs="宋体"/>
          <w:color w:val="auto"/>
          <w:szCs w:val="21"/>
          <w:highlight w:val="none"/>
          <w:shd w:val="clear" w:color="auto" w:fill="FFFFFF"/>
        </w:rPr>
        <w:t>造成损失的，依法承担民事责任</w:t>
      </w:r>
      <w:r>
        <w:rPr>
          <w:rFonts w:hint="eastAsia" w:ascii="宋体" w:hAnsi="宋体" w:cs="宋体"/>
          <w:color w:val="auto"/>
          <w:szCs w:val="21"/>
          <w:highlight w:val="none"/>
        </w:rPr>
        <w:t>。</w:t>
      </w:r>
    </w:p>
    <w:p w14:paraId="2845F2C2">
      <w:pPr>
        <w:spacing w:before="312" w:beforeLines="100" w:after="312" w:afterLines="100" w:line="440" w:lineRule="exact"/>
        <w:jc w:val="center"/>
        <w:rPr>
          <w:rFonts w:hint="eastAsia" w:ascii="宋体" w:hAnsi="宋体" w:eastAsia="宋体" w:cs="宋体"/>
          <w:b/>
          <w:color w:val="auto"/>
          <w:sz w:val="28"/>
          <w:szCs w:val="28"/>
          <w:highlight w:val="none"/>
        </w:rPr>
      </w:pPr>
      <w:bookmarkStart w:id="46" w:name="_Toc449028874"/>
      <w:r>
        <w:rPr>
          <w:rFonts w:hint="eastAsia" w:ascii="宋体" w:hAnsi="宋体" w:eastAsia="宋体" w:cs="宋体"/>
          <w:b/>
          <w:color w:val="auto"/>
          <w:sz w:val="28"/>
          <w:szCs w:val="28"/>
          <w:highlight w:val="none"/>
        </w:rPr>
        <w:t>（七）纪律和监督</w:t>
      </w:r>
      <w:bookmarkEnd w:id="46"/>
    </w:p>
    <w:p w14:paraId="5090B799">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35. 对</w:t>
      </w:r>
      <w:r>
        <w:rPr>
          <w:rFonts w:hint="eastAsia" w:ascii="宋体" w:hAnsi="宋体" w:cs="宋体"/>
          <w:b/>
          <w:color w:val="auto"/>
          <w:szCs w:val="21"/>
          <w:highlight w:val="none"/>
          <w:lang w:eastAsia="zh-CN"/>
        </w:rPr>
        <w:t>招标人</w:t>
      </w:r>
      <w:r>
        <w:rPr>
          <w:rFonts w:hint="eastAsia" w:ascii="宋体" w:hAnsi="宋体" w:cs="宋体"/>
          <w:b/>
          <w:color w:val="auto"/>
          <w:szCs w:val="21"/>
          <w:highlight w:val="none"/>
        </w:rPr>
        <w:t xml:space="preserve">的纪律要求 </w:t>
      </w:r>
    </w:p>
    <w:p w14:paraId="4C7F1D7A">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35.1</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 xml:space="preserve">不得泄漏招标投标活动中应当保密的情况和资料，不得与投标人串通损害国家利益，社会公共利益或者他人合法权益。 </w:t>
      </w:r>
    </w:p>
    <w:p w14:paraId="693F0AF3">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36. 对投标人的纪律要求 </w:t>
      </w:r>
    </w:p>
    <w:p w14:paraId="2542ABBD">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36.1投标人不得相互串通投标或者与</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串通投标，不得向</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或者评标委员会成员行贿谋取中标，不得以他人名义投标或者以其他方式弄虚作假骗取中标；投标人不得以任何方式干扰、影响评标工作。</w:t>
      </w:r>
    </w:p>
    <w:p w14:paraId="23CB9A1C">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37. 对评标委员会成员的纪律要求 </w:t>
      </w:r>
    </w:p>
    <w:p w14:paraId="39EC1424">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37.1评标委员会成员不得收受他人的财物或者其他好处，不得向他人透漏对投标文件的评审和比较、中标候选人的推荐情况以及评标有关的其他情况。</w:t>
      </w:r>
    </w:p>
    <w:p w14:paraId="0510A183">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 xml:space="preserve">37.2在评标活动中，评标委员会成员不得擅离职守，影响评标程序正常进行，不得使用第三章“评标办法”没有规定的评审因素和标准进行评标。 </w:t>
      </w:r>
    </w:p>
    <w:p w14:paraId="67E56DAA">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38. 对与评标活动有关的工作人员的纪律要求 </w:t>
      </w:r>
    </w:p>
    <w:p w14:paraId="357AC920">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36F9FE4">
      <w:pPr>
        <w:spacing w:before="312" w:beforeLines="100" w:after="312" w:afterLines="100" w:line="440" w:lineRule="exact"/>
        <w:jc w:val="center"/>
        <w:rPr>
          <w:rFonts w:hint="eastAsia" w:ascii="宋体" w:hAnsi="宋体" w:eastAsia="宋体" w:cs="宋体"/>
          <w:b/>
          <w:color w:val="auto"/>
          <w:sz w:val="28"/>
          <w:szCs w:val="28"/>
          <w:highlight w:val="none"/>
          <w:lang w:eastAsia="zh-CN"/>
        </w:rPr>
      </w:pPr>
      <w:bookmarkStart w:id="47" w:name="_Toc449028875"/>
      <w:r>
        <w:rPr>
          <w:rFonts w:hint="eastAsia" w:ascii="宋体" w:hAnsi="宋体" w:eastAsia="宋体" w:cs="宋体"/>
          <w:b/>
          <w:color w:val="auto"/>
          <w:sz w:val="28"/>
          <w:szCs w:val="28"/>
          <w:highlight w:val="none"/>
        </w:rPr>
        <w:t>（八）</w:t>
      </w:r>
      <w:bookmarkEnd w:id="47"/>
      <w:r>
        <w:rPr>
          <w:rFonts w:hint="eastAsia" w:ascii="宋体" w:hAnsi="宋体" w:cs="宋体"/>
          <w:b/>
          <w:color w:val="auto"/>
          <w:sz w:val="28"/>
          <w:szCs w:val="28"/>
          <w:highlight w:val="none"/>
          <w:lang w:val="en-US" w:eastAsia="zh-CN"/>
        </w:rPr>
        <w:t>投诉</w:t>
      </w:r>
    </w:p>
    <w:p w14:paraId="539744AE">
      <w:pPr>
        <w:spacing w:line="440" w:lineRule="exact"/>
        <w:ind w:firstLine="314" w:firstLineChars="149"/>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 xml:space="preserve">39. </w:t>
      </w:r>
      <w:r>
        <w:rPr>
          <w:rFonts w:hint="eastAsia" w:ascii="宋体" w:hAnsi="宋体" w:cs="宋体"/>
          <w:b/>
          <w:color w:val="auto"/>
          <w:szCs w:val="21"/>
          <w:highlight w:val="none"/>
          <w:lang w:val="en-US" w:eastAsia="zh-CN"/>
        </w:rPr>
        <w:t>投诉</w:t>
      </w:r>
    </w:p>
    <w:p w14:paraId="1CA6CD96">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.1投标人或者其他利害关系人认为招标投标活动违反法律、法规和规章规定的，有权向相关行政监督部门投诉。投诉应当有明确的请求和必要的证明材料。</w:t>
      </w:r>
    </w:p>
    <w:p w14:paraId="38576950">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.2投标人和其他利害关系人对招标文件、开标和评标结果事项投诉的，应当按照投标人须知的规定先向招标人提出异议。异议答复期间不计算在规定的期限内。</w:t>
      </w:r>
    </w:p>
    <w:p w14:paraId="5368DD7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48" w:name="_Toc16145"/>
      <w:r>
        <w:rPr>
          <w:rFonts w:hint="eastAsia" w:ascii="宋体"/>
          <w:b/>
          <w:color w:val="auto"/>
          <w:sz w:val="32"/>
          <w:szCs w:val="32"/>
          <w:highlight w:val="none"/>
        </w:rPr>
        <w:t xml:space="preserve">第三章 </w:t>
      </w:r>
      <w:r>
        <w:rPr>
          <w:rFonts w:hint="eastAsia" w:ascii="宋体"/>
          <w:b/>
          <w:color w:val="auto"/>
          <w:sz w:val="32"/>
          <w:szCs w:val="32"/>
          <w:highlight w:val="none"/>
          <w:lang w:val="en-US" w:eastAsia="zh-CN"/>
        </w:rPr>
        <w:t xml:space="preserve"> </w:t>
      </w:r>
      <w:r>
        <w:rPr>
          <w:rFonts w:hint="eastAsia" w:ascii="宋体"/>
          <w:b/>
          <w:color w:val="auto"/>
          <w:sz w:val="32"/>
          <w:szCs w:val="32"/>
          <w:highlight w:val="none"/>
        </w:rPr>
        <w:t>评标办法</w:t>
      </w:r>
      <w:bookmarkEnd w:id="48"/>
    </w:p>
    <w:p w14:paraId="77B91577">
      <w:pPr>
        <w:spacing w:before="156" w:beforeLines="50" w:after="156" w:afterLines="50" w:line="440" w:lineRule="exact"/>
        <w:jc w:val="center"/>
        <w:outlineLvl w:val="1"/>
        <w:rPr>
          <w:rFonts w:hint="eastAsia" w:ascii="宋体"/>
          <w:b/>
          <w:color w:val="auto"/>
          <w:sz w:val="28"/>
          <w:szCs w:val="28"/>
          <w:highlight w:val="none"/>
        </w:rPr>
      </w:pPr>
      <w:bookmarkStart w:id="49" w:name="_Toc58430317"/>
      <w:bookmarkStart w:id="50" w:name="_Toc362983801"/>
      <w:bookmarkStart w:id="51" w:name="_Toc449028877"/>
      <w:bookmarkStart w:id="52" w:name="_Toc27510"/>
      <w:bookmarkStart w:id="53" w:name="_Toc267320058"/>
      <w:bookmarkStart w:id="54" w:name="_Toc363135205"/>
      <w:r>
        <w:rPr>
          <w:rFonts w:hint="eastAsia" w:ascii="宋体"/>
          <w:b/>
          <w:color w:val="auto"/>
          <w:sz w:val="28"/>
          <w:szCs w:val="28"/>
          <w:highlight w:val="none"/>
        </w:rPr>
        <w:t>一、总则</w:t>
      </w:r>
      <w:bookmarkEnd w:id="49"/>
      <w:bookmarkEnd w:id="50"/>
      <w:bookmarkEnd w:id="51"/>
      <w:bookmarkEnd w:id="52"/>
    </w:p>
    <w:p w14:paraId="4DA06D06">
      <w:pPr>
        <w:spacing w:line="440" w:lineRule="exact"/>
        <w:ind w:firstLine="316" w:firstLineChars="150"/>
        <w:jc w:val="left"/>
        <w:rPr>
          <w:rFonts w:hint="eastAsia" w:ascii="宋体"/>
          <w:b/>
          <w:color w:val="auto"/>
          <w:szCs w:val="21"/>
          <w:highlight w:val="none"/>
        </w:rPr>
      </w:pPr>
      <w:bookmarkStart w:id="55" w:name="_Toc58430318"/>
      <w:bookmarkStart w:id="56" w:name="_Toc449028878"/>
      <w:bookmarkStart w:id="57" w:name="_Toc362983802"/>
      <w:r>
        <w:rPr>
          <w:rFonts w:hint="eastAsia" w:ascii="宋体"/>
          <w:b/>
          <w:color w:val="auto"/>
          <w:szCs w:val="21"/>
          <w:highlight w:val="none"/>
        </w:rPr>
        <w:t xml:space="preserve"> 1. 本次评标采用综合评</w:t>
      </w:r>
      <w:r>
        <w:rPr>
          <w:rFonts w:hint="eastAsia" w:ascii="宋体"/>
          <w:b/>
          <w:color w:val="auto"/>
          <w:szCs w:val="21"/>
          <w:highlight w:val="none"/>
          <w:lang w:val="en-US" w:eastAsia="zh-CN"/>
        </w:rPr>
        <w:t>估</w:t>
      </w:r>
      <w:r>
        <w:rPr>
          <w:rFonts w:hint="eastAsia" w:ascii="宋体"/>
          <w:b/>
          <w:color w:val="auto"/>
          <w:szCs w:val="21"/>
          <w:highlight w:val="none"/>
        </w:rPr>
        <w:t>法</w:t>
      </w:r>
    </w:p>
    <w:p w14:paraId="0594B1C6">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1.1综合评估法，评标委员会按照本章规定的评分标准进行打分，</w:t>
      </w:r>
      <w:r>
        <w:rPr>
          <w:rFonts w:hint="eastAsia" w:ascii="宋体"/>
          <w:b/>
          <w:bCs/>
          <w:color w:val="auto"/>
          <w:szCs w:val="21"/>
          <w:highlight w:val="none"/>
        </w:rPr>
        <w:t>并按总得分由高到低顺序推荐</w:t>
      </w:r>
      <w:r>
        <w:rPr>
          <w:rFonts w:hint="eastAsia" w:ascii="宋体"/>
          <w:b/>
          <w:bCs/>
          <w:color w:val="auto"/>
          <w:szCs w:val="21"/>
          <w:highlight w:val="none"/>
          <w:lang w:val="en-US" w:eastAsia="zh-CN"/>
        </w:rPr>
        <w:t>3</w:t>
      </w:r>
      <w:r>
        <w:rPr>
          <w:rFonts w:hint="eastAsia" w:ascii="宋体"/>
          <w:b/>
          <w:bCs/>
          <w:color w:val="auto"/>
          <w:szCs w:val="21"/>
          <w:highlight w:val="none"/>
        </w:rPr>
        <w:t>名中标候选人，并标明排序，但投标报价低于其成本的除外</w:t>
      </w:r>
      <w:r>
        <w:rPr>
          <w:rFonts w:hint="eastAsia" w:ascii="宋体"/>
          <w:color w:val="auto"/>
          <w:szCs w:val="21"/>
          <w:highlight w:val="none"/>
        </w:rPr>
        <w:t>。得分最高的为第一中标候选人，第二高的为第二中标候选人。</w:t>
      </w:r>
      <w:r>
        <w:rPr>
          <w:rFonts w:hint="eastAsia" w:ascii="宋体"/>
          <w:b/>
          <w:bCs/>
          <w:color w:val="auto"/>
          <w:szCs w:val="21"/>
          <w:highlight w:val="none"/>
        </w:rPr>
        <w:t>如总得分相等，以投标报价低的优先，投标报价仍相等，由评标委员会或招标人随机抽取确定排名，不得并列。</w:t>
      </w:r>
    </w:p>
    <w:p w14:paraId="7C53964E">
      <w:pPr>
        <w:spacing w:line="440" w:lineRule="exact"/>
        <w:ind w:firstLine="422" w:firstLineChars="200"/>
        <w:jc w:val="left"/>
        <w:rPr>
          <w:rFonts w:hint="eastAsia" w:ascii="宋体"/>
          <w:b/>
          <w:color w:val="auto"/>
          <w:szCs w:val="21"/>
          <w:highlight w:val="none"/>
        </w:rPr>
      </w:pPr>
      <w:r>
        <w:rPr>
          <w:rFonts w:hint="eastAsia" w:ascii="宋体"/>
          <w:b/>
          <w:color w:val="auto"/>
          <w:szCs w:val="21"/>
          <w:highlight w:val="none"/>
        </w:rPr>
        <w:t>2．评标程序</w:t>
      </w:r>
    </w:p>
    <w:p w14:paraId="1189376D">
      <w:pPr>
        <w:spacing w:line="440" w:lineRule="exact"/>
        <w:ind w:firstLine="422" w:firstLineChars="200"/>
        <w:jc w:val="left"/>
        <w:rPr>
          <w:rFonts w:hint="eastAsia" w:ascii="宋体"/>
          <w:color w:val="auto"/>
          <w:szCs w:val="21"/>
          <w:highlight w:val="none"/>
        </w:rPr>
      </w:pPr>
      <w:r>
        <w:rPr>
          <w:rFonts w:hint="eastAsia" w:ascii="宋体"/>
          <w:b/>
          <w:bCs/>
          <w:color w:val="auto"/>
          <w:szCs w:val="21"/>
          <w:highlight w:val="none"/>
        </w:rPr>
        <w:t>先对解密成功的投标人的联系人和联系方式、投标mac地址、址以及投标文件制作机器码、文件创建标识码是否雷同情况按招标文件要求进行核查，核查无误的投标人报价（以投标文件投标函中填写报价为准）去除高于最高限价报价后，剩余报价按计算标准计算得分并汇总，总得分按照从高到低进行排序（如总得分相等，以投标报价低的优先，投标报价仍相等，由评标委员会或招标人随机抽取确定排名，不得并列），但投标报价低于其成本的除外。对排序前</w:t>
      </w:r>
      <w:r>
        <w:rPr>
          <w:rFonts w:hint="eastAsia" w:ascii="宋体"/>
          <w:b/>
          <w:bCs/>
          <w:color w:val="auto"/>
          <w:szCs w:val="21"/>
          <w:highlight w:val="none"/>
          <w:lang w:val="en-US" w:eastAsia="zh-CN"/>
        </w:rPr>
        <w:t>3</w:t>
      </w:r>
      <w:r>
        <w:rPr>
          <w:rFonts w:hint="eastAsia" w:ascii="宋体"/>
          <w:b/>
          <w:bCs/>
          <w:color w:val="auto"/>
          <w:szCs w:val="21"/>
          <w:highlight w:val="none"/>
        </w:rPr>
        <w:t>名的投标人投标文件进行评审并确定中标候选人。若排序前</w:t>
      </w:r>
      <w:r>
        <w:rPr>
          <w:rFonts w:hint="eastAsia" w:ascii="宋体"/>
          <w:b/>
          <w:bCs/>
          <w:color w:val="auto"/>
          <w:szCs w:val="21"/>
          <w:highlight w:val="none"/>
          <w:lang w:val="en-US" w:eastAsia="zh-CN"/>
        </w:rPr>
        <w:t>3</w:t>
      </w:r>
      <w:r>
        <w:rPr>
          <w:rFonts w:hint="eastAsia" w:ascii="宋体"/>
          <w:b/>
          <w:bCs/>
          <w:color w:val="auto"/>
          <w:szCs w:val="21"/>
          <w:highlight w:val="none"/>
        </w:rPr>
        <w:t>名的投标人投标文件评审不通过，则按得分排序递补至</w:t>
      </w:r>
      <w:r>
        <w:rPr>
          <w:rFonts w:hint="eastAsia" w:ascii="宋体"/>
          <w:b/>
          <w:bCs/>
          <w:color w:val="auto"/>
          <w:szCs w:val="21"/>
          <w:highlight w:val="none"/>
          <w:lang w:val="en-US" w:eastAsia="zh-CN"/>
        </w:rPr>
        <w:t>3</w:t>
      </w:r>
      <w:r>
        <w:rPr>
          <w:rFonts w:hint="eastAsia" w:ascii="宋体"/>
          <w:b/>
          <w:bCs/>
          <w:color w:val="auto"/>
          <w:szCs w:val="21"/>
          <w:highlight w:val="none"/>
        </w:rPr>
        <w:t>家投标人进行投标文件评审。</w:t>
      </w:r>
    </w:p>
    <w:p w14:paraId="26AB7B8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2.1投标文件的初审</w:t>
      </w:r>
    </w:p>
    <w:p w14:paraId="0CD1CC5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2.2投标文件的澄清</w:t>
      </w:r>
    </w:p>
    <w:p w14:paraId="5665DDD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2.2.1在评标过程中，评标委员会认为需要，在监督人员在场的情况下，可要求投标人对投标文件中的有关问题进行澄清或提供补充说明及有关资料，投标人应做出书面答复。书面答复中不得变更价格、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266809AA">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2.3比较与评价</w:t>
      </w:r>
    </w:p>
    <w:p w14:paraId="5BD7217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2.4推荐中标候选人名单</w:t>
      </w:r>
    </w:p>
    <w:p w14:paraId="110BD1D5">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spacing w:line="440" w:lineRule="exact"/>
        <w:ind w:firstLine="420" w:firstLineChars="200"/>
        <w:jc w:val="left"/>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jc w:val="center"/>
        <w:outlineLvl w:val="1"/>
        <w:rPr>
          <w:rFonts w:hint="eastAsia" w:ascii="宋体"/>
          <w:b/>
          <w:color w:val="auto"/>
          <w:sz w:val="28"/>
          <w:szCs w:val="28"/>
          <w:highlight w:val="none"/>
        </w:rPr>
      </w:pPr>
      <w:bookmarkStart w:id="58" w:name="_Toc14664"/>
      <w:r>
        <w:rPr>
          <w:rFonts w:hint="eastAsia" w:ascii="宋体"/>
          <w:b/>
          <w:color w:val="auto"/>
          <w:sz w:val="28"/>
          <w:szCs w:val="28"/>
          <w:highlight w:val="none"/>
        </w:rPr>
        <w:t>二、投标文件初审</w:t>
      </w:r>
      <w:bookmarkEnd w:id="55"/>
      <w:bookmarkEnd w:id="56"/>
      <w:bookmarkEnd w:id="57"/>
      <w:bookmarkEnd w:id="58"/>
    </w:p>
    <w:p w14:paraId="51BB9995">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3.资格性审查:</w:t>
      </w:r>
    </w:p>
    <w:p w14:paraId="6A45A2E7">
      <w:pPr>
        <w:spacing w:line="440" w:lineRule="exact"/>
        <w:ind w:firstLine="308" w:firstLineChars="147"/>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35"/>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3368"/>
        <w:gridCol w:w="4492"/>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734" w:type="dxa"/>
            <w:gridSpan w:val="2"/>
            <w:noWrap w:val="0"/>
            <w:vAlign w:val="center"/>
          </w:tcPr>
          <w:p w14:paraId="317DFDDF">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4492" w:type="dxa"/>
            <w:noWrap w:val="0"/>
            <w:vAlign w:val="center"/>
          </w:tcPr>
          <w:p w14:paraId="12EF048E">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3368" w:type="dxa"/>
            <w:noWrap w:val="0"/>
            <w:vAlign w:val="center"/>
          </w:tcPr>
          <w:p w14:paraId="308A1E8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（1）法定代表人身份证明和本人有效身份证(或法定代表人授权委托书和委托代理人有效身份证)</w:t>
            </w:r>
          </w:p>
        </w:tc>
        <w:tc>
          <w:tcPr>
            <w:tcW w:w="4492" w:type="dxa"/>
            <w:noWrap w:val="0"/>
            <w:vAlign w:val="center"/>
          </w:tcPr>
          <w:p w14:paraId="4B0BE00E">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16220CB4">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366" w:type="dxa"/>
            <w:vMerge w:val="restart"/>
            <w:noWrap w:val="0"/>
            <w:vAlign w:val="center"/>
          </w:tcPr>
          <w:p w14:paraId="4C55880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3368" w:type="dxa"/>
            <w:noWrap w:val="0"/>
            <w:vAlign w:val="center"/>
          </w:tcPr>
          <w:p w14:paraId="0F7F3050">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具有独立承担民事责任能力</w:t>
            </w:r>
          </w:p>
        </w:tc>
        <w:tc>
          <w:tcPr>
            <w:tcW w:w="4492" w:type="dxa"/>
            <w:noWrap w:val="0"/>
            <w:vAlign w:val="center"/>
          </w:tcPr>
          <w:p w14:paraId="041A0B6D">
            <w:pPr>
              <w:spacing w:line="440" w:lineRule="exact"/>
              <w:rPr>
                <w:rFonts w:hint="eastAsia" w:ascii="宋体" w:hAnsi="宋体" w:cs="宋体"/>
                <w:color w:val="auto"/>
                <w:szCs w:val="21"/>
                <w:highlight w:val="none"/>
              </w:rPr>
            </w:pPr>
            <w:r>
              <w:rPr>
                <w:rFonts w:hint="eastAsia" w:ascii="宋体" w:hAnsi="宋体" w:cs="宋体"/>
                <w:b/>
                <w:color w:val="auto"/>
                <w:szCs w:val="21"/>
                <w:highlight w:val="none"/>
              </w:rPr>
              <w:t>评审核验</w:t>
            </w:r>
            <w:r>
              <w:rPr>
                <w:rFonts w:hint="eastAsia" w:ascii="宋体" w:hAnsi="宋体" w:cs="宋体"/>
                <w:b/>
                <w:color w:val="auto"/>
                <w:szCs w:val="21"/>
                <w:highlight w:val="none"/>
                <w:lang w:val="en-US" w:eastAsia="zh-CN"/>
              </w:rPr>
              <w:t>投标文件</w:t>
            </w:r>
            <w:r>
              <w:rPr>
                <w:rFonts w:hint="eastAsia" w:ascii="宋体" w:hAnsi="宋体" w:cs="宋体"/>
                <w:b/>
                <w:color w:val="auto"/>
                <w:szCs w:val="21"/>
                <w:highlight w:val="none"/>
              </w:rPr>
              <w:t>中的下列证书、证明材料：</w:t>
            </w:r>
          </w:p>
          <w:p w14:paraId="70F38C35">
            <w:pPr>
              <w:spacing w:line="440" w:lineRule="exact"/>
              <w:rPr>
                <w:rFonts w:hint="default" w:ascii="宋体" w:hAnsi="宋体" w:eastAsia="宋体" w:cs="宋体"/>
                <w:color w:val="auto"/>
                <w:szCs w:val="21"/>
                <w:highlight w:val="none"/>
                <w:lang w:val="en-US" w:eastAsia="zh-CN"/>
              </w:rPr>
            </w:pPr>
            <w:r>
              <w:rPr>
                <w:rFonts w:hint="eastAsia" w:ascii="宋体"/>
                <w:color w:val="auto"/>
                <w:szCs w:val="21"/>
                <w:highlight w:val="none"/>
                <w:lang w:val="en-US" w:eastAsia="zh-CN"/>
              </w:rPr>
              <w:t>投标人有效的营业执照、税务登记证、组织机构码证（或“三证合一证书”）</w:t>
            </w:r>
          </w:p>
        </w:tc>
      </w:tr>
      <w:tr w14:paraId="3BCA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continue"/>
            <w:noWrap w:val="0"/>
            <w:vAlign w:val="center"/>
          </w:tcPr>
          <w:p w14:paraId="54902A14">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715C6CA6">
            <w:pPr>
              <w:spacing w:line="440" w:lineRule="exact"/>
              <w:rPr>
                <w:rFonts w:hint="eastAsia" w:ascii="宋体" w:hAnsi="宋体" w:cs="宋体"/>
                <w:color w:val="auto"/>
                <w:szCs w:val="21"/>
                <w:highlight w:val="none"/>
              </w:rPr>
            </w:pPr>
          </w:p>
        </w:tc>
        <w:tc>
          <w:tcPr>
            <w:tcW w:w="3368" w:type="dxa"/>
            <w:shd w:val="clear" w:color="auto" w:fill="auto"/>
            <w:noWrap w:val="0"/>
            <w:vAlign w:val="center"/>
          </w:tcPr>
          <w:p w14:paraId="67A29F17">
            <w:pPr>
              <w:spacing w:line="5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3）项目负责人有效身份证及证书（若注册证书上无法体现专业的，还需另行提供证明专业的证明材料）；</w:t>
            </w:r>
          </w:p>
        </w:tc>
        <w:tc>
          <w:tcPr>
            <w:tcW w:w="4492" w:type="dxa"/>
            <w:shd w:val="clear" w:color="auto" w:fill="auto"/>
            <w:noWrap w:val="0"/>
            <w:vAlign w:val="center"/>
          </w:tcPr>
          <w:p w14:paraId="126BB631">
            <w:pPr>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03BD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704" w:type="dxa"/>
            <w:vMerge w:val="continue"/>
            <w:noWrap w:val="0"/>
            <w:vAlign w:val="center"/>
          </w:tcPr>
          <w:p w14:paraId="1EC5F97C">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41C2EDC1">
            <w:pPr>
              <w:spacing w:line="440" w:lineRule="exact"/>
              <w:rPr>
                <w:rFonts w:hint="eastAsia" w:ascii="宋体" w:hAnsi="宋体" w:cs="宋体"/>
                <w:color w:val="auto"/>
                <w:szCs w:val="21"/>
                <w:highlight w:val="none"/>
              </w:rPr>
            </w:pPr>
          </w:p>
        </w:tc>
        <w:tc>
          <w:tcPr>
            <w:tcW w:w="3368" w:type="dxa"/>
            <w:shd w:val="clear" w:color="auto" w:fill="auto"/>
            <w:noWrap w:val="0"/>
            <w:vAlign w:val="center"/>
          </w:tcPr>
          <w:p w14:paraId="3B6AD357">
            <w:pPr>
              <w:spacing w:line="500" w:lineRule="exact"/>
              <w:jc w:val="left"/>
              <w:rPr>
                <w:rFonts w:hint="eastAsia" w:ascii="宋体" w:hAnsi="宋体" w:eastAsia="宋体" w:cs="宋体-18030"/>
                <w:color w:val="auto"/>
                <w:kern w:val="2"/>
                <w:sz w:val="21"/>
                <w:szCs w:val="21"/>
                <w:highlight w:val="none"/>
                <w:lang w:val="en-US" w:eastAsia="zh-CN" w:bidi="ar-SA"/>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4）项目组人员配备表（格式自拟）、人员有效身份证及对应证书；</w:t>
            </w:r>
          </w:p>
        </w:tc>
        <w:tc>
          <w:tcPr>
            <w:tcW w:w="4492" w:type="dxa"/>
            <w:shd w:val="clear" w:color="auto" w:fill="auto"/>
            <w:noWrap w:val="0"/>
            <w:vAlign w:val="center"/>
          </w:tcPr>
          <w:p w14:paraId="351A35D7">
            <w:pPr>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2117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704" w:type="dxa"/>
            <w:vMerge w:val="continue"/>
            <w:noWrap w:val="0"/>
            <w:vAlign w:val="center"/>
          </w:tcPr>
          <w:p w14:paraId="2A7B9C4C">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7EFCE690">
            <w:pPr>
              <w:spacing w:line="440" w:lineRule="exact"/>
              <w:rPr>
                <w:rFonts w:hint="eastAsia" w:ascii="宋体" w:hAnsi="宋体" w:cs="宋体"/>
                <w:color w:val="auto"/>
                <w:szCs w:val="21"/>
                <w:highlight w:val="none"/>
              </w:rPr>
            </w:pPr>
          </w:p>
        </w:tc>
        <w:tc>
          <w:tcPr>
            <w:tcW w:w="3368" w:type="dxa"/>
            <w:shd w:val="clear" w:color="auto" w:fill="auto"/>
            <w:noWrap w:val="0"/>
            <w:vAlign w:val="center"/>
          </w:tcPr>
          <w:p w14:paraId="01033BA2">
            <w:pPr>
              <w:spacing w:line="500" w:lineRule="exact"/>
              <w:jc w:val="left"/>
              <w:rPr>
                <w:rFonts w:hint="eastAsia" w:ascii="宋体" w:hAnsi="宋体" w:cs="宋体-18030"/>
                <w:color w:val="auto"/>
                <w:szCs w:val="21"/>
                <w:highlight w:val="none"/>
                <w:lang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5</w:t>
            </w:r>
            <w:r>
              <w:rPr>
                <w:rFonts w:hint="eastAsia" w:ascii="宋体" w:hAnsi="宋体" w:cs="宋体-18030"/>
                <w:color w:val="auto"/>
                <w:szCs w:val="21"/>
                <w:highlight w:val="none"/>
                <w:lang w:eastAsia="zh-CN"/>
              </w:rPr>
              <w:t>）投标申请人的法定代表人(或委托代理人)、拟派项目负责人</w:t>
            </w:r>
            <w:r>
              <w:rPr>
                <w:rFonts w:hint="eastAsia" w:ascii="宋体" w:hAnsi="宋体" w:cs="宋体-18030"/>
                <w:color w:val="auto"/>
                <w:szCs w:val="21"/>
                <w:highlight w:val="none"/>
                <w:lang w:val="en-US" w:eastAsia="zh-CN"/>
              </w:rPr>
              <w:t>和项目组人员</w:t>
            </w:r>
            <w:r>
              <w:rPr>
                <w:rFonts w:hint="eastAsia" w:ascii="宋体" w:hAnsi="宋体" w:cs="宋体-18030"/>
                <w:color w:val="auto"/>
                <w:szCs w:val="21"/>
                <w:highlight w:val="none"/>
                <w:lang w:eastAsia="zh-CN"/>
              </w:rPr>
              <w:t>须持有社保部门出具的本单位为其缴纳的投标前近三个月中任意一个月的养老保险证明（含官网在线打印件）或投标人提供承诺已为上述人员缴纳养老保险证明的承诺书（格式自拟），证明文件两个月内有效，投标申请人是事业单位的，暂未缴纳社保的，须由其主管部门出具证明。注：社保的缴纳单位为投标人或者投标人不具备独立法人资格的分支机构。如为事业单位附属的投标人参与投标，须同时提供投标人所属事业单位为其缴纳社保的证明材料和该事业单位出具的附属证明材料</w:t>
            </w:r>
          </w:p>
        </w:tc>
        <w:tc>
          <w:tcPr>
            <w:tcW w:w="4492" w:type="dxa"/>
            <w:shd w:val="clear" w:color="auto" w:fill="auto"/>
            <w:noWrap w:val="0"/>
            <w:vAlign w:val="center"/>
          </w:tcPr>
          <w:p w14:paraId="69F0C89A">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检验投标文件</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5F4128C5">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p>
        </w:tc>
        <w:tc>
          <w:tcPr>
            <w:tcW w:w="1366" w:type="dxa"/>
            <w:vMerge w:val="continue"/>
            <w:noWrap w:val="0"/>
            <w:vAlign w:val="center"/>
          </w:tcPr>
          <w:p w14:paraId="788A23E8">
            <w:pPr>
              <w:spacing w:line="440" w:lineRule="exact"/>
              <w:rPr>
                <w:rFonts w:hint="eastAsia" w:ascii="宋体" w:hAnsi="宋体" w:cs="宋体"/>
                <w:color w:val="auto"/>
                <w:szCs w:val="21"/>
                <w:highlight w:val="none"/>
              </w:rPr>
            </w:pPr>
          </w:p>
        </w:tc>
        <w:tc>
          <w:tcPr>
            <w:tcW w:w="3368" w:type="dxa"/>
            <w:noWrap w:val="0"/>
            <w:vAlign w:val="top"/>
          </w:tcPr>
          <w:p w14:paraId="60066964">
            <w:pPr>
              <w:spacing w:line="440" w:lineRule="exac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）诚信投标承诺书</w:t>
            </w:r>
          </w:p>
        </w:tc>
        <w:tc>
          <w:tcPr>
            <w:tcW w:w="4492" w:type="dxa"/>
            <w:noWrap w:val="0"/>
            <w:vAlign w:val="top"/>
          </w:tcPr>
          <w:p w14:paraId="3EDC332C">
            <w:pPr>
              <w:spacing w:line="440" w:lineRule="exac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格式见附件，检验</w:t>
            </w:r>
            <w:r>
              <w:rPr>
                <w:rFonts w:hint="eastAsia" w:ascii="宋体" w:hAnsi="宋体" w:cs="宋体"/>
                <w:color w:val="auto"/>
                <w:szCs w:val="21"/>
                <w:highlight w:val="none"/>
                <w:lang w:val="en-US" w:eastAsia="zh-CN"/>
              </w:rPr>
              <w:t>投标文件</w:t>
            </w:r>
          </w:p>
        </w:tc>
      </w:tr>
    </w:tbl>
    <w:p w14:paraId="4BC832D8">
      <w:pPr>
        <w:spacing w:line="440" w:lineRule="exact"/>
        <w:ind w:firstLine="508" w:firstLineChars="241"/>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4．1评审细则</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spacing w:line="440" w:lineRule="exact"/>
              <w:rPr>
                <w:rFonts w:hint="eastAsia" w:ascii="宋体" w:hAnsi="宋体" w:cs="宋体"/>
                <w:color w:val="auto"/>
                <w:szCs w:val="21"/>
                <w:highlight w:val="none"/>
              </w:rPr>
            </w:pPr>
          </w:p>
        </w:tc>
        <w:tc>
          <w:tcPr>
            <w:tcW w:w="1204" w:type="dxa"/>
            <w:vMerge w:val="continue"/>
            <w:noWrap w:val="0"/>
            <w:vAlign w:val="center"/>
          </w:tcPr>
          <w:p w14:paraId="14A50888">
            <w:pPr>
              <w:spacing w:line="440" w:lineRule="exact"/>
              <w:rPr>
                <w:rFonts w:hint="eastAsia" w:ascii="宋体" w:hAnsi="宋体" w:cs="宋体"/>
                <w:color w:val="auto"/>
                <w:szCs w:val="21"/>
                <w:highlight w:val="none"/>
              </w:rPr>
            </w:pPr>
          </w:p>
        </w:tc>
        <w:tc>
          <w:tcPr>
            <w:tcW w:w="2931" w:type="dxa"/>
            <w:noWrap w:val="0"/>
            <w:vAlign w:val="center"/>
          </w:tcPr>
          <w:p w14:paraId="0999086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spacing w:line="440" w:lineRule="exact"/>
              <w:rPr>
                <w:rFonts w:hint="eastAsia" w:ascii="宋体" w:hAnsi="宋体" w:cs="宋体"/>
                <w:color w:val="auto"/>
                <w:szCs w:val="21"/>
                <w:highlight w:val="none"/>
              </w:rPr>
            </w:pPr>
          </w:p>
        </w:tc>
        <w:tc>
          <w:tcPr>
            <w:tcW w:w="1204" w:type="dxa"/>
            <w:vMerge w:val="continue"/>
            <w:noWrap w:val="0"/>
            <w:vAlign w:val="center"/>
          </w:tcPr>
          <w:p w14:paraId="06E85D35">
            <w:pPr>
              <w:spacing w:line="440" w:lineRule="exact"/>
              <w:rPr>
                <w:rFonts w:hint="eastAsia" w:ascii="宋体" w:hAnsi="宋体" w:cs="宋体"/>
                <w:color w:val="auto"/>
                <w:szCs w:val="21"/>
                <w:highlight w:val="none"/>
              </w:rPr>
            </w:pPr>
          </w:p>
        </w:tc>
        <w:tc>
          <w:tcPr>
            <w:tcW w:w="2931" w:type="dxa"/>
            <w:noWrap w:val="0"/>
            <w:vAlign w:val="center"/>
          </w:tcPr>
          <w:p w14:paraId="26DCF9F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spacing w:line="440" w:lineRule="exact"/>
              <w:rPr>
                <w:rFonts w:hint="eastAsia" w:ascii="宋体" w:hAnsi="宋体" w:cs="宋体"/>
                <w:color w:val="auto"/>
                <w:szCs w:val="21"/>
                <w:highlight w:val="none"/>
              </w:rPr>
            </w:pPr>
          </w:p>
        </w:tc>
        <w:tc>
          <w:tcPr>
            <w:tcW w:w="1204" w:type="dxa"/>
            <w:vMerge w:val="continue"/>
            <w:noWrap w:val="0"/>
            <w:vAlign w:val="center"/>
          </w:tcPr>
          <w:p w14:paraId="5F181361">
            <w:pPr>
              <w:spacing w:line="440" w:lineRule="exact"/>
              <w:rPr>
                <w:rFonts w:hint="eastAsia" w:ascii="宋体" w:hAnsi="宋体" w:cs="宋体"/>
                <w:color w:val="auto"/>
                <w:szCs w:val="21"/>
                <w:highlight w:val="none"/>
              </w:rPr>
            </w:pPr>
          </w:p>
        </w:tc>
        <w:tc>
          <w:tcPr>
            <w:tcW w:w="2931" w:type="dxa"/>
            <w:noWrap w:val="0"/>
            <w:vAlign w:val="center"/>
          </w:tcPr>
          <w:p w14:paraId="4F2754B9">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(4) 投标文件的有效期</w:t>
            </w:r>
          </w:p>
        </w:tc>
        <w:tc>
          <w:tcPr>
            <w:tcW w:w="4173" w:type="dxa"/>
            <w:noWrap w:val="0"/>
            <w:vAlign w:val="center"/>
          </w:tcPr>
          <w:p w14:paraId="3AEEF67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网上递交一份</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spacing w:line="440" w:lineRule="exact"/>
              <w:rPr>
                <w:rFonts w:hint="eastAsia" w:ascii="宋体" w:hAnsi="宋体" w:cs="宋体"/>
                <w:color w:val="auto"/>
                <w:szCs w:val="21"/>
                <w:highlight w:val="none"/>
              </w:rPr>
            </w:pPr>
          </w:p>
        </w:tc>
        <w:tc>
          <w:tcPr>
            <w:tcW w:w="1204" w:type="dxa"/>
            <w:vMerge w:val="continue"/>
            <w:noWrap w:val="0"/>
            <w:vAlign w:val="center"/>
          </w:tcPr>
          <w:p w14:paraId="6A942C3C">
            <w:pPr>
              <w:spacing w:line="440" w:lineRule="exact"/>
              <w:rPr>
                <w:rFonts w:hint="eastAsia" w:ascii="宋体" w:hAnsi="宋体" w:cs="宋体"/>
                <w:color w:val="auto"/>
                <w:szCs w:val="21"/>
                <w:highlight w:val="none"/>
              </w:rPr>
            </w:pPr>
          </w:p>
        </w:tc>
        <w:tc>
          <w:tcPr>
            <w:tcW w:w="2931" w:type="dxa"/>
            <w:noWrap w:val="0"/>
            <w:vAlign w:val="center"/>
          </w:tcPr>
          <w:p w14:paraId="6F3AA6E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spacing w:line="440" w:lineRule="exact"/>
              <w:rPr>
                <w:rFonts w:hint="eastAsia" w:ascii="宋体" w:hAnsi="宋体" w:cs="宋体"/>
                <w:color w:val="auto"/>
                <w:szCs w:val="21"/>
                <w:highlight w:val="none"/>
              </w:rPr>
            </w:pPr>
          </w:p>
        </w:tc>
        <w:tc>
          <w:tcPr>
            <w:tcW w:w="1204" w:type="dxa"/>
            <w:vMerge w:val="continue"/>
            <w:noWrap w:val="0"/>
            <w:vAlign w:val="center"/>
          </w:tcPr>
          <w:p w14:paraId="6258B2F9">
            <w:pPr>
              <w:spacing w:line="440" w:lineRule="exact"/>
              <w:rPr>
                <w:rFonts w:hint="eastAsia" w:ascii="宋体" w:hAnsi="宋体" w:cs="宋体"/>
                <w:color w:val="auto"/>
                <w:szCs w:val="21"/>
                <w:highlight w:val="none"/>
              </w:rPr>
            </w:pPr>
          </w:p>
        </w:tc>
        <w:tc>
          <w:tcPr>
            <w:tcW w:w="2931" w:type="dxa"/>
            <w:noWrap w:val="0"/>
            <w:vAlign w:val="center"/>
          </w:tcPr>
          <w:p w14:paraId="5998BA8A">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（8）商务条款响应程度（包括供货期、售后服务、技术培训等）</w:t>
            </w:r>
          </w:p>
        </w:tc>
        <w:tc>
          <w:tcPr>
            <w:tcW w:w="4173" w:type="dxa"/>
            <w:noWrap w:val="0"/>
            <w:vAlign w:val="center"/>
          </w:tcPr>
          <w:p w14:paraId="3D5CC60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spacing w:line="44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jc w:val="center"/>
        <w:outlineLvl w:val="1"/>
        <w:rPr>
          <w:rFonts w:hint="eastAsia" w:ascii="宋体" w:hAnsi="Times New Roman" w:eastAsia="宋体" w:cs="Times New Roman"/>
          <w:b/>
          <w:color w:val="auto"/>
          <w:sz w:val="28"/>
          <w:szCs w:val="28"/>
          <w:highlight w:val="none"/>
        </w:rPr>
      </w:pPr>
      <w:bookmarkStart w:id="59" w:name="_Toc362983803"/>
      <w:bookmarkStart w:id="60" w:name="_Toc58430319"/>
      <w:bookmarkStart w:id="61" w:name="_Toc449028879"/>
      <w:bookmarkStart w:id="62" w:name="_Toc26240"/>
      <w:r>
        <w:rPr>
          <w:rFonts w:hint="eastAsia" w:ascii="宋体" w:hAnsi="Times New Roman" w:eastAsia="宋体" w:cs="Times New Roman"/>
          <w:b/>
          <w:color w:val="auto"/>
          <w:sz w:val="28"/>
          <w:szCs w:val="28"/>
          <w:highlight w:val="none"/>
        </w:rPr>
        <w:t>三、投标文件的澄清和补正</w:t>
      </w:r>
      <w:bookmarkEnd w:id="59"/>
      <w:bookmarkEnd w:id="60"/>
      <w:bookmarkEnd w:id="61"/>
      <w:bookmarkEnd w:id="62"/>
    </w:p>
    <w:p w14:paraId="3228516B">
      <w:pPr>
        <w:spacing w:line="440" w:lineRule="exact"/>
        <w:ind w:firstLine="525" w:firstLineChars="250"/>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spacing w:line="440" w:lineRule="exact"/>
        <w:ind w:firstLine="525" w:firstLineChars="250"/>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spacing w:line="440" w:lineRule="exact"/>
        <w:ind w:firstLine="525" w:firstLineChars="250"/>
        <w:rPr>
          <w:rFonts w:hint="eastAsia" w:ascii="宋体"/>
          <w:color w:val="auto"/>
          <w:szCs w:val="21"/>
          <w:highlight w:val="none"/>
        </w:rPr>
      </w:pPr>
      <w:r>
        <w:rPr>
          <w:rFonts w:hint="eastAsia" w:ascii="宋体"/>
          <w:color w:val="auto"/>
          <w:szCs w:val="21"/>
          <w:highlight w:val="none"/>
        </w:rPr>
        <w:t>5.3评委会修正错误的原则：</w:t>
      </w:r>
    </w:p>
    <w:p w14:paraId="4125A76F">
      <w:pPr>
        <w:spacing w:line="440" w:lineRule="exact"/>
        <w:ind w:firstLine="525" w:firstLineChars="250"/>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spacing w:line="440" w:lineRule="exact"/>
        <w:ind w:firstLine="525" w:firstLineChars="250"/>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spacing w:line="440" w:lineRule="exact"/>
        <w:ind w:firstLine="403" w:firstLineChars="192"/>
        <w:jc w:val="left"/>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63" w:name="_Toc449028880"/>
      <w:bookmarkStart w:id="64" w:name="_Toc58430320"/>
    </w:p>
    <w:p w14:paraId="4E078817">
      <w:pPr>
        <w:jc w:val="center"/>
        <w:outlineLvl w:val="1"/>
        <w:rPr>
          <w:rFonts w:hint="eastAsia" w:ascii="宋体" w:hAnsi="Times New Roman" w:eastAsia="宋体" w:cs="Times New Roman"/>
          <w:b/>
          <w:color w:val="auto"/>
          <w:sz w:val="28"/>
          <w:szCs w:val="28"/>
          <w:highlight w:val="none"/>
        </w:rPr>
      </w:pPr>
      <w:bookmarkStart w:id="65" w:name="_Toc11194"/>
      <w:r>
        <w:rPr>
          <w:rFonts w:hint="eastAsia" w:ascii="宋体" w:hAnsi="Times New Roman" w:eastAsia="宋体" w:cs="Times New Roman"/>
          <w:b/>
          <w:color w:val="auto"/>
          <w:sz w:val="28"/>
          <w:szCs w:val="28"/>
          <w:highlight w:val="none"/>
        </w:rPr>
        <w:t>四、比较与评价</w:t>
      </w:r>
      <w:bookmarkEnd w:id="63"/>
      <w:bookmarkEnd w:id="64"/>
      <w:bookmarkEnd w:id="65"/>
    </w:p>
    <w:p w14:paraId="117055AF">
      <w:pPr>
        <w:spacing w:line="440" w:lineRule="exact"/>
        <w:ind w:right="36" w:rightChars="17" w:firstLine="417" w:firstLineChars="198"/>
        <w:jc w:val="left"/>
        <w:rPr>
          <w:rFonts w:ascii="宋体" w:hAnsi="宋体" w:cs="宋体"/>
          <w:b/>
          <w:color w:val="auto"/>
          <w:szCs w:val="21"/>
          <w:highlight w:val="none"/>
        </w:rPr>
      </w:pPr>
      <w:r>
        <w:rPr>
          <w:rFonts w:hint="eastAsia" w:ascii="宋体" w:hAnsi="宋体" w:eastAsia="宋体" w:cs="宋体"/>
          <w:b/>
          <w:color w:val="auto"/>
          <w:sz w:val="21"/>
          <w:szCs w:val="21"/>
          <w:highlight w:val="none"/>
        </w:rPr>
        <w:t xml:space="preserve"> </w:t>
      </w:r>
      <w:bookmarkStart w:id="66" w:name="_Toc449028881"/>
      <w:bookmarkStart w:id="67" w:name="_Toc362983805"/>
      <w:r>
        <w:rPr>
          <w:rFonts w:hint="eastAsia" w:ascii="宋体" w:hAnsi="宋体" w:cs="宋体"/>
          <w:b/>
          <w:color w:val="auto"/>
          <w:szCs w:val="21"/>
          <w:highlight w:val="none"/>
        </w:rPr>
        <w:t>6.详细评审即按招标文件中规定的评标方法和标准，评标委员会将对通过初审的投标文件，进行综合比较与评价。</w:t>
      </w:r>
    </w:p>
    <w:tbl>
      <w:tblPr>
        <w:tblStyle w:val="35"/>
        <w:tblW w:w="9887" w:type="dxa"/>
        <w:tblInd w:w="-2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78"/>
        <w:gridCol w:w="840"/>
        <w:gridCol w:w="7217"/>
      </w:tblGrid>
      <w:tr w14:paraId="11A4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2" w:type="dxa"/>
            <w:shd w:val="clear" w:color="auto" w:fill="auto"/>
            <w:noWrap/>
            <w:vAlign w:val="center"/>
          </w:tcPr>
          <w:p w14:paraId="2984BB7B">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bookmarkStart w:id="68" w:name="_Toc58430321"/>
            <w:r>
              <w:rPr>
                <w:rFonts w:hint="eastAsia" w:ascii="宋体" w:hAnsi="宋体" w:eastAsia="宋体" w:cs="宋体"/>
                <w:b/>
                <w:bCs/>
                <w:color w:val="auto"/>
                <w:sz w:val="21"/>
                <w:szCs w:val="21"/>
                <w:highlight w:val="none"/>
              </w:rPr>
              <w:t>序号</w:t>
            </w:r>
          </w:p>
        </w:tc>
        <w:tc>
          <w:tcPr>
            <w:tcW w:w="1078" w:type="dxa"/>
            <w:shd w:val="clear" w:color="auto" w:fill="auto"/>
            <w:noWrap/>
            <w:vAlign w:val="center"/>
          </w:tcPr>
          <w:p w14:paraId="6D65D728">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840" w:type="dxa"/>
            <w:shd w:val="clear" w:color="auto" w:fill="auto"/>
            <w:noWrap/>
            <w:vAlign w:val="center"/>
          </w:tcPr>
          <w:p w14:paraId="70D6E3F2">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分值</w:t>
            </w:r>
          </w:p>
        </w:tc>
        <w:tc>
          <w:tcPr>
            <w:tcW w:w="7217" w:type="dxa"/>
            <w:shd w:val="clear" w:color="auto" w:fill="auto"/>
            <w:noWrap/>
            <w:vAlign w:val="center"/>
          </w:tcPr>
          <w:p w14:paraId="08548695">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评审细则</w:t>
            </w:r>
          </w:p>
        </w:tc>
      </w:tr>
      <w:tr w14:paraId="3F33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52" w:type="dxa"/>
            <w:shd w:val="clear" w:color="auto" w:fill="auto"/>
            <w:noWrap/>
            <w:vAlign w:val="center"/>
          </w:tcPr>
          <w:p w14:paraId="3DDE33A7">
            <w:pPr>
              <w:keepNext w:val="0"/>
              <w:keepLines w:val="0"/>
              <w:pageBreakBefore w:val="0"/>
              <w:kinsoku/>
              <w:wordWrap/>
              <w:overflowPunct/>
              <w:topLinePunct w:val="0"/>
              <w:autoSpaceDE/>
              <w:autoSpaceDN/>
              <w:bidi w:val="0"/>
              <w:adjustRightInd/>
              <w:spacing w:line="440" w:lineRule="exact"/>
              <w:jc w:val="center"/>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w:t>
            </w:r>
          </w:p>
        </w:tc>
        <w:tc>
          <w:tcPr>
            <w:tcW w:w="1078" w:type="dxa"/>
            <w:shd w:val="clear" w:color="auto" w:fill="auto"/>
            <w:noWrap/>
            <w:vAlign w:val="center"/>
          </w:tcPr>
          <w:p w14:paraId="71981CC3">
            <w:pPr>
              <w:keepNext w:val="0"/>
              <w:keepLines w:val="0"/>
              <w:pageBreakBefore w:val="0"/>
              <w:kinsoku/>
              <w:wordWrap/>
              <w:overflowPunct/>
              <w:topLinePunct w:val="0"/>
              <w:autoSpaceDE/>
              <w:autoSpaceDN/>
              <w:bidi w:val="0"/>
              <w:adjustRightInd/>
              <w:spacing w:line="44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报价（费率）</w:t>
            </w:r>
          </w:p>
        </w:tc>
        <w:tc>
          <w:tcPr>
            <w:tcW w:w="840" w:type="dxa"/>
            <w:shd w:val="clear" w:color="auto" w:fill="auto"/>
            <w:noWrap/>
            <w:vAlign w:val="center"/>
          </w:tcPr>
          <w:p w14:paraId="1628F88E">
            <w:pPr>
              <w:keepNext w:val="0"/>
              <w:keepLines w:val="0"/>
              <w:pageBreakBefore w:val="0"/>
              <w:kinsoku/>
              <w:wordWrap/>
              <w:overflowPunct/>
              <w:topLinePunct w:val="0"/>
              <w:autoSpaceDE/>
              <w:autoSpaceDN/>
              <w:bidi w:val="0"/>
              <w:adjustRightInd/>
              <w:spacing w:line="44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100分</w:t>
            </w:r>
          </w:p>
        </w:tc>
        <w:tc>
          <w:tcPr>
            <w:tcW w:w="7217" w:type="dxa"/>
            <w:shd w:val="clear" w:color="auto" w:fill="auto"/>
            <w:noWrap/>
            <w:vAlign w:val="center"/>
          </w:tcPr>
          <w:p w14:paraId="0353E82E">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（1）招标人设置投标报价最高限价，各投标人有效报价不得高于最高限价，否则，其投标文件按无效标处理。 </w:t>
            </w:r>
          </w:p>
          <w:p w14:paraId="50CD5A79">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（2）评标基准值=所有有效投标人投标报价的算术平均值（小数点后保留两位小数，小数点后第三位四舍五入）。</w:t>
            </w:r>
          </w:p>
          <w:p w14:paraId="3948BF01">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（3）计算报价偏差率</w:t>
            </w:r>
          </w:p>
          <w:p w14:paraId="70CEDD9A">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①偏差率=|（投标报价-评标基准价）/评标基准价|×100%</w:t>
            </w:r>
          </w:p>
          <w:p w14:paraId="03271824">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（4）计算报价得分</w:t>
            </w:r>
          </w:p>
          <w:p w14:paraId="1D706DB5">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①投标报价等于评标基准价的得满分。</w:t>
            </w:r>
          </w:p>
          <w:p w14:paraId="20D43414">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②投标报价高于评标基准价的，投标报价得分=报价满分值-偏差率×100×1</w:t>
            </w:r>
          </w:p>
          <w:p w14:paraId="73DD0A1A">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③投标报价低于评标基准价的，投标报价得分=报价满分值-偏差率×100×0.5。</w:t>
            </w:r>
          </w:p>
          <w:p w14:paraId="30D5B69F">
            <w:pPr>
              <w:keepNext w:val="0"/>
              <w:keepLines w:val="0"/>
              <w:pageBreakBefore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注：计算过程中，评标基准值、偏差率、报价得分均保留两位小数，小数点后第三位四舍五入。</w:t>
            </w:r>
          </w:p>
          <w:p w14:paraId="15B7A86C">
            <w:pPr>
              <w:keepNext w:val="0"/>
              <w:keepLines w:val="0"/>
              <w:pageBreakBefore w:val="0"/>
              <w:kinsoku/>
              <w:wordWrap/>
              <w:overflowPunct/>
              <w:topLinePunct w:val="0"/>
              <w:autoSpaceDE/>
              <w:autoSpaceDN/>
              <w:bidi w:val="0"/>
              <w:adjustRightInd/>
              <w:spacing w:line="440" w:lineRule="exact"/>
              <w:jc w:val="lef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（5）本项分值由评标委员会计算。</w:t>
            </w:r>
          </w:p>
        </w:tc>
      </w:tr>
    </w:tbl>
    <w:p w14:paraId="3800892F">
      <w:pPr>
        <w:jc w:val="center"/>
        <w:outlineLvl w:val="1"/>
        <w:rPr>
          <w:rFonts w:hint="eastAsia" w:ascii="宋体" w:hAnsi="Times New Roman" w:eastAsia="宋体" w:cs="Times New Roman"/>
          <w:b/>
          <w:color w:val="auto"/>
          <w:sz w:val="28"/>
          <w:szCs w:val="28"/>
          <w:highlight w:val="none"/>
        </w:rPr>
      </w:pPr>
      <w:bookmarkStart w:id="69" w:name="_Toc663"/>
      <w:r>
        <w:rPr>
          <w:rFonts w:hint="eastAsia" w:ascii="宋体" w:hAnsi="Times New Roman" w:eastAsia="宋体" w:cs="Times New Roman"/>
          <w:b/>
          <w:color w:val="auto"/>
          <w:sz w:val="28"/>
          <w:szCs w:val="28"/>
          <w:highlight w:val="none"/>
        </w:rPr>
        <w:t>五、推荐中标候选人</w:t>
      </w:r>
      <w:bookmarkEnd w:id="66"/>
      <w:bookmarkEnd w:id="67"/>
      <w:bookmarkEnd w:id="68"/>
      <w:bookmarkEnd w:id="69"/>
    </w:p>
    <w:bookmarkEnd w:id="53"/>
    <w:p w14:paraId="2F62E0BE">
      <w:pPr>
        <w:snapToGrid w:val="0"/>
        <w:spacing w:line="44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7.评标委员会按照本章规定的评分标准进行打分，并按总得分由高到低顺序推荐</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名中标候选人，并标明排序，但投标报价低于其成本的除外。得分最高的为第一中标候选人，第二高的为第二中标候选人。如总得分相等，以投标报价低的优先，投标报价仍相等，由评标委员会或招标人随机抽取确定排名，不得并列。对排序前</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名的投标人投标文件进行评审并确定中标候选人。若排序前</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名的投标人投标文件评审不通过，则按得分排序递补至</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xml:space="preserve">家投标人进行投标文件评审。 </w:t>
      </w:r>
    </w:p>
    <w:p w14:paraId="252BC8E5">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cs="宋体"/>
          <w:color w:val="auto"/>
          <w:szCs w:val="21"/>
          <w:highlight w:val="none"/>
        </w:rPr>
        <w:t>7.1</w:t>
      </w:r>
      <w:r>
        <w:rPr>
          <w:rFonts w:hint="eastAsia" w:ascii="宋体" w:hAnsi="宋体" w:eastAsia="宋体" w:cs="宋体"/>
          <w:color w:val="auto"/>
          <w:szCs w:val="21"/>
          <w:highlight w:val="none"/>
        </w:rPr>
        <w:t>招标人确定排名第一的中标候选人为中标人。排名第一的中标候选人放弃中标、因不可抗力不能履行合同、不按照招标文件要求提交履约保证金，或者被查实存在影响中标结果的违法行为等情形，不符合中标条件的，标人可以按照评标委员会提出的中标候选人名单排序依次确定其他中标候选人为中标人，也可以重新招标。</w:t>
      </w:r>
    </w:p>
    <w:p w14:paraId="6DFDF3F9">
      <w:pPr>
        <w:snapToGrid w:val="0"/>
        <w:spacing w:line="440" w:lineRule="exact"/>
        <w:ind w:left="0" w:leftChars="0"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70" w:name="_Hlk61815781"/>
      <w:r>
        <w:rPr>
          <w:rFonts w:hint="eastAsia" w:ascii="宋体" w:hAnsi="宋体" w:cs="宋体"/>
          <w:b/>
          <w:color w:val="auto"/>
          <w:szCs w:val="21"/>
          <w:highlight w:val="none"/>
        </w:rPr>
        <w:t>无效投标条款</w:t>
      </w:r>
    </w:p>
    <w:p w14:paraId="0617F08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8.1投标文件有下列情形之一的,其投标文件拒收:</w:t>
      </w:r>
    </w:p>
    <w:p w14:paraId="0B0D8921">
      <w:pPr>
        <w:snapToGrid w:val="0"/>
        <w:spacing w:line="44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（1）未在开标截止时间前通过网上招标投标系统递交有效电子投标文件的，开标系统不予接收，投标将被拒绝。</w:t>
      </w:r>
    </w:p>
    <w:p w14:paraId="4639F7C3">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所有投标人应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172C2E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8.2投标人有下列情形之一的,资格审查后其投标作无效投标处理：</w:t>
      </w:r>
    </w:p>
    <w:p w14:paraId="0479EB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(1)投标人为本项目提供招标代理服务的；</w:t>
      </w:r>
    </w:p>
    <w:p w14:paraId="2C606482">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(2)投标人与在本项目代理机构存在相互任职或工作的；</w:t>
      </w:r>
    </w:p>
    <w:p w14:paraId="627916A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评标专家无法查看并检验投标文件中相关资料的；</w:t>
      </w:r>
    </w:p>
    <w:p w14:paraId="009FB3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)被暂停营业的；</w:t>
      </w:r>
    </w:p>
    <w:p w14:paraId="60A7265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)被暂停或取消投标资格的；</w:t>
      </w:r>
    </w:p>
    <w:p w14:paraId="583BC7F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)投标人单位负责人为同一人或者存在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5E43173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)投标人基本资格条件和特定资格条件中有一项及以上不符合要求的；</w:t>
      </w:r>
    </w:p>
    <w:p w14:paraId="701EB54F">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)其它情形，经评标委员会委提出按无效投标处理的；</w:t>
      </w:r>
    </w:p>
    <w:p w14:paraId="429CC881">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)招标文件规定的其它无效投标情形。</w:t>
      </w:r>
    </w:p>
    <w:p w14:paraId="70C213B1">
      <w:pPr>
        <w:snapToGrid w:val="0"/>
        <w:spacing w:line="440" w:lineRule="exact"/>
        <w:ind w:left="0" w:leftChars="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8.3 投标人有下列情形之一的,符合性审查后其投标按无效投标处理：</w:t>
      </w:r>
    </w:p>
    <w:p w14:paraId="31F25F0E">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4E51CC8F">
      <w:pPr>
        <w:snapToGrid w:val="0"/>
        <w:spacing w:line="440" w:lineRule="exact"/>
        <w:ind w:left="0" w:leftChars="0" w:firstLine="420" w:firstLineChars="200"/>
        <w:jc w:val="left"/>
        <w:rPr>
          <w:rFonts w:hint="eastAsia" w:ascii="宋体"/>
          <w:color w:val="auto"/>
          <w:szCs w:val="21"/>
          <w:highlight w:val="none"/>
        </w:rPr>
      </w:pPr>
      <w:r>
        <w:rPr>
          <w:rFonts w:hint="eastAsia" w:ascii="宋体" w:hAnsi="宋体" w:cs="宋体"/>
          <w:color w:val="auto"/>
          <w:szCs w:val="21"/>
          <w:highlight w:val="none"/>
        </w:rPr>
        <w:t>(2)</w:t>
      </w:r>
      <w:r>
        <w:rPr>
          <w:rFonts w:hint="eastAsia" w:ascii="宋体"/>
          <w:color w:val="auto"/>
          <w:szCs w:val="21"/>
          <w:highlight w:val="none"/>
        </w:rPr>
        <w:t>未按规定的格式填写导致实质性内容不全以及实质上不响应，或者关键字迹模糊、无法辨认；</w:t>
      </w:r>
    </w:p>
    <w:p w14:paraId="308832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(3)同一投标人提交两个以上不同的投标文件或者投标报价，但招标文件规定提交备选方案的除外；</w:t>
      </w:r>
    </w:p>
    <w:p w14:paraId="1E77785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(4)投标文件没有对招标文件的实质性要求和条件作出响应;</w:t>
      </w:r>
    </w:p>
    <w:p w14:paraId="0120424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(5)投标报价超出规定的投标限价或公布的采购预算的；</w:t>
      </w:r>
    </w:p>
    <w:p w14:paraId="648C6F3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(6)不按评标委员会要求澄清、说明或补正的，或者评标委员会根据招标文件的规定对</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文件的计算错误进行修正后，投标人不接受修正的投标报价的。</w:t>
      </w:r>
    </w:p>
    <w:p w14:paraId="2155D06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(7)其它情形，经评标委员会提出按无效投标处理的；</w:t>
      </w:r>
    </w:p>
    <w:p w14:paraId="44942F7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(8)投标文件含有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65CF8AD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(9)招标文件规定的其它无效投标情形。</w:t>
      </w:r>
    </w:p>
    <w:p w14:paraId="489D1E8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1C653D4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1B688BB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15DBC9B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(3)投标文件含有违反国家法律、法规的内容，或附有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0295C3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)报价明显低于其他投标人，且不能证明报价合理性的投标无效；</w:t>
      </w:r>
    </w:p>
    <w:p w14:paraId="3D266858">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)拒不确认评标委员会评审修正的投标无效；</w:t>
      </w:r>
    </w:p>
    <w:p w14:paraId="0CEC172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)其它情形，经评标委员会提出按无效投标处理的；</w:t>
      </w:r>
    </w:p>
    <w:p w14:paraId="0D63D24D">
      <w:pPr>
        <w:snapToGrid w:val="0"/>
        <w:spacing w:line="440" w:lineRule="exact"/>
        <w:ind w:left="0" w:leftChars="0" w:firstLine="420" w:firstLineChars="200"/>
        <w:jc w:val="left"/>
        <w:rPr>
          <w:rFonts w:hint="eastAsia" w:ascii="仿宋" w:hAnsi="仿宋" w:eastAsia="仿宋" w:cs="仿宋"/>
          <w:b/>
          <w:bCs/>
          <w:i w:val="0"/>
          <w:iCs w:val="0"/>
          <w:color w:val="auto"/>
          <w:kern w:val="0"/>
          <w:sz w:val="22"/>
          <w:szCs w:val="22"/>
          <w:highlight w:val="none"/>
          <w:u w:val="none"/>
          <w:lang w:val="en-US" w:eastAsia="zh-CN" w:bidi="ar"/>
        </w:rPr>
        <w:sectPr>
          <w:footerReference r:id="rId8" w:type="default"/>
          <w:pgSz w:w="11906" w:h="16838"/>
          <w:pgMar w:top="1440" w:right="1486" w:bottom="1440" w:left="1800" w:header="851" w:footer="992" w:gutter="0"/>
          <w:pgNumType w:fmt="decimal" w:start="3"/>
          <w:cols w:space="720" w:num="1"/>
          <w:docGrid w:type="lines" w:linePitch="312" w:charSpace="0"/>
        </w:sect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)招标文件规定的其它无效投标情形</w:t>
      </w:r>
      <w:bookmarkEnd w:id="54"/>
      <w:bookmarkEnd w:id="70"/>
      <w:bookmarkStart w:id="71" w:name="_Toc58430329"/>
      <w:bookmarkStart w:id="72" w:name="_Toc449028945"/>
    </w:p>
    <w:p w14:paraId="5EAC221E">
      <w:pPr>
        <w:numPr>
          <w:ilvl w:val="0"/>
          <w:numId w:val="0"/>
        </w:numPr>
        <w:spacing w:before="156" w:beforeLines="50" w:after="156" w:afterLines="50"/>
        <w:jc w:val="center"/>
        <w:outlineLvl w:val="0"/>
        <w:rPr>
          <w:rFonts w:hint="eastAsia" w:ascii="宋体"/>
          <w:b/>
          <w:color w:val="auto"/>
          <w:sz w:val="32"/>
          <w:szCs w:val="32"/>
          <w:highlight w:val="none"/>
          <w:lang w:val="en-US" w:eastAsia="zh-CN"/>
        </w:rPr>
      </w:pPr>
      <w:bookmarkStart w:id="73" w:name="_Toc8910"/>
      <w:r>
        <w:rPr>
          <w:rFonts w:hint="eastAsia" w:ascii="宋体"/>
          <w:b/>
          <w:color w:val="auto"/>
          <w:sz w:val="32"/>
          <w:szCs w:val="32"/>
          <w:highlight w:val="none"/>
          <w:lang w:val="en-US" w:eastAsia="zh-CN"/>
        </w:rPr>
        <w:t>第四章  合同格式（参考）</w:t>
      </w:r>
      <w:bookmarkEnd w:id="73"/>
    </w:p>
    <w:p w14:paraId="71B9B9B1">
      <w:pPr>
        <w:widowControl/>
        <w:spacing w:line="400" w:lineRule="exact"/>
        <w:ind w:left="360"/>
        <w:jc w:val="center"/>
        <w:textAlignment w:val="baseline"/>
        <w:outlineLvl w:val="1"/>
        <w:rPr>
          <w:rFonts w:hint="eastAsia" w:ascii="宋体"/>
          <w:b/>
          <w:color w:val="auto"/>
          <w:sz w:val="30"/>
          <w:szCs w:val="30"/>
          <w:highlight w:val="none"/>
        </w:rPr>
      </w:pPr>
    </w:p>
    <w:p w14:paraId="16BA1E64">
      <w:pPr>
        <w:widowControl/>
        <w:spacing w:line="400" w:lineRule="exact"/>
        <w:ind w:left="360"/>
        <w:jc w:val="center"/>
        <w:textAlignment w:val="baseline"/>
        <w:outlineLvl w:val="1"/>
        <w:rPr>
          <w:rFonts w:hint="eastAsia" w:ascii="宋体"/>
          <w:b/>
          <w:color w:val="auto"/>
          <w:sz w:val="30"/>
          <w:szCs w:val="30"/>
          <w:highlight w:val="none"/>
        </w:rPr>
      </w:pPr>
    </w:p>
    <w:p w14:paraId="4B04CB64">
      <w:pPr>
        <w:spacing w:line="360" w:lineRule="auto"/>
        <w:jc w:val="left"/>
        <w:rPr>
          <w:rFonts w:hint="eastAsia" w:ascii="宋体" w:hAnsi="宋体" w:eastAsia="宋体" w:cs="宋体"/>
          <w:bCs/>
          <w:color w:val="auto"/>
          <w:sz w:val="28"/>
          <w:szCs w:val="28"/>
          <w:highlight w:val="none"/>
        </w:rPr>
      </w:pPr>
      <w:bookmarkStart w:id="74" w:name="_Toc331685784"/>
      <w:r>
        <w:rPr>
          <w:rFonts w:hint="eastAsia" w:ascii="宋体" w:hAnsi="宋体" w:eastAsia="宋体" w:cs="宋体"/>
          <w:bCs/>
          <w:color w:val="auto"/>
          <w:sz w:val="28"/>
          <w:szCs w:val="28"/>
          <w:highlight w:val="none"/>
        </w:rPr>
        <w:t>（</w:t>
      </w:r>
      <w:r>
        <w:rPr>
          <w:rFonts w:hint="eastAsia" w:ascii="宋体" w:hAnsi="宋体" w:eastAsia="宋体" w:cs="宋体"/>
          <w:color w:val="auto"/>
          <w:sz w:val="28"/>
          <w:szCs w:val="28"/>
          <w:highlight w:val="none"/>
        </w:rPr>
        <w:t>ＷＦ－2014－05</w:t>
      </w:r>
      <w:r>
        <w:rPr>
          <w:rFonts w:hint="eastAsia" w:ascii="宋体" w:hAnsi="宋体" w:eastAsia="宋体" w:cs="宋体"/>
          <w:bCs/>
          <w:color w:val="auto"/>
          <w:sz w:val="28"/>
          <w:szCs w:val="28"/>
          <w:highlight w:val="none"/>
        </w:rPr>
        <w:t>）</w:t>
      </w:r>
    </w:p>
    <w:p w14:paraId="25ED3895">
      <w:pPr>
        <w:spacing w:line="360" w:lineRule="auto"/>
        <w:jc w:val="both"/>
        <w:rPr>
          <w:rFonts w:hint="eastAsia" w:ascii="宋体" w:hAnsi="宋体" w:eastAsia="宋体" w:cs="宋体"/>
          <w:b/>
          <w:color w:val="auto"/>
          <w:sz w:val="28"/>
          <w:szCs w:val="28"/>
          <w:highlight w:val="none"/>
        </w:rPr>
      </w:pPr>
    </w:p>
    <w:p w14:paraId="0886FDC8">
      <w:pPr>
        <w:pStyle w:val="34"/>
        <w:rPr>
          <w:rFonts w:hint="eastAsia"/>
          <w:color w:val="auto"/>
          <w:highlight w:val="none"/>
        </w:rPr>
      </w:pPr>
    </w:p>
    <w:p w14:paraId="0D179295">
      <w:pPr>
        <w:spacing w:line="360" w:lineRule="auto"/>
        <w:jc w:val="center"/>
        <w:rPr>
          <w:rFonts w:hint="eastAsia" w:ascii="宋体" w:hAnsi="宋体" w:eastAsia="宋体" w:cs="宋体"/>
          <w:b/>
          <w:color w:val="auto"/>
          <w:sz w:val="28"/>
          <w:szCs w:val="28"/>
          <w:highlight w:val="none"/>
        </w:rPr>
      </w:pPr>
    </w:p>
    <w:p w14:paraId="1CE59DB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w w:val="90"/>
          <w:sz w:val="40"/>
          <w:szCs w:val="40"/>
          <w:highlight w:val="none"/>
        </w:rPr>
      </w:pPr>
      <w:r>
        <w:rPr>
          <w:rFonts w:hint="eastAsia" w:ascii="宋体" w:hAnsi="宋体" w:eastAsia="宋体" w:cs="宋体"/>
          <w:b/>
          <w:color w:val="auto"/>
          <w:w w:val="90"/>
          <w:sz w:val="40"/>
          <w:szCs w:val="40"/>
          <w:highlight w:val="none"/>
        </w:rPr>
        <w:t>安徽省建设工程造价咨询合同</w:t>
      </w:r>
    </w:p>
    <w:p w14:paraId="70105E1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bCs/>
          <w:color w:val="auto"/>
          <w:sz w:val="40"/>
          <w:szCs w:val="40"/>
          <w:highlight w:val="none"/>
        </w:rPr>
      </w:pPr>
      <w:r>
        <w:rPr>
          <w:rFonts w:hint="eastAsia" w:ascii="宋体" w:hAnsi="宋体" w:eastAsia="宋体" w:cs="宋体"/>
          <w:b/>
          <w:bCs/>
          <w:color w:val="auto"/>
          <w:sz w:val="40"/>
          <w:szCs w:val="40"/>
          <w:highlight w:val="none"/>
        </w:rPr>
        <w:t>（示范文本）</w:t>
      </w:r>
    </w:p>
    <w:p w14:paraId="177099DE">
      <w:pPr>
        <w:spacing w:line="360" w:lineRule="auto"/>
        <w:jc w:val="center"/>
        <w:rPr>
          <w:rFonts w:hint="eastAsia" w:ascii="宋体" w:hAnsi="宋体" w:eastAsia="宋体" w:cs="宋体"/>
          <w:b/>
          <w:color w:val="auto"/>
          <w:sz w:val="28"/>
          <w:szCs w:val="28"/>
          <w:highlight w:val="none"/>
        </w:rPr>
      </w:pPr>
    </w:p>
    <w:p w14:paraId="1969A808">
      <w:pPr>
        <w:spacing w:line="360" w:lineRule="auto"/>
        <w:rPr>
          <w:rFonts w:hint="eastAsia" w:ascii="宋体" w:hAnsi="宋体" w:eastAsia="宋体" w:cs="宋体"/>
          <w:b/>
          <w:color w:val="auto"/>
          <w:sz w:val="28"/>
          <w:szCs w:val="28"/>
          <w:highlight w:val="none"/>
        </w:rPr>
      </w:pPr>
    </w:p>
    <w:p w14:paraId="037CA51E">
      <w:pPr>
        <w:pStyle w:val="34"/>
        <w:ind w:left="0" w:leftChars="0" w:firstLine="0" w:firstLineChars="0"/>
        <w:rPr>
          <w:rFonts w:hint="eastAsia"/>
          <w:color w:val="auto"/>
          <w:highlight w:val="none"/>
        </w:rPr>
      </w:pPr>
    </w:p>
    <w:p w14:paraId="2851A144">
      <w:pPr>
        <w:spacing w:line="360" w:lineRule="auto"/>
        <w:jc w:val="center"/>
        <w:rPr>
          <w:rFonts w:hint="eastAsia" w:ascii="宋体" w:hAnsi="宋体" w:eastAsia="宋体" w:cs="宋体"/>
          <w:b/>
          <w:color w:val="auto"/>
          <w:sz w:val="28"/>
          <w:szCs w:val="28"/>
          <w:highlight w:val="none"/>
        </w:rPr>
      </w:pPr>
    </w:p>
    <w:p w14:paraId="0365B2A4">
      <w:pPr>
        <w:pStyle w:val="34"/>
        <w:ind w:left="0" w:leftChars="0" w:firstLine="0" w:firstLineChars="0"/>
        <w:rPr>
          <w:rFonts w:hint="eastAsia"/>
          <w:color w:val="auto"/>
          <w:highlight w:val="none"/>
        </w:rPr>
      </w:pPr>
    </w:p>
    <w:p w14:paraId="48A1104E">
      <w:pPr>
        <w:pStyle w:val="34"/>
        <w:rPr>
          <w:rFonts w:hint="eastAsia"/>
          <w:color w:val="auto"/>
          <w:highlight w:val="none"/>
        </w:rPr>
      </w:pPr>
    </w:p>
    <w:p w14:paraId="2C4EE230">
      <w:pPr>
        <w:keepNext w:val="0"/>
        <w:keepLines w:val="0"/>
        <w:pageBreakBefore w:val="0"/>
        <w:widowControl w:val="0"/>
        <w:kinsoku/>
        <w:wordWrap/>
        <w:overflowPunct/>
        <w:topLinePunct w:val="0"/>
        <w:autoSpaceDE/>
        <w:autoSpaceDN/>
        <w:bidi w:val="0"/>
        <w:adjustRightInd/>
        <w:snapToGrid/>
        <w:spacing w:line="600" w:lineRule="exact"/>
        <w:ind w:firstLine="1389" w:firstLineChars="494"/>
        <w:jc w:val="left"/>
        <w:textAlignment w:val="auto"/>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合同编号：</w:t>
      </w:r>
    </w:p>
    <w:p w14:paraId="3C4C32C4">
      <w:pPr>
        <w:keepNext w:val="0"/>
        <w:keepLines w:val="0"/>
        <w:pageBreakBefore w:val="0"/>
        <w:widowControl w:val="0"/>
        <w:kinsoku/>
        <w:wordWrap/>
        <w:overflowPunct/>
        <w:topLinePunct w:val="0"/>
        <w:autoSpaceDE/>
        <w:autoSpaceDN/>
        <w:bidi w:val="0"/>
        <w:adjustRightInd/>
        <w:snapToGrid/>
        <w:spacing w:line="600" w:lineRule="exact"/>
        <w:ind w:firstLine="1389" w:firstLineChars="494"/>
        <w:jc w:val="left"/>
        <w:textAlignment w:val="auto"/>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项目名称：</w:t>
      </w:r>
      <w:r>
        <w:rPr>
          <w:rFonts w:hint="eastAsia" w:ascii="宋体" w:hAnsi="宋体" w:cs="宋体"/>
          <w:b/>
          <w:color w:val="auto"/>
          <w:sz w:val="28"/>
          <w:szCs w:val="28"/>
          <w:highlight w:val="none"/>
          <w:u w:val="single"/>
          <w:lang w:eastAsia="zh-CN"/>
        </w:rPr>
        <w:t>北门游客中心“六一书苑”场馆提升项目工程量清单及最高投标限价编制</w:t>
      </w:r>
      <w:r>
        <w:rPr>
          <w:rFonts w:hint="eastAsia" w:ascii="宋体" w:hAnsi="宋体" w:eastAsia="宋体" w:cs="宋体"/>
          <w:b/>
          <w:color w:val="auto"/>
          <w:kern w:val="2"/>
          <w:sz w:val="28"/>
          <w:szCs w:val="28"/>
          <w:highlight w:val="none"/>
          <w:u w:val="single"/>
          <w:lang w:val="en-US" w:eastAsia="zh-CN" w:bidi="ar-SA"/>
        </w:rPr>
        <w:t xml:space="preserve"> </w:t>
      </w:r>
      <w:r>
        <w:rPr>
          <w:rFonts w:hint="eastAsia" w:ascii="宋体" w:hAnsi="宋体" w:cs="宋体"/>
          <w:b/>
          <w:color w:val="auto"/>
          <w:sz w:val="28"/>
          <w:szCs w:val="28"/>
          <w:highlight w:val="none"/>
          <w:u w:val="single"/>
          <w:lang w:val="en-US" w:eastAsia="zh-CN"/>
        </w:rPr>
        <w:t xml:space="preserve">    </w:t>
      </w:r>
    </w:p>
    <w:p w14:paraId="58350A6E">
      <w:pPr>
        <w:pStyle w:val="18"/>
        <w:keepNext w:val="0"/>
        <w:keepLines w:val="0"/>
        <w:pageBreakBefore w:val="0"/>
        <w:widowControl w:val="0"/>
        <w:kinsoku/>
        <w:wordWrap/>
        <w:overflowPunct/>
        <w:topLinePunct w:val="0"/>
        <w:autoSpaceDE/>
        <w:autoSpaceDN/>
        <w:bidi w:val="0"/>
        <w:adjustRightInd/>
        <w:snapToGrid/>
        <w:spacing w:line="600" w:lineRule="exact"/>
        <w:ind w:left="0" w:leftChars="0" w:firstLine="1389" w:firstLineChars="494"/>
        <w:jc w:val="left"/>
        <w:textAlignment w:val="auto"/>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签订地点：</w:t>
      </w:r>
      <w:r>
        <w:rPr>
          <w:rFonts w:hint="eastAsia" w:ascii="宋体" w:hAnsi="宋体" w:eastAsia="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u w:val="single"/>
        </w:rPr>
        <w:t xml:space="preserve"> </w:t>
      </w:r>
    </w:p>
    <w:p w14:paraId="3AAD869E">
      <w:pPr>
        <w:pStyle w:val="18"/>
        <w:keepNext w:val="0"/>
        <w:keepLines w:val="0"/>
        <w:pageBreakBefore w:val="0"/>
        <w:widowControl w:val="0"/>
        <w:kinsoku/>
        <w:wordWrap/>
        <w:overflowPunct/>
        <w:topLinePunct w:val="0"/>
        <w:autoSpaceDE/>
        <w:autoSpaceDN/>
        <w:bidi w:val="0"/>
        <w:adjustRightInd/>
        <w:snapToGrid/>
        <w:spacing w:line="600" w:lineRule="exact"/>
        <w:ind w:left="0" w:leftChars="0" w:firstLine="1389" w:firstLineChars="494"/>
        <w:jc w:val="left"/>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签订时间：</w:t>
      </w:r>
      <w:r>
        <w:rPr>
          <w:rFonts w:hint="eastAsia" w:ascii="宋体" w:hAnsi="宋体" w:eastAsia="宋体" w:cs="宋体"/>
          <w:b/>
          <w:color w:val="auto"/>
          <w:sz w:val="28"/>
          <w:szCs w:val="28"/>
          <w:highlight w:val="none"/>
          <w:u w:val="single"/>
        </w:rPr>
        <w:t xml:space="preserve">       </w:t>
      </w:r>
      <w:r>
        <w:rPr>
          <w:rFonts w:hint="eastAsia" w:ascii="宋体" w:hAnsi="宋体" w:eastAsia="宋体" w:cs="宋体"/>
          <w:b/>
          <w:color w:val="auto"/>
          <w:sz w:val="28"/>
          <w:szCs w:val="28"/>
          <w:highlight w:val="none"/>
        </w:rPr>
        <w:t>年</w:t>
      </w:r>
      <w:r>
        <w:rPr>
          <w:rFonts w:hint="eastAsia" w:ascii="宋体" w:hAnsi="宋体" w:eastAsia="宋体" w:cs="宋体"/>
          <w:b/>
          <w:color w:val="auto"/>
          <w:sz w:val="28"/>
          <w:szCs w:val="28"/>
          <w:highlight w:val="none"/>
          <w:u w:val="single"/>
        </w:rPr>
        <w:t xml:space="preserve">      </w:t>
      </w:r>
      <w:r>
        <w:rPr>
          <w:rFonts w:hint="eastAsia" w:ascii="宋体" w:hAnsi="宋体" w:eastAsia="宋体" w:cs="宋体"/>
          <w:b/>
          <w:color w:val="auto"/>
          <w:sz w:val="28"/>
          <w:szCs w:val="28"/>
          <w:highlight w:val="none"/>
        </w:rPr>
        <w:t>月</w:t>
      </w:r>
      <w:r>
        <w:rPr>
          <w:rFonts w:hint="eastAsia" w:ascii="宋体" w:hAnsi="宋体" w:eastAsia="宋体" w:cs="宋体"/>
          <w:b/>
          <w:color w:val="auto"/>
          <w:sz w:val="28"/>
          <w:szCs w:val="28"/>
          <w:highlight w:val="none"/>
          <w:u w:val="single"/>
        </w:rPr>
        <w:t xml:space="preserve">      </w:t>
      </w:r>
      <w:r>
        <w:rPr>
          <w:rFonts w:hint="eastAsia" w:ascii="宋体" w:hAnsi="宋体" w:eastAsia="宋体" w:cs="宋体"/>
          <w:b/>
          <w:color w:val="auto"/>
          <w:sz w:val="28"/>
          <w:szCs w:val="28"/>
          <w:highlight w:val="none"/>
        </w:rPr>
        <w:t>日</w:t>
      </w:r>
    </w:p>
    <w:p w14:paraId="5060A073">
      <w:pPr>
        <w:widowControl/>
        <w:spacing w:beforeAutospacing="1" w:afterAutospacing="1" w:line="360" w:lineRule="auto"/>
        <w:jc w:val="left"/>
        <w:rPr>
          <w:rFonts w:hint="eastAsia" w:ascii="宋体" w:hAnsi="宋体" w:eastAsia="宋体" w:cs="宋体"/>
          <w:color w:val="auto"/>
          <w:spacing w:val="20"/>
          <w:kern w:val="0"/>
          <w:sz w:val="28"/>
          <w:szCs w:val="28"/>
          <w:highlight w:val="none"/>
        </w:rPr>
        <w:sectPr>
          <w:footerReference r:id="rId9" w:type="default"/>
          <w:pgSz w:w="11906" w:h="16838"/>
          <w:pgMar w:top="1418" w:right="1106" w:bottom="1418" w:left="1418" w:header="851" w:footer="907" w:gutter="0"/>
          <w:pgNumType w:fmt="decimal"/>
          <w:cols w:space="720" w:num="1"/>
          <w:docGrid w:type="lines" w:linePitch="312" w:charSpace="0"/>
        </w:sectPr>
      </w:pPr>
    </w:p>
    <w:p w14:paraId="6146B7B8">
      <w:pPr>
        <w:pStyle w:val="2"/>
        <w:keepNext/>
        <w:keepLines/>
        <w:pageBreakBefore w:val="0"/>
        <w:widowControl w:val="0"/>
        <w:kinsoku/>
        <w:wordWrap/>
        <w:overflowPunct/>
        <w:topLinePunct w:val="0"/>
        <w:autoSpaceDE/>
        <w:autoSpaceDN/>
        <w:bidi w:val="0"/>
        <w:adjustRightInd/>
        <w:snapToGrid/>
        <w:spacing w:before="160" w:beforeLines="50" w:after="160" w:afterLines="50" w:line="440" w:lineRule="exact"/>
        <w:jc w:val="center"/>
        <w:textAlignment w:val="auto"/>
        <w:rPr>
          <w:rFonts w:hint="eastAsia" w:ascii="宋体" w:hAnsi="宋体" w:eastAsia="宋体" w:cs="宋体"/>
          <w:color w:val="auto"/>
          <w:sz w:val="24"/>
          <w:szCs w:val="24"/>
          <w:highlight w:val="none"/>
        </w:rPr>
      </w:pPr>
      <w:bookmarkStart w:id="75" w:name="_Toc19057"/>
      <w:bookmarkStart w:id="76" w:name="_Toc407261892"/>
      <w:r>
        <w:rPr>
          <w:rFonts w:hint="eastAsia" w:ascii="宋体" w:hAnsi="宋体" w:eastAsia="宋体" w:cs="宋体"/>
          <w:color w:val="auto"/>
          <w:sz w:val="24"/>
          <w:szCs w:val="24"/>
          <w:highlight w:val="none"/>
        </w:rPr>
        <w:t>第一部分合同协议书</w:t>
      </w:r>
      <w:bookmarkEnd w:id="75"/>
      <w:bookmarkEnd w:id="76"/>
    </w:p>
    <w:p w14:paraId="355AF1FF">
      <w:pPr>
        <w:keepNext w:val="0"/>
        <w:keepLines w:val="0"/>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委托人（全称）：</w:t>
      </w:r>
      <w:r>
        <w:rPr>
          <w:rFonts w:hint="eastAsia" w:ascii="宋体" w:hAnsi="宋体" w:cs="宋体"/>
          <w:b/>
          <w:color w:val="auto"/>
          <w:sz w:val="21"/>
          <w:szCs w:val="21"/>
          <w:highlight w:val="none"/>
          <w:u w:val="single"/>
          <w:lang w:val="en-US" w:eastAsia="zh-CN"/>
        </w:rPr>
        <w:t xml:space="preserve">安徽省琅琊山旅游发展有限公司  </w:t>
      </w:r>
      <w:r>
        <w:rPr>
          <w:rFonts w:hint="eastAsia" w:ascii="宋体" w:hAnsi="宋体" w:eastAsia="宋体" w:cs="宋体"/>
          <w:b/>
          <w:color w:val="auto"/>
          <w:sz w:val="21"/>
          <w:szCs w:val="21"/>
          <w:highlight w:val="none"/>
          <w:u w:val="single"/>
          <w:lang w:eastAsia="zh-CN"/>
        </w:rPr>
        <w:t xml:space="preserve"> </w:t>
      </w:r>
    </w:p>
    <w:p w14:paraId="4329DE80">
      <w:pPr>
        <w:keepNext w:val="0"/>
        <w:keepLines w:val="0"/>
        <w:pageBreakBefore w:val="0"/>
        <w:widowControl w:val="0"/>
        <w:kinsoku/>
        <w:wordWrap/>
        <w:overflowPunct/>
        <w:topLinePunct w:val="0"/>
        <w:bidi w:val="0"/>
        <w:adjustRightInd w:val="0"/>
        <w:snapToGrid w:val="0"/>
        <w:spacing w:line="44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咨询人（全称）：</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cs="宋体"/>
          <w:b/>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u w:val="single"/>
        </w:rPr>
        <w:t></w:t>
      </w:r>
    </w:p>
    <w:p w14:paraId="19A0686D">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根据《中华人民共和国</w:t>
      </w:r>
      <w:r>
        <w:rPr>
          <w:rFonts w:hint="eastAsia" w:ascii="宋体" w:hAnsi="宋体" w:cs="宋体"/>
          <w:color w:val="auto"/>
          <w:sz w:val="21"/>
          <w:szCs w:val="21"/>
          <w:highlight w:val="none"/>
          <w:lang w:val="en-US" w:eastAsia="zh-CN"/>
        </w:rPr>
        <w:t>民法典</w:t>
      </w:r>
      <w:r>
        <w:rPr>
          <w:rFonts w:hint="eastAsia" w:ascii="宋体" w:hAnsi="宋体" w:eastAsia="宋体" w:cs="宋体"/>
          <w:color w:val="auto"/>
          <w:sz w:val="21"/>
          <w:szCs w:val="21"/>
          <w:highlight w:val="none"/>
        </w:rPr>
        <w:t>》及有关法律规定，遵循平等、自愿、公平和诚实信用的原则，双方就</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eastAsia="zh-CN"/>
        </w:rPr>
        <w:t>北门游客中心“六一书苑”场馆提升项目</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造价咨询及有关事项协商一致，共同达成如下协议：</w:t>
      </w:r>
    </w:p>
    <w:p w14:paraId="40B67E27">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一、工程概况</w:t>
      </w:r>
    </w:p>
    <w:p w14:paraId="0C962FD1">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 xml:space="preserve">1. </w:t>
      </w:r>
      <w:r>
        <w:rPr>
          <w:rFonts w:hint="eastAsia" w:ascii="宋体" w:hAnsi="宋体" w:eastAsia="宋体" w:cs="宋体"/>
          <w:bCs/>
          <w:color w:val="auto"/>
          <w:sz w:val="21"/>
          <w:szCs w:val="21"/>
          <w:highlight w:val="none"/>
        </w:rPr>
        <w:t>工程名称</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u w:val="single"/>
          <w:lang w:eastAsia="zh-CN"/>
        </w:rPr>
        <w:t>北门游客中心“六一书苑”场馆提升项目工程量清单及最高投标限价编制</w:t>
      </w:r>
      <w:r>
        <w:rPr>
          <w:rFonts w:hint="eastAsia" w:ascii="宋体" w:hAnsi="宋体" w:cs="宋体"/>
          <w:color w:val="auto"/>
          <w:sz w:val="21"/>
          <w:szCs w:val="21"/>
          <w:highlight w:val="none"/>
          <w:u w:val="single"/>
          <w:lang w:val="en-US" w:eastAsia="zh-CN"/>
        </w:rPr>
        <w:t xml:space="preserve"> </w:t>
      </w:r>
    </w:p>
    <w:p w14:paraId="47CE04C0">
      <w:pPr>
        <w:keepNext w:val="0"/>
        <w:keepLines w:val="0"/>
        <w:pageBreakBefore w:val="0"/>
        <w:widowControl w:val="0"/>
        <w:kinsoku/>
        <w:wordWrap/>
        <w:overflowPunct/>
        <w:topLinePunct w:val="0"/>
        <w:bidi w:val="0"/>
        <w:spacing w:line="440" w:lineRule="exact"/>
        <w:ind w:firstLine="411" w:firstLineChars="196"/>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 xml:space="preserve">2. </w:t>
      </w:r>
      <w:r>
        <w:rPr>
          <w:rFonts w:hint="eastAsia" w:ascii="宋体" w:hAnsi="宋体" w:eastAsia="宋体" w:cs="宋体"/>
          <w:bCs/>
          <w:color w:val="auto"/>
          <w:sz w:val="21"/>
          <w:szCs w:val="21"/>
          <w:highlight w:val="none"/>
        </w:rPr>
        <w:t>工程地点：</w:t>
      </w:r>
      <w:r>
        <w:rPr>
          <w:rFonts w:hint="eastAsia" w:ascii="宋体" w:hAnsi="宋体" w:cs="宋体"/>
          <w:bCs/>
          <w:color w:val="auto"/>
          <w:sz w:val="21"/>
          <w:szCs w:val="21"/>
          <w:highlight w:val="none"/>
          <w:u w:val="single"/>
          <w:lang w:val="en-US" w:eastAsia="zh-CN"/>
        </w:rPr>
        <w:t>滁州市内</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p>
    <w:p w14:paraId="5D32A60E">
      <w:pPr>
        <w:keepNext w:val="0"/>
        <w:keepLines w:val="0"/>
        <w:pageBreakBefore w:val="0"/>
        <w:widowControl w:val="0"/>
        <w:kinsoku/>
        <w:wordWrap/>
        <w:overflowPunct/>
        <w:topLinePunct w:val="0"/>
        <w:bidi w:val="0"/>
        <w:spacing w:line="440" w:lineRule="exact"/>
        <w:ind w:firstLine="411" w:firstLineChars="196"/>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none"/>
        </w:rPr>
        <w:t>3. 工程规模：</w:t>
      </w:r>
      <w:r>
        <w:rPr>
          <w:rFonts w:hint="eastAsia" w:ascii="宋体" w:hAnsi="宋体" w:cs="宋体"/>
          <w:color w:val="auto"/>
          <w:sz w:val="21"/>
          <w:szCs w:val="21"/>
          <w:highlight w:val="none"/>
          <w:u w:val="single"/>
          <w:lang w:val="en-US" w:eastAsia="zh-CN"/>
        </w:rPr>
        <w:t xml:space="preserve">投资约190万元     </w:t>
      </w:r>
      <w:r>
        <w:rPr>
          <w:rFonts w:hint="eastAsia" w:ascii="宋体" w:hAnsi="宋体" w:eastAsia="宋体" w:cs="宋体"/>
          <w:color w:val="auto"/>
          <w:sz w:val="21"/>
          <w:szCs w:val="21"/>
          <w:highlight w:val="none"/>
          <w:u w:val="single"/>
          <w:lang w:val="en-US" w:eastAsia="zh-CN"/>
        </w:rPr>
        <w:t xml:space="preserve">    </w:t>
      </w:r>
    </w:p>
    <w:p w14:paraId="3D15D3EC">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二、咨询业务范围</w:t>
      </w:r>
    </w:p>
    <w:p w14:paraId="578579CD">
      <w:pPr>
        <w:keepNext w:val="0"/>
        <w:keepLines w:val="0"/>
        <w:pageBreakBefore w:val="0"/>
        <w:widowControl w:val="0"/>
        <w:kinsoku/>
        <w:wordWrap/>
        <w:overflowPunct/>
        <w:topLinePunct w:val="0"/>
        <w:bidi w:val="0"/>
        <w:spacing w:line="440" w:lineRule="exact"/>
        <w:ind w:firstLine="420" w:firstLineChars="200"/>
        <w:textAlignment w:val="auto"/>
        <w:rPr>
          <w:rFonts w:hint="default" w:ascii="宋体" w:hAnsi="宋体" w:eastAsia="宋体" w:cs="宋体"/>
          <w:color w:val="auto"/>
          <w:kern w:val="2"/>
          <w:sz w:val="21"/>
          <w:szCs w:val="21"/>
          <w:highlight w:val="none"/>
          <w:u w:val="none"/>
          <w:lang w:val="en-US" w:eastAsia="zh-CN" w:bidi="ar-SA"/>
        </w:rPr>
      </w:pPr>
      <w:r>
        <w:rPr>
          <w:rFonts w:hint="default" w:ascii="宋体" w:hAnsi="宋体" w:eastAsia="宋体" w:cs="宋体"/>
          <w:color w:val="auto"/>
          <w:kern w:val="2"/>
          <w:sz w:val="21"/>
          <w:szCs w:val="21"/>
          <w:highlight w:val="none"/>
          <w:u w:val="none"/>
          <w:lang w:val="en-US" w:eastAsia="zh-CN" w:bidi="ar-SA"/>
        </w:rPr>
        <w:t>依据招标人提供的全套设计施工图纸进行本项目的工程量清单及最高投标限价的编制，并完成网上备案工作，向招标人提交造价成果及最高限价备案表</w:t>
      </w:r>
      <w:r>
        <w:rPr>
          <w:rFonts w:hint="eastAsia" w:hAnsi="宋体" w:cs="宋体"/>
          <w:color w:val="auto"/>
          <w:sz w:val="21"/>
          <w:szCs w:val="21"/>
          <w:highlight w:val="none"/>
          <w:lang w:val="en-US" w:eastAsia="zh-CN"/>
        </w:rPr>
        <w:t>。</w:t>
      </w:r>
    </w:p>
    <w:p w14:paraId="3783FD47">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三、咨询期限</w:t>
      </w:r>
    </w:p>
    <w:p w14:paraId="770DC7BE">
      <w:pPr>
        <w:keepNext w:val="0"/>
        <w:keepLines w:val="0"/>
        <w:pageBreakBefore w:val="0"/>
        <w:widowControl w:val="0"/>
        <w:kinsoku/>
        <w:wordWrap/>
        <w:overflowPunct/>
        <w:topLinePunct w:val="0"/>
        <w:bidi w:val="0"/>
        <w:spacing w:line="440" w:lineRule="exact"/>
        <w:ind w:firstLine="411" w:firstLineChars="196"/>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计划开始日期：</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年</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日。（以收到项目完整造价资料日为起始日）</w:t>
      </w:r>
    </w:p>
    <w:p w14:paraId="09925983">
      <w:pPr>
        <w:keepNext w:val="0"/>
        <w:keepLines w:val="0"/>
        <w:pageBreakBefore w:val="0"/>
        <w:widowControl w:val="0"/>
        <w:kinsoku/>
        <w:wordWrap/>
        <w:overflowPunct/>
        <w:topLinePunct w:val="0"/>
        <w:bidi w:val="0"/>
        <w:spacing w:line="440" w:lineRule="exact"/>
        <w:ind w:left="8" w:leftChars="0" w:firstLine="411" w:firstLineChars="196"/>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计划结束日期：</w:t>
      </w:r>
      <w:r>
        <w:rPr>
          <w:rFonts w:hint="eastAsia" w:ascii="宋体" w:hAnsi="宋体" w:eastAsia="宋体" w:cs="宋体"/>
          <w:bCs/>
          <w:color w:val="auto"/>
          <w:sz w:val="21"/>
          <w:szCs w:val="21"/>
          <w:highlight w:val="none"/>
          <w:u w:val="single"/>
        </w:rPr>
        <w:t xml:space="preserve">   </w:t>
      </w:r>
      <w:r>
        <w:rPr>
          <w:rFonts w:hint="eastAsia" w:ascii="宋体" w:hAnsi="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年</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日。(按照项目招标进度及委托人要求。</w:t>
      </w:r>
    </w:p>
    <w:p w14:paraId="2B34374F">
      <w:pPr>
        <w:keepNext w:val="0"/>
        <w:keepLines w:val="0"/>
        <w:pageBreakBefore w:val="0"/>
        <w:widowControl w:val="0"/>
        <w:kinsoku/>
        <w:wordWrap/>
        <w:overflowPunct/>
        <w:topLinePunct w:val="0"/>
        <w:bidi w:val="0"/>
        <w:spacing w:line="440" w:lineRule="exact"/>
        <w:ind w:left="8" w:leftChars="0" w:firstLine="411" w:firstLineChars="196"/>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eastAsia="宋体" w:cs="宋体"/>
          <w:bCs/>
          <w:color w:val="auto"/>
          <w:sz w:val="21"/>
          <w:szCs w:val="21"/>
          <w:highlight w:val="none"/>
        </w:rPr>
        <w:t>其中造价咨</w:t>
      </w:r>
      <w:r>
        <w:rPr>
          <w:rFonts w:hint="eastAsia" w:ascii="宋体" w:hAnsi="宋体" w:eastAsia="宋体" w:cs="宋体"/>
          <w:color w:val="auto"/>
          <w:kern w:val="2"/>
          <w:sz w:val="21"/>
          <w:szCs w:val="21"/>
          <w:highlight w:val="none"/>
          <w:u w:val="none" w:color="000000"/>
          <w:lang w:val="en-US" w:eastAsia="zh-CN" w:bidi="ar-SA"/>
        </w:rPr>
        <w:t>询报告出具日期为：</w:t>
      </w:r>
      <w:r>
        <w:rPr>
          <w:rFonts w:hint="eastAsia" w:ascii="宋体" w:hAnsi="宋体" w:cs="宋体"/>
          <w:color w:val="auto"/>
          <w:kern w:val="2"/>
          <w:sz w:val="21"/>
          <w:szCs w:val="21"/>
          <w:highlight w:val="none"/>
          <w:u w:val="none" w:color="000000"/>
          <w:lang w:val="en-US" w:eastAsia="zh-CN" w:bidi="ar-SA"/>
        </w:rPr>
        <w:t>自签订合同之日起至完成造价编制成果文件</w:t>
      </w:r>
      <w:r>
        <w:rPr>
          <w:rFonts w:hint="eastAsia" w:ascii="宋体" w:hAnsi="宋体" w:eastAsia="宋体" w:cs="宋体"/>
          <w:color w:val="auto"/>
          <w:kern w:val="2"/>
          <w:sz w:val="21"/>
          <w:szCs w:val="21"/>
          <w:highlight w:val="none"/>
          <w:u w:val="none" w:color="000000"/>
          <w:lang w:val="en-US" w:eastAsia="zh-CN" w:bidi="ar-SA"/>
        </w:rPr>
        <w:t>。</w:t>
      </w:r>
    </w:p>
    <w:p w14:paraId="0F49AE08">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四、质量标准</w:t>
      </w:r>
    </w:p>
    <w:p w14:paraId="01F153DB">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工程造价咨询成果文件质量应符合现行国家或行业工程计价有关规定、标准、规范的要求并完成网上备案工作</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如需</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w:t>
      </w:r>
    </w:p>
    <w:p w14:paraId="29E4125B">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五、咨询酬金</w:t>
      </w:r>
    </w:p>
    <w:p w14:paraId="712D443E">
      <w:pPr>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   </w:t>
      </w:r>
      <w:r>
        <w:rPr>
          <w:rFonts w:hint="eastAsia" w:ascii="宋体" w:hAnsi="宋体" w:cs="宋体"/>
          <w:color w:val="auto"/>
          <w:kern w:val="0"/>
          <w:sz w:val="21"/>
          <w:szCs w:val="21"/>
          <w:highlight w:val="none"/>
          <w:lang w:val="en-US" w:eastAsia="zh-CN"/>
        </w:rPr>
        <w:t>本项目固定费率为</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val="en-US" w:eastAsia="zh-CN"/>
        </w:rPr>
        <w:t>％，</w:t>
      </w:r>
      <w:r>
        <w:rPr>
          <w:rFonts w:hint="eastAsia" w:ascii="宋体" w:hAnsi="宋体" w:cs="宋体"/>
          <w:color w:val="auto"/>
          <w:sz w:val="21"/>
          <w:szCs w:val="21"/>
          <w:highlight w:val="none"/>
          <w:lang w:val="en-US" w:eastAsia="zh-CN"/>
        </w:rPr>
        <w:t>编制费用=（施工中标价-暂列金额-暂估价）×6.1‰×中标费率</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项目结算时中标费率不予调整。</w:t>
      </w:r>
    </w:p>
    <w:p w14:paraId="2EE32FA1">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六、合同文件构成</w:t>
      </w:r>
    </w:p>
    <w:p w14:paraId="6849FD0C">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本协议书与下列文件一起构成造价咨询合同文件：</w:t>
      </w:r>
    </w:p>
    <w:p w14:paraId="32741524">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中标通知书（如果有）；</w:t>
      </w:r>
    </w:p>
    <w:p w14:paraId="6E33DEB9">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投标函及其附录（如果有）；</w:t>
      </w:r>
    </w:p>
    <w:p w14:paraId="516275BC">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rPr>
        <w:t>通用合同条款；</w:t>
      </w:r>
    </w:p>
    <w:p w14:paraId="63540D57">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eastAsia="宋体" w:cs="宋体"/>
          <w:color w:val="auto"/>
          <w:sz w:val="21"/>
          <w:szCs w:val="21"/>
          <w:highlight w:val="none"/>
        </w:rPr>
        <w:t>专用合同条款。</w:t>
      </w:r>
    </w:p>
    <w:p w14:paraId="272379EC">
      <w:pPr>
        <w:keepNext w:val="0"/>
        <w:keepLines w:val="0"/>
        <w:pageBreakBefore w:val="0"/>
        <w:widowControl w:val="0"/>
        <w:kinsoku/>
        <w:wordWrap/>
        <w:overflowPunct/>
        <w:topLinePunct w:val="0"/>
        <w:autoSpaceDE w:val="0"/>
        <w:autoSpaceDN w:val="0"/>
        <w:bidi w:val="0"/>
        <w:adjustRightInd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在合同订立及履行过程中形成的与合同有关的文件均构成合同文件组成部分。</w:t>
      </w:r>
    </w:p>
    <w:p w14:paraId="01FA139C">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上述各项合同文件包括合同当事人就该项合同文件所作出的补充和修改，属于同一类内容的文件，应以最新签署的为准。</w:t>
      </w:r>
    </w:p>
    <w:p w14:paraId="5FE171F3">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七、词语含义</w:t>
      </w:r>
    </w:p>
    <w:p w14:paraId="78A7C053">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本协议书中词语含义与第二部分通用合同条款中赋予的含义相同。</w:t>
      </w:r>
    </w:p>
    <w:p w14:paraId="42A57B32">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八、签订时间</w:t>
      </w:r>
    </w:p>
    <w:p w14:paraId="51F68C93">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本合同于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r>
        <w:rPr>
          <w:rFonts w:hint="eastAsia" w:ascii="宋体" w:hAnsi="宋体" w:eastAsia="宋体" w:cs="宋体"/>
          <w:bCs/>
          <w:color w:val="auto"/>
          <w:sz w:val="21"/>
          <w:szCs w:val="21"/>
          <w:highlight w:val="none"/>
        </w:rPr>
        <w:t>签订</w:t>
      </w:r>
      <w:r>
        <w:rPr>
          <w:rFonts w:hint="eastAsia" w:ascii="宋体" w:hAnsi="宋体" w:eastAsia="宋体" w:cs="宋体"/>
          <w:color w:val="auto"/>
          <w:sz w:val="21"/>
          <w:szCs w:val="21"/>
          <w:highlight w:val="none"/>
        </w:rPr>
        <w:t>。</w:t>
      </w:r>
    </w:p>
    <w:p w14:paraId="5B965FDC">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九、签订地点</w:t>
      </w:r>
    </w:p>
    <w:p w14:paraId="4587205A">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本合同在</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签订。</w:t>
      </w:r>
    </w:p>
    <w:p w14:paraId="2B7D1027">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十、补充协议</w:t>
      </w:r>
    </w:p>
    <w:p w14:paraId="2B9DBB88">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合同未尽事宜，合同当事人另行签订补充协议，补充协议是合同的组成部分。</w:t>
      </w:r>
    </w:p>
    <w:p w14:paraId="3609C06B">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十一、合同生效</w:t>
      </w:r>
    </w:p>
    <w:p w14:paraId="150B5785">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本合同自</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双方签字或盖章后</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生效。</w:t>
      </w:r>
    </w:p>
    <w:p w14:paraId="17216780">
      <w:pPr>
        <w:keepNext w:val="0"/>
        <w:keepLines w:val="0"/>
        <w:pageBreakBefore w:val="0"/>
        <w:widowControl w:val="0"/>
        <w:kinsoku/>
        <w:wordWrap/>
        <w:overflowPunct/>
        <w:topLinePunct w:val="0"/>
        <w:bidi w:val="0"/>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十二、合同份数</w:t>
      </w:r>
    </w:p>
    <w:p w14:paraId="7DAE20CB">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本合同一式</w:t>
      </w:r>
      <w:r>
        <w:rPr>
          <w:rFonts w:hint="eastAsia" w:ascii="宋体" w:hAnsi="宋体" w:eastAsia="宋体" w:cs="宋体"/>
          <w:color w:val="auto"/>
          <w:sz w:val="21"/>
          <w:szCs w:val="21"/>
          <w:highlight w:val="none"/>
          <w:u w:val="single"/>
        </w:rPr>
        <w:t>六</w:t>
      </w:r>
      <w:r>
        <w:rPr>
          <w:rFonts w:hint="eastAsia" w:ascii="宋体" w:hAnsi="宋体" w:eastAsia="宋体" w:cs="宋体"/>
          <w:color w:val="auto"/>
          <w:sz w:val="21"/>
          <w:szCs w:val="21"/>
          <w:highlight w:val="none"/>
        </w:rPr>
        <w:t>份，均具有同等法律效力，委托人</w:t>
      </w:r>
      <w:r>
        <w:rPr>
          <w:rFonts w:hint="eastAsia" w:ascii="宋体" w:hAnsi="宋体" w:eastAsia="宋体" w:cs="宋体"/>
          <w:color w:val="auto"/>
          <w:sz w:val="21"/>
          <w:szCs w:val="21"/>
          <w:highlight w:val="none"/>
          <w:u w:val="single"/>
        </w:rPr>
        <w:t>三</w:t>
      </w:r>
      <w:r>
        <w:rPr>
          <w:rFonts w:hint="eastAsia" w:ascii="宋体" w:hAnsi="宋体" w:eastAsia="宋体" w:cs="宋体"/>
          <w:color w:val="auto"/>
          <w:sz w:val="21"/>
          <w:szCs w:val="21"/>
          <w:highlight w:val="none"/>
        </w:rPr>
        <w:t>份，咨询人</w:t>
      </w:r>
      <w:r>
        <w:rPr>
          <w:rFonts w:hint="eastAsia" w:ascii="宋体" w:hAnsi="宋体" w:eastAsia="宋体" w:cs="宋体"/>
          <w:color w:val="auto"/>
          <w:sz w:val="21"/>
          <w:szCs w:val="21"/>
          <w:highlight w:val="none"/>
          <w:u w:val="single"/>
        </w:rPr>
        <w:t>三</w:t>
      </w:r>
      <w:r>
        <w:rPr>
          <w:rFonts w:hint="eastAsia" w:ascii="宋体" w:hAnsi="宋体" w:eastAsia="宋体" w:cs="宋体"/>
          <w:color w:val="auto"/>
          <w:sz w:val="21"/>
          <w:szCs w:val="21"/>
          <w:highlight w:val="none"/>
        </w:rPr>
        <w:t>份。</w:t>
      </w:r>
    </w:p>
    <w:p w14:paraId="6AC38345">
      <w:pPr>
        <w:keepNext w:val="0"/>
        <w:keepLines w:val="0"/>
        <w:pageBreakBefore w:val="0"/>
        <w:widowControl w:val="0"/>
        <w:kinsoku/>
        <w:wordWrap/>
        <w:overflowPunct/>
        <w:topLinePunct w:val="0"/>
        <w:bidi w:val="0"/>
        <w:spacing w:line="440" w:lineRule="exact"/>
        <w:textAlignment w:val="auto"/>
        <w:rPr>
          <w:rFonts w:hint="eastAsia" w:ascii="宋体" w:hAnsi="宋体" w:eastAsia="宋体" w:cs="宋体"/>
          <w:bCs/>
          <w:color w:val="auto"/>
          <w:sz w:val="21"/>
          <w:szCs w:val="21"/>
          <w:highlight w:val="none"/>
        </w:rPr>
      </w:pPr>
    </w:p>
    <w:p w14:paraId="5F6FF6B6">
      <w:pPr>
        <w:keepNext w:val="0"/>
        <w:keepLines w:val="0"/>
        <w:pageBreakBefore w:val="0"/>
        <w:widowControl w:val="0"/>
        <w:kinsoku/>
        <w:wordWrap/>
        <w:overflowPunct/>
        <w:topLinePunct w:val="0"/>
        <w:bidi w:val="0"/>
        <w:spacing w:line="440" w:lineRule="exact"/>
        <w:textAlignment w:val="auto"/>
        <w:rPr>
          <w:rFonts w:hint="eastAsia" w:ascii="宋体" w:hAnsi="宋体" w:eastAsia="宋体" w:cs="宋体"/>
          <w:bCs/>
          <w:color w:val="auto"/>
          <w:sz w:val="21"/>
          <w:szCs w:val="21"/>
          <w:highlight w:val="none"/>
        </w:rPr>
      </w:pPr>
    </w:p>
    <w:p w14:paraId="5F290C3D">
      <w:pPr>
        <w:keepNext w:val="0"/>
        <w:keepLines w:val="0"/>
        <w:pageBreakBefore w:val="0"/>
        <w:widowControl w:val="0"/>
        <w:tabs>
          <w:tab w:val="left" w:pos="4830"/>
        </w:tabs>
        <w:kinsoku/>
        <w:wordWrap/>
        <w:overflowPunct/>
        <w:topLinePunct w:val="0"/>
        <w:bidi w:val="0"/>
        <w:spacing w:line="440" w:lineRule="exact"/>
        <w:ind w:firstLine="630" w:firstLineChars="300"/>
        <w:jc w:val="both"/>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委托人：  (公章)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咨询人：  (公章)</w:t>
      </w:r>
    </w:p>
    <w:p w14:paraId="0152B3C9">
      <w:pPr>
        <w:keepNext w:val="0"/>
        <w:keepLines w:val="0"/>
        <w:pageBreakBefore w:val="0"/>
        <w:widowControl w:val="0"/>
        <w:kinsoku/>
        <w:wordWrap/>
        <w:overflowPunct/>
        <w:topLinePunct w:val="0"/>
        <w:bidi w:val="0"/>
        <w:spacing w:line="44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法定代表人或其委托代理人：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法定代表人或其委托代理人：</w:t>
      </w:r>
    </w:p>
    <w:p w14:paraId="0254AE7D">
      <w:pPr>
        <w:keepNext w:val="0"/>
        <w:keepLines w:val="0"/>
        <w:pageBreakBefore w:val="0"/>
        <w:widowControl w:val="0"/>
        <w:kinsoku/>
        <w:wordWrap/>
        <w:overflowPunct/>
        <w:topLinePunct w:val="0"/>
        <w:bidi w:val="0"/>
        <w:spacing w:line="440" w:lineRule="exact"/>
        <w:ind w:firstLine="630" w:firstLineChars="3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（签字或盖章）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（签字或盖章）</w:t>
      </w:r>
    </w:p>
    <w:p w14:paraId="589F6667">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76161B22">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p>
    <w:p w14:paraId="64DCE5D2">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w:t>
      </w:r>
    </w:p>
    <w:p w14:paraId="27D8F473">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w:t>
      </w:r>
    </w:p>
    <w:p w14:paraId="062061E4">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p>
    <w:p w14:paraId="549F0204">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w:t>
      </w:r>
    </w:p>
    <w:p w14:paraId="26F60B47">
      <w:pPr>
        <w:keepNext w:val="0"/>
        <w:keepLines w:val="0"/>
        <w:pageBreakBefore w:val="0"/>
        <w:widowControl w:val="0"/>
        <w:kinsoku/>
        <w:wordWrap/>
        <w:overflowPunct/>
        <w:topLinePunct w:val="0"/>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w:t>
      </w:r>
    </w:p>
    <w:p w14:paraId="42018BB4">
      <w:pPr>
        <w:keepNext w:val="0"/>
        <w:keepLines w:val="0"/>
        <w:pageBreakBefore w:val="0"/>
        <w:widowControl/>
        <w:kinsoku/>
        <w:wordWrap/>
        <w:overflowPunct/>
        <w:topLinePunct w:val="0"/>
        <w:autoSpaceDE/>
        <w:autoSpaceDN/>
        <w:bidi w:val="0"/>
        <w:adjustRightInd/>
        <w:snapToGrid/>
        <w:spacing w:before="160" w:beforeLines="50" w:after="160" w:afterLines="50"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rPr>
        <w:br w:type="page"/>
      </w:r>
      <w:bookmarkStart w:id="77" w:name="_Toc407261893"/>
      <w:r>
        <w:rPr>
          <w:rFonts w:hint="eastAsia" w:ascii="宋体" w:hAnsi="宋体" w:eastAsia="宋体" w:cs="宋体"/>
          <w:b/>
          <w:bCs/>
          <w:color w:val="auto"/>
          <w:kern w:val="44"/>
          <w:sz w:val="24"/>
          <w:szCs w:val="24"/>
          <w:highlight w:val="none"/>
          <w:lang w:val="en-US" w:eastAsia="zh-CN" w:bidi="ar-SA"/>
        </w:rPr>
        <w:t>第二部分通用合同条款</w:t>
      </w:r>
      <w:bookmarkEnd w:id="77"/>
      <w:bookmarkStart w:id="78" w:name="_Toc407261894"/>
    </w:p>
    <w:p w14:paraId="4FD637B0">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79" w:name="_Toc5798"/>
      <w:r>
        <w:rPr>
          <w:rFonts w:hint="eastAsia" w:ascii="宋体" w:hAnsi="宋体" w:eastAsia="宋体" w:cs="宋体"/>
          <w:b/>
          <w:bCs w:val="0"/>
          <w:color w:val="auto"/>
          <w:sz w:val="21"/>
          <w:szCs w:val="21"/>
          <w:highlight w:val="none"/>
        </w:rPr>
        <w:t>1.</w:t>
      </w:r>
      <w:bookmarkStart w:id="80" w:name="_Toc303538976"/>
      <w:bookmarkEnd w:id="80"/>
      <w:bookmarkStart w:id="81" w:name="_Toc303538973"/>
      <w:bookmarkEnd w:id="81"/>
      <w:bookmarkStart w:id="82" w:name="_Toc303538975"/>
      <w:bookmarkEnd w:id="82"/>
      <w:bookmarkStart w:id="83" w:name="_Toc303538972"/>
      <w:bookmarkEnd w:id="83"/>
      <w:bookmarkStart w:id="84" w:name="_Toc303538974"/>
      <w:bookmarkEnd w:id="84"/>
      <w:bookmarkStart w:id="85" w:name="_Toc296346528"/>
      <w:bookmarkStart w:id="86" w:name="_Toc296503027"/>
      <w:r>
        <w:rPr>
          <w:rFonts w:hint="eastAsia" w:ascii="宋体" w:hAnsi="宋体" w:eastAsia="宋体" w:cs="宋体"/>
          <w:b/>
          <w:bCs w:val="0"/>
          <w:color w:val="auto"/>
          <w:sz w:val="21"/>
          <w:szCs w:val="21"/>
          <w:highlight w:val="none"/>
        </w:rPr>
        <w:t>一般约定</w:t>
      </w:r>
      <w:bookmarkEnd w:id="78"/>
      <w:bookmarkEnd w:id="79"/>
      <w:bookmarkEnd w:id="85"/>
      <w:bookmarkEnd w:id="86"/>
    </w:p>
    <w:p w14:paraId="28ABF902">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87" w:name="_Toc296503028"/>
      <w:bookmarkStart w:id="88" w:name="_Toc337558728"/>
      <w:bookmarkStart w:id="89" w:name="_Toc296346529"/>
      <w:bookmarkStart w:id="90" w:name="_Toc5342"/>
      <w:bookmarkStart w:id="91" w:name="_Toc407261895"/>
      <w:r>
        <w:rPr>
          <w:rFonts w:hint="eastAsia" w:ascii="宋体" w:hAnsi="宋体" w:eastAsia="宋体" w:cs="宋体"/>
          <w:b/>
          <w:bCs w:val="0"/>
          <w:color w:val="auto"/>
          <w:sz w:val="21"/>
          <w:szCs w:val="21"/>
          <w:highlight w:val="none"/>
        </w:rPr>
        <w:t>1.1 词语定义</w:t>
      </w:r>
      <w:bookmarkEnd w:id="87"/>
      <w:bookmarkEnd w:id="88"/>
      <w:bookmarkEnd w:id="89"/>
      <w:r>
        <w:rPr>
          <w:rFonts w:hint="eastAsia" w:ascii="宋体" w:hAnsi="宋体" w:eastAsia="宋体" w:cs="宋体"/>
          <w:b/>
          <w:bCs w:val="0"/>
          <w:color w:val="auto"/>
          <w:sz w:val="21"/>
          <w:szCs w:val="21"/>
          <w:highlight w:val="none"/>
        </w:rPr>
        <w:t>与解释</w:t>
      </w:r>
      <w:bookmarkEnd w:id="90"/>
      <w:bookmarkEnd w:id="91"/>
    </w:p>
    <w:p w14:paraId="7C4D7F21">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合同协议书、通用合同条款、专用合同条款中的下列词语具有本款所赋予的含义：</w:t>
      </w:r>
    </w:p>
    <w:p w14:paraId="6A1A7D3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委托人：是指与咨询人签订合同协议书的当事人及取得该当事人资格的合法继承人。</w:t>
      </w:r>
    </w:p>
    <w:p w14:paraId="5D143183">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咨询人：是指与委托人签订合同协议书的，具有相应工程造价咨询资质的当事人及取得该当事人资格的合法继承人。</w:t>
      </w:r>
    </w:p>
    <w:p w14:paraId="3BEF9E46">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第三人：是指除委托人、咨询人以外与本咨询业务有关的当事人。</w:t>
      </w:r>
    </w:p>
    <w:p w14:paraId="3C030FA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工程造价咨询：是指咨询人接受委托人的委托，运用工程造价的专业技能，为建设项目决策、设计、交易、实施、结算等各个阶段工程计价和工程造价管理提供的有偿服务。</w:t>
      </w:r>
    </w:p>
    <w:p w14:paraId="2DD6A19F">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 工程造价咨询成果文件：是指咨询人在承担工程造价咨询业务时，为委托人出具的具有法律责任，反映各阶段工程造价确定与控制成果的文件。包括：投资估算书、设计概算书、施工图预算书、竣工结算书、工程量清单、招标控制价、工程计量与支付、工程索赔、工程造价鉴定意见书等文件。</w:t>
      </w:r>
    </w:p>
    <w:p w14:paraId="2447B67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 综合误差率：是指工程造价咨询成果文件中审查出的编制错误的累计金额与最终修正后造价总额的比率。</w:t>
      </w:r>
    </w:p>
    <w:p w14:paraId="434B66D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1.1.7 酬金：是指咨询人履行本合同义务，委托人按照本合同约定给付咨询人的金额。</w:t>
      </w:r>
    </w:p>
    <w:p w14:paraId="2556FF1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 费用：是指不包含在酬金之内应由委托人承担的经济支出。</w:t>
      </w:r>
    </w:p>
    <w:p w14:paraId="49E9B93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1.1.9 书面形式：是指合同书、信件和数据电文等可以有形地表现所载内容的形式。</w:t>
      </w:r>
    </w:p>
    <w:p w14:paraId="7DCEE919">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92" w:name="_Toc296503029"/>
      <w:bookmarkStart w:id="93" w:name="_Toc296346530"/>
      <w:bookmarkStart w:id="94" w:name="_Toc407261896"/>
      <w:bookmarkStart w:id="95" w:name="_Toc337558729"/>
      <w:bookmarkStart w:id="96" w:name="_Toc11549"/>
      <w:r>
        <w:rPr>
          <w:rFonts w:hint="eastAsia" w:ascii="宋体" w:hAnsi="宋体" w:eastAsia="宋体" w:cs="宋体"/>
          <w:b/>
          <w:bCs w:val="0"/>
          <w:color w:val="auto"/>
          <w:sz w:val="21"/>
          <w:szCs w:val="21"/>
          <w:highlight w:val="none"/>
        </w:rPr>
        <w:t>1.2 语言文字</w:t>
      </w:r>
      <w:bookmarkEnd w:id="92"/>
      <w:bookmarkEnd w:id="93"/>
      <w:bookmarkEnd w:id="94"/>
      <w:bookmarkEnd w:id="95"/>
      <w:bookmarkEnd w:id="96"/>
    </w:p>
    <w:p w14:paraId="6FA7300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合同以中国的汉语简体文字编写、解释和说明。合同当事人在专用合同条款中约定使用两种以上语言时，汉语为优先解释和说明合同的语言。</w:t>
      </w:r>
    </w:p>
    <w:p w14:paraId="6B6EF8EE">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97" w:name="_Toc296346531"/>
      <w:bookmarkStart w:id="98" w:name="_Toc296503030"/>
      <w:bookmarkStart w:id="99" w:name="_Toc14682"/>
      <w:bookmarkStart w:id="100" w:name="_Toc337558730"/>
      <w:bookmarkStart w:id="101" w:name="_Toc407261897"/>
      <w:r>
        <w:rPr>
          <w:rFonts w:hint="eastAsia" w:ascii="宋体" w:hAnsi="宋体" w:eastAsia="宋体" w:cs="宋体"/>
          <w:b/>
          <w:bCs w:val="0"/>
          <w:color w:val="auto"/>
          <w:sz w:val="21"/>
          <w:szCs w:val="21"/>
          <w:highlight w:val="none"/>
        </w:rPr>
        <w:t>1.3 法律</w:t>
      </w:r>
      <w:bookmarkEnd w:id="97"/>
      <w:bookmarkEnd w:id="98"/>
      <w:bookmarkEnd w:id="99"/>
      <w:bookmarkEnd w:id="100"/>
      <w:bookmarkEnd w:id="101"/>
    </w:p>
    <w:p w14:paraId="158F9446">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合同所称法律是指中华人民共和国法律、行政法规、部门规章，以及本省地方性法规、规章等。</w:t>
      </w:r>
    </w:p>
    <w:p w14:paraId="1A259A3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合同当事人可以在专用合同条款中约定合同适用的其他规范性文件。</w:t>
      </w:r>
    </w:p>
    <w:p w14:paraId="5256F9A2">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02" w:name="_Toc407261898"/>
      <w:bookmarkStart w:id="103" w:name="_Toc11431"/>
      <w:r>
        <w:rPr>
          <w:rFonts w:hint="eastAsia" w:ascii="宋体" w:hAnsi="宋体" w:eastAsia="宋体" w:cs="宋体"/>
          <w:b/>
          <w:bCs w:val="0"/>
          <w:color w:val="auto"/>
          <w:sz w:val="21"/>
          <w:szCs w:val="21"/>
          <w:highlight w:val="none"/>
        </w:rPr>
        <w:t>1</w:t>
      </w:r>
      <w:r>
        <w:rPr>
          <w:rFonts w:hint="eastAsia" w:ascii="宋体" w:hAnsi="宋体" w:eastAsia="宋体" w:cs="宋体"/>
          <w:b/>
          <w:bCs w:val="0"/>
          <w:color w:val="auto"/>
          <w:sz w:val="21"/>
          <w:szCs w:val="21"/>
          <w:highlight w:val="none"/>
          <w:lang w:val="en-US" w:eastAsia="zh-CN"/>
        </w:rPr>
        <w:t>.4 标准和规范</w:t>
      </w:r>
      <w:bookmarkEnd w:id="102"/>
      <w:bookmarkEnd w:id="103"/>
    </w:p>
    <w:p w14:paraId="17134D0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适用于工程造价咨询的国家标准、行业标准、本省地方性标准，以及相应的规范、规程等，合同当事人有特别要求的，应在专用合同条款中约定。</w:t>
      </w:r>
    </w:p>
    <w:p w14:paraId="333ED789">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04" w:name="_Toc407261899"/>
      <w:bookmarkStart w:id="105" w:name="_Toc1504"/>
      <w:r>
        <w:rPr>
          <w:rFonts w:hint="eastAsia" w:ascii="宋体" w:hAnsi="宋体" w:eastAsia="宋体" w:cs="宋体"/>
          <w:b/>
          <w:bCs w:val="0"/>
          <w:color w:val="auto"/>
          <w:sz w:val="21"/>
          <w:szCs w:val="21"/>
          <w:highlight w:val="none"/>
        </w:rPr>
        <w:t>1</w:t>
      </w:r>
      <w:bookmarkStart w:id="106" w:name="_Toc296503031"/>
      <w:bookmarkStart w:id="107" w:name="_Toc337558731"/>
      <w:bookmarkStart w:id="108" w:name="_Toc296346532"/>
      <w:r>
        <w:rPr>
          <w:rFonts w:hint="eastAsia" w:ascii="宋体" w:hAnsi="宋体" w:eastAsia="宋体" w:cs="宋体"/>
          <w:b/>
          <w:bCs w:val="0"/>
          <w:color w:val="auto"/>
          <w:sz w:val="21"/>
          <w:szCs w:val="21"/>
          <w:highlight w:val="none"/>
        </w:rPr>
        <w:t>.5 合同文件的优先顺序</w:t>
      </w:r>
      <w:bookmarkEnd w:id="104"/>
      <w:bookmarkEnd w:id="105"/>
    </w:p>
    <w:bookmarkEnd w:id="106"/>
    <w:bookmarkEnd w:id="107"/>
    <w:bookmarkEnd w:id="108"/>
    <w:p w14:paraId="0ACD4353">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组成合同的各项文件应互相解释，互为说明。除专用合同条款另有约定外，解释合同文件的优先顺序如下：</w:t>
      </w:r>
    </w:p>
    <w:p w14:paraId="704AA66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合同协议书；</w:t>
      </w:r>
    </w:p>
    <w:p w14:paraId="30C1F30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中标通知书（如果有）；</w:t>
      </w:r>
    </w:p>
    <w:p w14:paraId="6B7CB5F4">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rPr>
        <w:t>投标函及其附录（如果有）；</w:t>
      </w:r>
    </w:p>
    <w:p w14:paraId="3AA66E10">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eastAsia="宋体" w:cs="宋体"/>
          <w:color w:val="auto"/>
          <w:sz w:val="21"/>
          <w:szCs w:val="21"/>
          <w:highlight w:val="none"/>
        </w:rPr>
        <w:t>专用合同条款；</w:t>
      </w:r>
    </w:p>
    <w:p w14:paraId="3B4339D5">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（5）</w:t>
      </w:r>
      <w:r>
        <w:rPr>
          <w:rFonts w:hint="eastAsia" w:ascii="宋体" w:hAnsi="宋体" w:eastAsia="宋体" w:cs="宋体"/>
          <w:color w:val="auto"/>
          <w:sz w:val="21"/>
          <w:szCs w:val="21"/>
          <w:highlight w:val="none"/>
        </w:rPr>
        <w:t>通用合同条款。</w:t>
      </w:r>
    </w:p>
    <w:p w14:paraId="5550B11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上述各项合同文件包括合同当事人就该项合同文件所作出的补充和修改，属于同一类内容的文件，应以最新签署的为准。</w:t>
      </w:r>
    </w:p>
    <w:p w14:paraId="3751B86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在合同订立及履行过程中形成的与合同有关的文件均构成合同文件组成部分，并根据其性质确定优先解释顺序。</w:t>
      </w:r>
    </w:p>
    <w:p w14:paraId="63FED953">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09" w:name="_Toc407261900"/>
      <w:bookmarkStart w:id="110" w:name="_Toc12098"/>
      <w:bookmarkStart w:id="111" w:name="_Toc351203502"/>
      <w:r>
        <w:rPr>
          <w:rFonts w:hint="eastAsia" w:ascii="宋体" w:hAnsi="宋体" w:eastAsia="宋体" w:cs="宋体"/>
          <w:b/>
          <w:bCs w:val="0"/>
          <w:color w:val="auto"/>
          <w:sz w:val="21"/>
          <w:szCs w:val="21"/>
          <w:highlight w:val="none"/>
        </w:rPr>
        <w:t>1</w:t>
      </w:r>
      <w:bookmarkStart w:id="112" w:name="_Toc337558733"/>
      <w:bookmarkStart w:id="113" w:name="_Toc296503033"/>
      <w:bookmarkStart w:id="114" w:name="_Toc296346534"/>
      <w:r>
        <w:rPr>
          <w:rFonts w:hint="eastAsia" w:ascii="宋体" w:hAnsi="宋体" w:eastAsia="宋体" w:cs="宋体"/>
          <w:b/>
          <w:bCs w:val="0"/>
          <w:color w:val="auto"/>
          <w:sz w:val="21"/>
          <w:szCs w:val="21"/>
          <w:highlight w:val="none"/>
        </w:rPr>
        <w:t>.6 联络</w:t>
      </w:r>
      <w:bookmarkEnd w:id="109"/>
      <w:bookmarkEnd w:id="110"/>
      <w:bookmarkEnd w:id="111"/>
    </w:p>
    <w:bookmarkEnd w:id="112"/>
    <w:bookmarkEnd w:id="113"/>
    <w:bookmarkEnd w:id="114"/>
    <w:p w14:paraId="1EE42493">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1.6.1</w:t>
      </w:r>
      <w:r>
        <w:rPr>
          <w:rFonts w:hint="eastAsia" w:ascii="宋体" w:hAnsi="宋体" w:eastAsia="宋体" w:cs="宋体"/>
          <w:color w:val="auto"/>
          <w:kern w:val="0"/>
          <w:sz w:val="21"/>
          <w:szCs w:val="21"/>
          <w:highlight w:val="none"/>
        </w:rPr>
        <w:t>与合同有关的通知、批准、证明、证书、指示、指令、要求、请求、同意、意见、确定和决定等，均应采用书面形式，并应在合同约定的期限内送达接收人和送达地点。</w:t>
      </w:r>
    </w:p>
    <w:p w14:paraId="581E26CE">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1.6.2</w:t>
      </w:r>
      <w:r>
        <w:rPr>
          <w:rFonts w:hint="eastAsia" w:ascii="宋体" w:hAnsi="宋体" w:eastAsia="宋体" w:cs="宋体"/>
          <w:color w:val="auto"/>
          <w:kern w:val="0"/>
          <w:sz w:val="21"/>
          <w:szCs w:val="21"/>
          <w:highlight w:val="none"/>
        </w:rPr>
        <w:t>委托人和咨询人应在专用合同条款中约定各自的送达接收人、送达地点、电子邮箱。任何一方合同当事人指定的接收人或送达地点或电子邮箱发生变动的，应提前3天以书面形式通知对方。</w:t>
      </w:r>
    </w:p>
    <w:p w14:paraId="1F15C88E">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1.6.3</w:t>
      </w:r>
      <w:r>
        <w:rPr>
          <w:rFonts w:hint="eastAsia" w:ascii="宋体" w:hAnsi="宋体" w:eastAsia="宋体" w:cs="宋体"/>
          <w:color w:val="auto"/>
          <w:kern w:val="0"/>
          <w:sz w:val="21"/>
          <w:szCs w:val="21"/>
          <w:highlight w:val="none"/>
        </w:rPr>
        <w:t>委托人和咨询人应当及时签收另一方送达至送达地点和指定接收人的来往信函。拒不签收的，由此增加的费用和延误的咨询期限由拒绝接收一方承担。</w:t>
      </w:r>
    </w:p>
    <w:p w14:paraId="52EEA64A">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15" w:name="_Toc407261901"/>
      <w:bookmarkStart w:id="116" w:name="_Toc26788"/>
      <w:r>
        <w:rPr>
          <w:rFonts w:hint="eastAsia" w:ascii="宋体" w:hAnsi="宋体" w:eastAsia="宋体" w:cs="宋体"/>
          <w:b/>
          <w:bCs w:val="0"/>
          <w:color w:val="auto"/>
          <w:sz w:val="21"/>
          <w:szCs w:val="21"/>
          <w:highlight w:val="none"/>
        </w:rPr>
        <w:t>1.7 守法诚信</w:t>
      </w:r>
      <w:bookmarkEnd w:id="115"/>
      <w:bookmarkEnd w:id="116"/>
    </w:p>
    <w:p w14:paraId="28FCB2B0">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人从事工程造价咨询活动，应当遵循独立、客观、公正、诚实信用的原则，不得损害社会公共利益和他人的合法权益。除委托人书面同意外，咨询人及其工程造价专业人员不得从与实施工程造价咨询业务有关的第三人处获得任何经济利益。</w:t>
      </w:r>
    </w:p>
    <w:p w14:paraId="1C6D5D62">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17" w:name="_Toc407261902"/>
      <w:bookmarkStart w:id="118" w:name="_Toc24023"/>
      <w:r>
        <w:rPr>
          <w:rFonts w:hint="eastAsia" w:ascii="宋体" w:hAnsi="宋体" w:eastAsia="宋体" w:cs="宋体"/>
          <w:b/>
          <w:bCs w:val="0"/>
          <w:color w:val="auto"/>
          <w:sz w:val="21"/>
          <w:szCs w:val="21"/>
          <w:highlight w:val="none"/>
        </w:rPr>
        <w:t>1.8 保密</w:t>
      </w:r>
      <w:bookmarkEnd w:id="117"/>
      <w:bookmarkEnd w:id="118"/>
    </w:p>
    <w:p w14:paraId="4223CAD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双方不得泄露对方申明的保密资料，亦不得泄露与实施工程造价咨询业务有关的第三人所提供的保密资料，保密事项在专用合同条款中约定。</w:t>
      </w:r>
    </w:p>
    <w:p w14:paraId="6F537D9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19" w:name="_Toc5221"/>
      <w:bookmarkStart w:id="120" w:name="_Toc407261903"/>
      <w:r>
        <w:rPr>
          <w:rFonts w:hint="eastAsia" w:ascii="宋体" w:hAnsi="宋体" w:eastAsia="宋体" w:cs="宋体"/>
          <w:b/>
          <w:bCs w:val="0"/>
          <w:color w:val="auto"/>
          <w:sz w:val="21"/>
          <w:szCs w:val="21"/>
          <w:highlight w:val="none"/>
        </w:rPr>
        <w:t>2. 委托人</w:t>
      </w:r>
      <w:bookmarkEnd w:id="119"/>
      <w:bookmarkEnd w:id="120"/>
    </w:p>
    <w:p w14:paraId="671CEE80">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21" w:name="_Toc32699"/>
      <w:bookmarkStart w:id="122" w:name="_Toc407261904"/>
      <w:r>
        <w:rPr>
          <w:rFonts w:hint="eastAsia" w:ascii="宋体" w:hAnsi="宋体" w:eastAsia="宋体" w:cs="宋体"/>
          <w:b/>
          <w:bCs w:val="0"/>
          <w:color w:val="auto"/>
          <w:sz w:val="21"/>
          <w:szCs w:val="21"/>
          <w:highlight w:val="none"/>
        </w:rPr>
        <w:t>2.1 委托人代表</w:t>
      </w:r>
      <w:bookmarkEnd w:id="121"/>
      <w:bookmarkEnd w:id="122"/>
    </w:p>
    <w:p w14:paraId="4EB00EC6">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应授权一名熟悉工程情况的代表，负责与咨询人联系。委托人应在专用合同条款中明确委托人代表的姓名、职务、联系方式及授权范围等事项。委托人代表经委托人授权后代表委托人履行合同。委托人更换委托人代表的，应提前7天书面通知咨询人。</w:t>
      </w:r>
    </w:p>
    <w:p w14:paraId="6910E30F">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23" w:name="_Toc23658"/>
      <w:bookmarkStart w:id="124" w:name="_Toc407261905"/>
      <w:r>
        <w:rPr>
          <w:rFonts w:hint="eastAsia" w:ascii="宋体" w:hAnsi="宋体" w:eastAsia="宋体" w:cs="宋体"/>
          <w:b/>
          <w:bCs w:val="0"/>
          <w:color w:val="auto"/>
          <w:sz w:val="21"/>
          <w:szCs w:val="21"/>
          <w:highlight w:val="none"/>
        </w:rPr>
        <w:t>2.2 提供资料</w:t>
      </w:r>
      <w:bookmarkEnd w:id="123"/>
      <w:bookmarkEnd w:id="124"/>
    </w:p>
    <w:p w14:paraId="732C9FB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委托人向咨询人提供的工程造价咨询所需要的资料名称及提供时间在专用合同条款中约定，委托人对其提供资料的真实性、准确性和完整性负责。</w:t>
      </w:r>
    </w:p>
    <w:p w14:paraId="31C3810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履行过程中，咨询人需要委托人和第三人提供工程造价咨询所需要的最新资料的，除专用合同条款另有约定外，委托人应尽其努力在相应咨询工作开展前的合理期限内提供，合理期限应以不影响咨询人的正常咨询工作为限。</w:t>
      </w:r>
    </w:p>
    <w:p w14:paraId="1F76E73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委托人未能按合同约定及时向咨询人提供咨询资料的，由委托人承担由此增加的费用和延误的咨询期限。</w:t>
      </w:r>
    </w:p>
    <w:p w14:paraId="6E5B660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25" w:name="_Toc18231"/>
      <w:bookmarkStart w:id="126" w:name="_Toc407261906"/>
      <w:r>
        <w:rPr>
          <w:rFonts w:hint="eastAsia" w:ascii="宋体" w:hAnsi="宋体" w:eastAsia="宋体" w:cs="宋体"/>
          <w:b/>
          <w:bCs w:val="0"/>
          <w:color w:val="auto"/>
          <w:sz w:val="21"/>
          <w:szCs w:val="21"/>
          <w:highlight w:val="none"/>
        </w:rPr>
        <w:t>2.3 提供工作条件</w:t>
      </w:r>
      <w:bookmarkEnd w:id="125"/>
      <w:bookmarkEnd w:id="126"/>
    </w:p>
    <w:p w14:paraId="2CA6E15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 委托人应负责与本工程造价咨询业务有关的第三人的协调，为咨询人履行本合同提供必要的外部条件。</w:t>
      </w:r>
    </w:p>
    <w:p w14:paraId="26EBC731">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 咨询人接受委托实施施工阶段全过程造价管理咨询工作的，委托人应当在施工现场为咨询人提供必要的办公用房、办公家具，供咨询人使用。</w:t>
      </w:r>
    </w:p>
    <w:p w14:paraId="3577C377">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27" w:name="_Toc11637"/>
      <w:bookmarkStart w:id="128" w:name="_Toc407261907"/>
      <w:r>
        <w:rPr>
          <w:rFonts w:hint="eastAsia" w:ascii="宋体" w:hAnsi="宋体" w:eastAsia="宋体" w:cs="宋体"/>
          <w:b/>
          <w:bCs w:val="0"/>
          <w:color w:val="auto"/>
          <w:sz w:val="21"/>
          <w:szCs w:val="21"/>
          <w:highlight w:val="none"/>
        </w:rPr>
        <w:t>2.4 答复</w:t>
      </w:r>
      <w:bookmarkEnd w:id="127"/>
      <w:bookmarkEnd w:id="128"/>
    </w:p>
    <w:p w14:paraId="554E711D">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委托人应在专用合同条款约定的时间内，对咨询人以书面形式提交并要求作出决定的事宜，给予书面答复。委托人逾期未答复，影响咨询工作正常开展的，由委托人承担由此增加的费用和延误的咨询期限。</w:t>
      </w:r>
    </w:p>
    <w:p w14:paraId="404B26EB">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除专用合同条款另有约定外，对咨询人以书面形式提交并要求第三人作出决定的事宜，由委托人送达第三人，第三人在合理期限内未答复，影响咨询工作正常开展的，由委托人承担由此增加的费用和延误的咨询期限。</w:t>
      </w:r>
    </w:p>
    <w:p w14:paraId="2E53BBEE">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29" w:name="_Toc407261908"/>
      <w:bookmarkStart w:id="130" w:name="_Toc19255"/>
      <w:r>
        <w:rPr>
          <w:rFonts w:hint="eastAsia" w:ascii="宋体" w:hAnsi="宋体" w:eastAsia="宋体" w:cs="宋体"/>
          <w:b/>
          <w:bCs w:val="0"/>
          <w:color w:val="auto"/>
          <w:sz w:val="21"/>
          <w:szCs w:val="21"/>
          <w:highlight w:val="none"/>
        </w:rPr>
        <w:t>2.5 支付酬金</w:t>
      </w:r>
      <w:bookmarkEnd w:id="129"/>
      <w:bookmarkEnd w:id="130"/>
    </w:p>
    <w:p w14:paraId="15729ED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委托人应按合同约定，向咨询人支付酬金。</w:t>
      </w:r>
    </w:p>
    <w:p w14:paraId="7F9A0A3C">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31" w:name="_Toc29482"/>
      <w:bookmarkStart w:id="132" w:name="_Toc407261909"/>
      <w:r>
        <w:rPr>
          <w:rFonts w:hint="eastAsia" w:ascii="宋体" w:hAnsi="宋体" w:eastAsia="宋体" w:cs="宋体"/>
          <w:b/>
          <w:bCs w:val="0"/>
          <w:color w:val="auto"/>
          <w:sz w:val="21"/>
          <w:szCs w:val="21"/>
          <w:highlight w:val="none"/>
        </w:rPr>
        <w:t>3. 咨询人</w:t>
      </w:r>
      <w:bookmarkEnd w:id="131"/>
      <w:bookmarkEnd w:id="132"/>
    </w:p>
    <w:p w14:paraId="7E336A66">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33" w:name="_Toc389602818"/>
      <w:bookmarkStart w:id="134" w:name="_Toc383940899"/>
      <w:bookmarkStart w:id="135" w:name="_Toc389663475"/>
      <w:bookmarkStart w:id="136" w:name="_Toc407261910"/>
      <w:bookmarkStart w:id="137" w:name="_Toc384026373"/>
      <w:bookmarkStart w:id="138" w:name="_Toc24470"/>
      <w:bookmarkStart w:id="139" w:name="_Toc384137544"/>
      <w:r>
        <w:rPr>
          <w:rFonts w:hint="eastAsia" w:ascii="宋体" w:hAnsi="宋体" w:eastAsia="宋体" w:cs="宋体"/>
          <w:b/>
          <w:bCs w:val="0"/>
          <w:color w:val="auto"/>
          <w:sz w:val="21"/>
          <w:szCs w:val="21"/>
          <w:highlight w:val="none"/>
        </w:rPr>
        <w:t>3.1 咨询人的一般义务</w:t>
      </w:r>
      <w:bookmarkEnd w:id="133"/>
      <w:bookmarkEnd w:id="134"/>
      <w:bookmarkEnd w:id="135"/>
      <w:bookmarkEnd w:id="136"/>
      <w:bookmarkEnd w:id="137"/>
      <w:bookmarkEnd w:id="138"/>
      <w:bookmarkEnd w:id="139"/>
    </w:p>
    <w:p w14:paraId="0C6DF02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3.1.1向委托人提供与工程造价咨询业务有关的资料，包括承担本合同咨询业务的工程造价专业人员任命文件、工程造价咨询实施方案等。</w:t>
      </w:r>
    </w:p>
    <w:p w14:paraId="645A7FD0">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3.1.2踏勘现场，了解情况，收集、整理工程造价咨询项目有关的基础资料和编制依据，进行有效性、合规性核对，保证工程计价基础资料和编制依据的全面性、真实性和有效性。</w:t>
      </w:r>
    </w:p>
    <w:p w14:paraId="427C1C9F">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3.1.3按照咨询合同约定的工作范围和内容，编制、审核、审定工程造价咨询成果文件，并在专用合同条款约定的时间内，向委托人提交符合国家、行业规定及合同约定的工程造价咨询成果文件。</w:t>
      </w:r>
    </w:p>
    <w:p w14:paraId="3216B31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3.1.4组织咨询服务回访，听取委托人对服务质量的评价意见，及时进行总结，提出相应的改进措施。</w:t>
      </w:r>
    </w:p>
    <w:p w14:paraId="6BEA2DC1">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3.1.5收集工程造价咨询业务中形成的工程造价咨询过程文件和工程造价咨询成果文件，整理立卷后建立档案。</w:t>
      </w:r>
    </w:p>
    <w:p w14:paraId="6F304FEA">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40" w:name="_Toc30134"/>
      <w:bookmarkStart w:id="141" w:name="_Toc407261911"/>
      <w:r>
        <w:rPr>
          <w:rFonts w:hint="eastAsia" w:ascii="宋体" w:hAnsi="宋体" w:eastAsia="宋体" w:cs="宋体"/>
          <w:b/>
          <w:bCs w:val="0"/>
          <w:color w:val="auto"/>
          <w:sz w:val="21"/>
          <w:szCs w:val="21"/>
          <w:highlight w:val="none"/>
        </w:rPr>
        <w:t>3.2 项目负责人</w:t>
      </w:r>
      <w:bookmarkEnd w:id="140"/>
      <w:bookmarkEnd w:id="141"/>
    </w:p>
    <w:p w14:paraId="60B6038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应是咨询人正式聘用，并取得造价工程师注册证书的人员。咨询人应在专用合同条款中明确其任命的咨询项目负责人的姓名、身份证号、注册执业证书编号、联系方式及授权范围等事项，项目负责人经咨询人授权后代表咨询人履行合同。</w:t>
      </w:r>
    </w:p>
    <w:p w14:paraId="3F3D2816">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42" w:name="_Toc383940901"/>
      <w:bookmarkStart w:id="143" w:name="_Toc389663477"/>
      <w:bookmarkStart w:id="144" w:name="_Toc407261912"/>
      <w:bookmarkStart w:id="145" w:name="_Toc384026375"/>
      <w:bookmarkStart w:id="146" w:name="_Toc384137546"/>
      <w:bookmarkStart w:id="147" w:name="_Toc18590"/>
      <w:bookmarkStart w:id="148" w:name="_Toc389602820"/>
      <w:r>
        <w:rPr>
          <w:rFonts w:hint="eastAsia" w:ascii="宋体" w:hAnsi="宋体" w:eastAsia="宋体" w:cs="宋体"/>
          <w:b/>
          <w:bCs w:val="0"/>
          <w:color w:val="auto"/>
          <w:sz w:val="21"/>
          <w:szCs w:val="21"/>
          <w:highlight w:val="none"/>
        </w:rPr>
        <w:t>3.3 工程造价专业人员</w:t>
      </w:r>
      <w:bookmarkEnd w:id="142"/>
      <w:bookmarkEnd w:id="143"/>
      <w:bookmarkEnd w:id="144"/>
      <w:bookmarkEnd w:id="145"/>
      <w:bookmarkEnd w:id="146"/>
      <w:bookmarkEnd w:id="147"/>
      <w:bookmarkEnd w:id="148"/>
    </w:p>
    <w:p w14:paraId="0D55F500">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除专用合同条款另有约定外，咨询人应当在本合同签订后的7天内，提交任命的承担本合同咨询业务的工程造价专业人员注册证书和资格证书，以及为工程造价专业人员缴纳的社会保险有效证明，供委托人核验。咨询人违反约定的，应按照专用合同条款的约定，承担违约责任。</w:t>
      </w:r>
    </w:p>
    <w:p w14:paraId="4D463B34">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3.3.2在合同履行过程中，工程造价专业人员应保持相对稳定，以保证咨询工作正常进行。咨询人更换工程造价专业人员时，应提前7天书面通知委托人，并征得委托人书面同意。未经委托人书面同意，咨询人不得擅自更换工程造价专业人员。咨询人擅自更换工程造价专业人员的，应按照专用合同条款的约定，承担违约责任。</w:t>
      </w:r>
    </w:p>
    <w:p w14:paraId="529A853B">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 咨询人承担施工阶段全过程造价管理咨询业务的，应安排工程造价专业人员进驻施工现场，且每月在施工现场时间不得少于专用合同条款约定的天数。工程造价专业人员</w:t>
      </w:r>
      <w:r>
        <w:rPr>
          <w:rFonts w:hint="eastAsia" w:ascii="宋体" w:hAnsi="宋体" w:eastAsia="宋体" w:cs="宋体"/>
          <w:color w:val="auto"/>
          <w:kern w:val="0"/>
          <w:sz w:val="21"/>
          <w:szCs w:val="21"/>
          <w:highlight w:val="none"/>
        </w:rPr>
        <w:t>确需离开施工现场时，应征得委托人同意。</w:t>
      </w:r>
      <w:r>
        <w:rPr>
          <w:rFonts w:hint="eastAsia" w:ascii="宋体" w:hAnsi="宋体" w:eastAsia="宋体" w:cs="宋体"/>
          <w:color w:val="auto"/>
          <w:sz w:val="21"/>
          <w:szCs w:val="21"/>
          <w:highlight w:val="none"/>
        </w:rPr>
        <w:t>咨询人违反约定的，应按照专用合同条款的约定，承担违约责任。</w:t>
      </w:r>
    </w:p>
    <w:p w14:paraId="458B5FE6">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3.3.4 委托人要求咨询人撤换不能按照合同约定履行职责及义务的工程造价专业人员的，咨询人应当撤换。咨询人无正当理由拒绝撤换的，应按照专用合同条款的约定，承担违约责任。</w:t>
      </w:r>
    </w:p>
    <w:p w14:paraId="5CAFBDF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49" w:name="_Toc407261913"/>
      <w:bookmarkStart w:id="150" w:name="_Toc22977"/>
      <w:r>
        <w:rPr>
          <w:rFonts w:hint="eastAsia" w:ascii="宋体" w:hAnsi="宋体" w:eastAsia="宋体" w:cs="宋体"/>
          <w:b/>
          <w:bCs w:val="0"/>
          <w:color w:val="auto"/>
          <w:sz w:val="21"/>
          <w:szCs w:val="21"/>
          <w:highlight w:val="none"/>
        </w:rPr>
        <w:t>4. 咨询业务范围和工作内容</w:t>
      </w:r>
      <w:bookmarkEnd w:id="149"/>
      <w:bookmarkEnd w:id="150"/>
    </w:p>
    <w:p w14:paraId="09266DEF">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51" w:name="_Toc27573"/>
      <w:bookmarkStart w:id="152" w:name="_Toc407261914"/>
      <w:r>
        <w:rPr>
          <w:rFonts w:hint="eastAsia" w:ascii="宋体" w:hAnsi="宋体" w:eastAsia="宋体" w:cs="宋体"/>
          <w:b/>
          <w:bCs w:val="0"/>
          <w:color w:val="auto"/>
          <w:sz w:val="21"/>
          <w:szCs w:val="21"/>
          <w:highlight w:val="none"/>
        </w:rPr>
        <w:t>4.1 咨询业务范围</w:t>
      </w:r>
      <w:bookmarkEnd w:id="151"/>
      <w:bookmarkEnd w:id="152"/>
    </w:p>
    <w:p w14:paraId="20278C6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合同当事人应在合同协议书中约定选择下列工程造价咨询业务中的一项或数项业务，并可在合同协议书中约定其他工程造价咨询业务。</w:t>
      </w:r>
    </w:p>
    <w:p w14:paraId="08EAE543">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投资估算的编制或审核；</w:t>
      </w:r>
    </w:p>
    <w:p w14:paraId="762C6C39">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设计概算的编制或审核；</w:t>
      </w:r>
    </w:p>
    <w:p w14:paraId="541FCF75">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rPr>
        <w:t>施工图预算的编制或审核；</w:t>
      </w:r>
    </w:p>
    <w:p w14:paraId="2529659B">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eastAsia="宋体" w:cs="宋体"/>
          <w:color w:val="auto"/>
          <w:sz w:val="21"/>
          <w:szCs w:val="21"/>
          <w:highlight w:val="none"/>
        </w:rPr>
        <w:t>工程量清单的编制或审核；</w:t>
      </w:r>
    </w:p>
    <w:p w14:paraId="1B2061F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（5）</w:t>
      </w:r>
      <w:r>
        <w:rPr>
          <w:rFonts w:hint="eastAsia" w:ascii="宋体" w:hAnsi="宋体" w:eastAsia="宋体" w:cs="宋体"/>
          <w:color w:val="auto"/>
          <w:sz w:val="21"/>
          <w:szCs w:val="21"/>
          <w:highlight w:val="none"/>
        </w:rPr>
        <w:t>招标控制价的编制或审核；</w:t>
      </w:r>
    </w:p>
    <w:p w14:paraId="7E7BA3E9">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（6）</w:t>
      </w:r>
      <w:r>
        <w:rPr>
          <w:rFonts w:hint="eastAsia" w:ascii="宋体" w:hAnsi="宋体" w:eastAsia="宋体" w:cs="宋体"/>
          <w:color w:val="auto"/>
          <w:sz w:val="21"/>
          <w:szCs w:val="21"/>
          <w:highlight w:val="none"/>
        </w:rPr>
        <w:t>投标报价的编制；</w:t>
      </w:r>
    </w:p>
    <w:p w14:paraId="1AF34773">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w:t>
      </w:r>
      <w:r>
        <w:rPr>
          <w:rFonts w:hint="eastAsia" w:ascii="宋体" w:hAnsi="宋体" w:eastAsia="宋体" w:cs="宋体"/>
          <w:color w:val="auto"/>
          <w:sz w:val="21"/>
          <w:szCs w:val="21"/>
          <w:highlight w:val="none"/>
        </w:rPr>
        <w:t>工程结算的编制或审核；</w:t>
      </w:r>
    </w:p>
    <w:p w14:paraId="362230B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sz w:val="21"/>
          <w:szCs w:val="21"/>
          <w:highlight w:val="none"/>
        </w:rPr>
        <w:t>竣工决算的编制或审核；</w:t>
      </w:r>
    </w:p>
    <w:p w14:paraId="6B43A53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（9）</w:t>
      </w:r>
      <w:r>
        <w:rPr>
          <w:rFonts w:hint="eastAsia" w:ascii="宋体" w:hAnsi="宋体" w:eastAsia="宋体" w:cs="宋体"/>
          <w:color w:val="auto"/>
          <w:sz w:val="21"/>
          <w:szCs w:val="21"/>
          <w:highlight w:val="none"/>
        </w:rPr>
        <w:t>施工阶段全过程造价管理咨询；</w:t>
      </w:r>
    </w:p>
    <w:p w14:paraId="1A7542E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（10）</w:t>
      </w:r>
      <w:r>
        <w:rPr>
          <w:rFonts w:hint="eastAsia" w:ascii="宋体" w:hAnsi="宋体" w:eastAsia="宋体" w:cs="宋体"/>
          <w:color w:val="auto"/>
          <w:sz w:val="21"/>
          <w:szCs w:val="21"/>
          <w:highlight w:val="none"/>
        </w:rPr>
        <w:t>工程造价鉴定。</w:t>
      </w:r>
    </w:p>
    <w:p w14:paraId="7FECC2A6">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53" w:name="_Toc31989"/>
      <w:bookmarkStart w:id="154" w:name="_Toc407261915"/>
      <w:r>
        <w:rPr>
          <w:rFonts w:hint="eastAsia" w:ascii="宋体" w:hAnsi="宋体" w:eastAsia="宋体" w:cs="宋体"/>
          <w:b/>
          <w:bCs w:val="0"/>
          <w:color w:val="auto"/>
          <w:sz w:val="21"/>
          <w:szCs w:val="21"/>
          <w:highlight w:val="none"/>
        </w:rPr>
        <w:t>4.2 咨询工作内容</w:t>
      </w:r>
      <w:bookmarkEnd w:id="153"/>
      <w:bookmarkEnd w:id="154"/>
    </w:p>
    <w:p w14:paraId="28D26B39">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工程造价咨询工作内容，由合同当事人在专用合同条款中约定。</w:t>
      </w:r>
    </w:p>
    <w:p w14:paraId="68B5CF82">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55" w:name="_Toc28241"/>
      <w:bookmarkStart w:id="156" w:name="_Toc407261916"/>
      <w:bookmarkStart w:id="157" w:name="_Toc296346574"/>
      <w:bookmarkStart w:id="158" w:name="_Toc337558772"/>
      <w:bookmarkStart w:id="159" w:name="_Toc296503073"/>
      <w:r>
        <w:rPr>
          <w:rFonts w:hint="eastAsia" w:ascii="宋体" w:hAnsi="宋体" w:eastAsia="宋体" w:cs="宋体"/>
          <w:b/>
          <w:bCs w:val="0"/>
          <w:color w:val="auto"/>
          <w:sz w:val="21"/>
          <w:szCs w:val="21"/>
          <w:highlight w:val="none"/>
        </w:rPr>
        <w:t>5. 咨询期限</w:t>
      </w:r>
      <w:bookmarkEnd w:id="155"/>
      <w:bookmarkEnd w:id="156"/>
    </w:p>
    <w:bookmarkEnd w:id="157"/>
    <w:bookmarkEnd w:id="158"/>
    <w:bookmarkEnd w:id="159"/>
    <w:p w14:paraId="3E16172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60" w:name="_Toc407261917"/>
      <w:bookmarkStart w:id="161" w:name="_Toc31638"/>
      <w:r>
        <w:rPr>
          <w:rFonts w:hint="eastAsia" w:ascii="宋体" w:hAnsi="宋体" w:eastAsia="宋体" w:cs="宋体"/>
          <w:b/>
          <w:bCs w:val="0"/>
          <w:color w:val="auto"/>
          <w:sz w:val="21"/>
          <w:szCs w:val="21"/>
          <w:highlight w:val="none"/>
        </w:rPr>
        <w:t>5.1 咨询期限开始</w:t>
      </w:r>
      <w:bookmarkEnd w:id="160"/>
      <w:bookmarkEnd w:id="161"/>
    </w:p>
    <w:p w14:paraId="4207D66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咨询人应按照合同约定的时间开展咨询工作，因委托人提供咨询资料延后等原因，导致咨询工作未能按照计划开始日期开展的，咨询开始日期和结束日期相应顺延。</w:t>
      </w:r>
    </w:p>
    <w:p w14:paraId="1E720923">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62" w:name="_Toc32168"/>
      <w:bookmarkStart w:id="163" w:name="_Toc407261918"/>
      <w:r>
        <w:rPr>
          <w:rFonts w:hint="eastAsia" w:ascii="宋体" w:hAnsi="宋体" w:eastAsia="宋体" w:cs="宋体"/>
          <w:b/>
          <w:bCs w:val="0"/>
          <w:color w:val="auto"/>
          <w:sz w:val="21"/>
          <w:szCs w:val="21"/>
          <w:highlight w:val="none"/>
        </w:rPr>
        <w:t>5.2 咨询期限延误</w:t>
      </w:r>
      <w:bookmarkEnd w:id="162"/>
      <w:bookmarkEnd w:id="163"/>
    </w:p>
    <w:p w14:paraId="0FB3924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 因委托人原因导致咨询期限延误</w:t>
      </w:r>
    </w:p>
    <w:p w14:paraId="77EA4E85">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在合同履行过程中，因下列情况导致咨询期限延误和费用增加的，由委托人承担由此延误的期限和增加的费用：</w:t>
      </w:r>
    </w:p>
    <w:p w14:paraId="7BDD9769">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委托人未能按合同约定向咨询人提供工程造价咨询所需要的资料或所提供咨询资料不符合合同约定的；</w:t>
      </w:r>
    </w:p>
    <w:p w14:paraId="1FEBF7FE">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委托人未能按合同约定提供咨询工作条件，影响咨询工作正常开展的；</w:t>
      </w:r>
    </w:p>
    <w:p w14:paraId="05C55BB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rPr>
        <w:t>委托人未能在合理期限内对咨询人以书面形式提交并要求作出决定的事宜，给予书面答复，影响咨询工作正常开展的；</w:t>
      </w:r>
    </w:p>
    <w:p w14:paraId="1CEDA3B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eastAsia="宋体" w:cs="宋体"/>
          <w:color w:val="auto"/>
          <w:sz w:val="21"/>
          <w:szCs w:val="21"/>
          <w:highlight w:val="none"/>
        </w:rPr>
        <w:t>委托人未能按合同约定分段支付酬金的；</w:t>
      </w:r>
    </w:p>
    <w:p w14:paraId="3D3A36E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（5）</w:t>
      </w:r>
      <w:r>
        <w:rPr>
          <w:rFonts w:hint="eastAsia" w:ascii="宋体" w:hAnsi="宋体" w:eastAsia="宋体" w:cs="宋体"/>
          <w:color w:val="auto"/>
          <w:sz w:val="21"/>
          <w:szCs w:val="21"/>
          <w:highlight w:val="none"/>
        </w:rPr>
        <w:t>工程暂停施工或工期延误，影响咨询工作正常开展的；</w:t>
      </w:r>
    </w:p>
    <w:p w14:paraId="34551A30">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（6）</w:t>
      </w:r>
      <w:r>
        <w:rPr>
          <w:rFonts w:hint="eastAsia" w:ascii="宋体" w:hAnsi="宋体" w:eastAsia="宋体" w:cs="宋体"/>
          <w:color w:val="auto"/>
          <w:sz w:val="21"/>
          <w:szCs w:val="21"/>
          <w:highlight w:val="none"/>
        </w:rPr>
        <w:t>专用合同条款中约定的其他情形。</w:t>
      </w:r>
    </w:p>
    <w:p w14:paraId="45564E8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5.2.2 因咨询人原因导致咨询期限延误</w:t>
      </w:r>
    </w:p>
    <w:p w14:paraId="5C887146">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bookmarkStart w:id="164" w:name="_Toc296503076"/>
      <w:bookmarkStart w:id="165" w:name="_Toc296346577"/>
      <w:r>
        <w:rPr>
          <w:rFonts w:hint="eastAsia" w:ascii="宋体" w:hAnsi="宋体" w:eastAsia="宋体" w:cs="宋体"/>
          <w:color w:val="auto"/>
          <w:sz w:val="21"/>
          <w:szCs w:val="21"/>
          <w:highlight w:val="none"/>
        </w:rPr>
        <w:t>因</w:t>
      </w:r>
      <w:bookmarkEnd w:id="164"/>
      <w:bookmarkEnd w:id="165"/>
      <w:r>
        <w:rPr>
          <w:rFonts w:hint="eastAsia" w:ascii="宋体" w:hAnsi="宋体" w:eastAsia="宋体" w:cs="宋体"/>
          <w:color w:val="auto"/>
          <w:sz w:val="21"/>
          <w:szCs w:val="21"/>
          <w:highlight w:val="none"/>
        </w:rPr>
        <w:t>咨询人原因造成咨询期限延误的，咨询人应承担由此给委托人造成的损失，合同双方可在专用合同条款中约定逾期完成咨询业务违约金的计算方法和逾期完成咨询业务违约金的上限。咨询人支付逾期完成咨询业务违约金后，不免除咨询人继续完成咨询业务的义务。</w:t>
      </w:r>
    </w:p>
    <w:p w14:paraId="1F84DA66">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5.2.3 因第三人原因导致咨询期限延误</w:t>
      </w:r>
    </w:p>
    <w:p w14:paraId="5481061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在合同履行过程中，因下列情况导致咨询期限延误和费用增加的，由委托人承担由此延误的期限和增加的费用：</w:t>
      </w:r>
    </w:p>
    <w:p w14:paraId="1CC1647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第三人未能在合理期限内提供工程造价咨询所需要的资料或所提供咨询资料不符合合同约定的；</w:t>
      </w:r>
    </w:p>
    <w:p w14:paraId="6AE462BB">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第三人未能在合理期限内对咨询人以书面形式提交并要求作出决定的事宜，给予书面答复，影响咨询工作正常开展的；</w:t>
      </w:r>
    </w:p>
    <w:p w14:paraId="5DF5037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rPr>
        <w:t>专用合同条款中约定的其他情形。</w:t>
      </w:r>
    </w:p>
    <w:p w14:paraId="0B11F94B">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66" w:name="_Toc407261919"/>
      <w:bookmarkStart w:id="167" w:name="_Toc20482"/>
      <w:r>
        <w:rPr>
          <w:rFonts w:hint="eastAsia" w:ascii="宋体" w:hAnsi="宋体" w:eastAsia="宋体" w:cs="宋体"/>
          <w:b/>
          <w:bCs w:val="0"/>
          <w:color w:val="auto"/>
          <w:sz w:val="21"/>
          <w:szCs w:val="21"/>
          <w:highlight w:val="none"/>
        </w:rPr>
        <w:t>5.3 工程造价咨询成果文件交付期限</w:t>
      </w:r>
      <w:bookmarkEnd w:id="166"/>
      <w:bookmarkEnd w:id="167"/>
    </w:p>
    <w:p w14:paraId="0D27EDD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5.3.1</w:t>
      </w:r>
      <w:r>
        <w:rPr>
          <w:rFonts w:hint="eastAsia" w:ascii="宋体" w:hAnsi="宋体" w:eastAsia="宋体" w:cs="宋体"/>
          <w:color w:val="auto"/>
          <w:sz w:val="21"/>
          <w:szCs w:val="21"/>
          <w:highlight w:val="none"/>
        </w:rPr>
        <w:t>咨询人应在合同约定的期限内完成咨询工作，并按专用合同条款约定的份数,向委托人提交工程造价咨询成果文件。除专用合同条款另有约定外，委托人应在收到咨询人提交的工程造价咨询成果文件后14天内完成确认。委托人对工程造价咨询成果文件有异议的，咨询人应进行复核；经复核确实存在误差的，咨询人应修正，并提交修正后的工程造价咨询成果文件。委托人逾期未确认也未提出修改意见的, 工程造价咨询成果文件视为已被认可。</w:t>
      </w:r>
    </w:p>
    <w:p w14:paraId="135B0B2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5.3.2</w:t>
      </w:r>
      <w:r>
        <w:rPr>
          <w:rFonts w:hint="eastAsia" w:ascii="宋体" w:hAnsi="宋体" w:eastAsia="宋体" w:cs="宋体"/>
          <w:color w:val="auto"/>
          <w:sz w:val="21"/>
          <w:szCs w:val="21"/>
          <w:highlight w:val="none"/>
        </w:rPr>
        <w:t>在施工阶段全过程造价管理咨询工作中，因咨询人原因未能在合理的期限内完成工程计量与支付、合同价款调整等文件编制或审核，给委托人造成损失的，应按照专用合同条款的约定，承担违约责任。</w:t>
      </w:r>
    </w:p>
    <w:p w14:paraId="28D475C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5.3.3</w:t>
      </w:r>
      <w:r>
        <w:rPr>
          <w:rFonts w:hint="eastAsia" w:ascii="宋体" w:hAnsi="宋体" w:eastAsia="宋体" w:cs="宋体"/>
          <w:color w:val="auto"/>
          <w:sz w:val="21"/>
          <w:szCs w:val="21"/>
          <w:highlight w:val="none"/>
        </w:rPr>
        <w:t>咨询人提交的工程造价咨询成果文件需要第三人共同确认的，确因特殊原因不能共同签署时，咨询人应单独出具工程造价咨询成果文件，并承担相应法律责任。</w:t>
      </w:r>
    </w:p>
    <w:p w14:paraId="04B42859">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68" w:name="_Toc3251"/>
      <w:bookmarkStart w:id="169" w:name="_Toc407261920"/>
      <w:r>
        <w:rPr>
          <w:rFonts w:hint="eastAsia" w:ascii="宋体" w:hAnsi="宋体" w:eastAsia="宋体" w:cs="宋体"/>
          <w:b/>
          <w:bCs w:val="0"/>
          <w:color w:val="auto"/>
          <w:sz w:val="21"/>
          <w:szCs w:val="21"/>
          <w:highlight w:val="none"/>
        </w:rPr>
        <w:t>6. 咨询质量</w:t>
      </w:r>
      <w:bookmarkEnd w:id="168"/>
      <w:bookmarkEnd w:id="169"/>
    </w:p>
    <w:p w14:paraId="35BFD06B">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70" w:name="_Toc17173"/>
      <w:bookmarkStart w:id="171" w:name="_Toc407261921"/>
      <w:r>
        <w:rPr>
          <w:rFonts w:hint="eastAsia" w:ascii="宋体" w:hAnsi="宋体" w:eastAsia="宋体" w:cs="宋体"/>
          <w:b/>
          <w:bCs w:val="0"/>
          <w:color w:val="auto"/>
          <w:sz w:val="21"/>
          <w:szCs w:val="21"/>
          <w:highlight w:val="none"/>
        </w:rPr>
        <w:t>6.1 质量要求</w:t>
      </w:r>
      <w:bookmarkEnd w:id="170"/>
      <w:bookmarkEnd w:id="171"/>
    </w:p>
    <w:p w14:paraId="22D95AF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bookmarkStart w:id="172" w:name="_Toc337558760"/>
      <w:r>
        <w:rPr>
          <w:rFonts w:hint="eastAsia" w:ascii="宋体" w:hAnsi="宋体" w:eastAsia="宋体" w:cs="宋体"/>
          <w:color w:val="auto"/>
          <w:sz w:val="21"/>
          <w:szCs w:val="21"/>
          <w:highlight w:val="none"/>
        </w:rPr>
        <w:t>咨询人出具的工程造价咨询成果文件质量应符合现行国家或行业工程计价有关规定、标准、规范的要求。</w:t>
      </w:r>
    </w:p>
    <w:p w14:paraId="0438567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委托人要求的工程造价咨询成果文件质量标准高于现行国家或行业标准的，应在专用合同条款中约定具体的质量标准，并相应增加咨询酬金。</w:t>
      </w:r>
    </w:p>
    <w:p w14:paraId="523B5F10">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73" w:name="_Toc895"/>
      <w:bookmarkStart w:id="174" w:name="_Toc407261922"/>
      <w:r>
        <w:rPr>
          <w:rFonts w:hint="eastAsia" w:ascii="宋体" w:hAnsi="宋体" w:eastAsia="宋体" w:cs="宋体"/>
          <w:b/>
          <w:bCs w:val="0"/>
          <w:color w:val="auto"/>
          <w:sz w:val="21"/>
          <w:szCs w:val="21"/>
          <w:highlight w:val="none"/>
        </w:rPr>
        <w:t>6.2 质量保证措施</w:t>
      </w:r>
      <w:bookmarkEnd w:id="173"/>
      <w:bookmarkEnd w:id="174"/>
    </w:p>
    <w:bookmarkEnd w:id="172"/>
    <w:p w14:paraId="76E39E1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咨询人应建立相应的质量管理体系，并通过计划管理、流程控制保证工程造价咨询成果文件质量。</w:t>
      </w:r>
    </w:p>
    <w:p w14:paraId="659A2855">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75" w:name="_Toc23745"/>
      <w:bookmarkStart w:id="176" w:name="_Toc407261923"/>
      <w:r>
        <w:rPr>
          <w:rFonts w:hint="eastAsia" w:ascii="宋体" w:hAnsi="宋体" w:eastAsia="宋体" w:cs="宋体"/>
          <w:b/>
          <w:bCs w:val="0"/>
          <w:color w:val="auto"/>
          <w:sz w:val="21"/>
          <w:szCs w:val="21"/>
          <w:highlight w:val="none"/>
        </w:rPr>
        <w:t>6.3 质量不合格处理</w:t>
      </w:r>
      <w:bookmarkEnd w:id="175"/>
      <w:bookmarkEnd w:id="176"/>
    </w:p>
    <w:p w14:paraId="292F60E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咨询人原因造成工程造价咨询成果文件质量未达到合同约定标准的，委托人有权要求咨询人采取补救措施，直至达到本合同要求的质量标准，并可根据工程造价咨询成果文件综合误差率相应减少咨询酬金。委托人已支付全部酬金的，有权要求咨询人退还相应减少的酬金。减少酬金计算方法在专用合同条款中约定。</w:t>
      </w:r>
    </w:p>
    <w:p w14:paraId="2B0CDAB4">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因咨询人原因造成工程造价咨询成果文件质量未达到合同约定标准给委托人造成损失的，咨询人应承担违约责任，合同双方可在专用合同条款中约定因质量不合格产生的损失赔偿额的计算方法。</w:t>
      </w:r>
    </w:p>
    <w:p w14:paraId="6165CF81">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77" w:name="_Toc29160"/>
      <w:bookmarkStart w:id="178" w:name="_Toc407261924"/>
      <w:r>
        <w:rPr>
          <w:rFonts w:hint="eastAsia" w:ascii="宋体" w:hAnsi="宋体" w:eastAsia="宋体" w:cs="宋体"/>
          <w:b/>
          <w:bCs w:val="0"/>
          <w:color w:val="auto"/>
          <w:sz w:val="21"/>
          <w:szCs w:val="21"/>
          <w:highlight w:val="none"/>
        </w:rPr>
        <w:t>7. 咨询酬金</w:t>
      </w:r>
      <w:bookmarkEnd w:id="177"/>
      <w:bookmarkEnd w:id="178"/>
    </w:p>
    <w:p w14:paraId="26A9F94E">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79" w:name="_Toc407261925"/>
      <w:bookmarkStart w:id="180" w:name="_Toc15967"/>
      <w:r>
        <w:rPr>
          <w:rFonts w:hint="eastAsia" w:ascii="宋体" w:hAnsi="宋体" w:eastAsia="宋体" w:cs="宋体"/>
          <w:b/>
          <w:bCs w:val="0"/>
          <w:color w:val="auto"/>
          <w:sz w:val="21"/>
          <w:szCs w:val="21"/>
          <w:highlight w:val="none"/>
        </w:rPr>
        <w:t>7.1 酬金计算方式</w:t>
      </w:r>
      <w:bookmarkEnd w:id="179"/>
      <w:bookmarkEnd w:id="180"/>
    </w:p>
    <w:p w14:paraId="3E25D36E">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除专用合同条款另有约定外，合同当事人应在</w:t>
      </w:r>
      <w:r>
        <w:rPr>
          <w:rFonts w:hint="eastAsia" w:ascii="宋体" w:hAnsi="宋体" w:eastAsia="宋体" w:cs="宋体"/>
          <w:color w:val="auto"/>
          <w:kern w:val="0"/>
          <w:sz w:val="21"/>
          <w:szCs w:val="21"/>
          <w:highlight w:val="none"/>
        </w:rPr>
        <w:t>合同协议书或</w:t>
      </w:r>
      <w:r>
        <w:rPr>
          <w:rFonts w:hint="eastAsia" w:ascii="宋体" w:hAnsi="宋体" w:eastAsia="宋体" w:cs="宋体"/>
          <w:color w:val="auto"/>
          <w:sz w:val="21"/>
          <w:szCs w:val="21"/>
          <w:highlight w:val="none"/>
        </w:rPr>
        <w:t>专用合同条款</w:t>
      </w:r>
      <w:r>
        <w:rPr>
          <w:rFonts w:hint="eastAsia" w:ascii="宋体" w:hAnsi="宋体" w:eastAsia="宋体" w:cs="宋体"/>
          <w:color w:val="auto"/>
          <w:kern w:val="0"/>
          <w:sz w:val="21"/>
          <w:szCs w:val="21"/>
          <w:highlight w:val="none"/>
        </w:rPr>
        <w:t>中选择下列</w:t>
      </w:r>
      <w:r>
        <w:rPr>
          <w:rFonts w:hint="eastAsia" w:ascii="宋体" w:hAnsi="宋体" w:eastAsia="宋体" w:cs="宋体"/>
          <w:color w:val="auto"/>
          <w:sz w:val="21"/>
          <w:szCs w:val="21"/>
          <w:highlight w:val="none"/>
        </w:rPr>
        <w:t>酬金计算方式之一：</w:t>
      </w:r>
    </w:p>
    <w:p w14:paraId="70A7DFC0">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7.1.1 固定酬金</w:t>
      </w:r>
    </w:p>
    <w:p w14:paraId="1B755A3F">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合同当事人在合同协议书中约定咨询酬金金额。</w:t>
      </w:r>
    </w:p>
    <w:p w14:paraId="2F1C14BE">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7.1.2 基本酬金加绩效酬金</w:t>
      </w:r>
    </w:p>
    <w:p w14:paraId="36E16924">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合同当事人可以在专用合同条款中约定按以下计算方式确定委托人支付给咨询人的基本酬金和绩效酬金金额：</w:t>
      </w:r>
    </w:p>
    <w:p w14:paraId="1A7C16FD">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以施工单位编报的结算总价为基数，乘以专用合同条款约定的基本酬金比例，计算确定基本酬金金额。</w:t>
      </w:r>
    </w:p>
    <w:p w14:paraId="1121E52D">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（2）委托人除支付咨询人基本酬金外，如咨询人审核的工程造价成果文件有审减（增）额的，可以审减（增）额为基数，乘以专用合同条款约定的绩效酬金比例，计算确定绩效酬金金额。</w:t>
      </w:r>
    </w:p>
    <w:p w14:paraId="3B461C3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81" w:name="_Toc10534"/>
      <w:bookmarkStart w:id="182" w:name="_Toc407261926"/>
      <w:r>
        <w:rPr>
          <w:rFonts w:hint="eastAsia" w:ascii="宋体" w:hAnsi="宋体" w:eastAsia="宋体" w:cs="宋体"/>
          <w:b/>
          <w:bCs w:val="0"/>
          <w:color w:val="auto"/>
          <w:sz w:val="21"/>
          <w:szCs w:val="21"/>
          <w:highlight w:val="none"/>
        </w:rPr>
        <w:t>7.2 预付酬金</w:t>
      </w:r>
      <w:bookmarkEnd w:id="181"/>
      <w:bookmarkEnd w:id="182"/>
    </w:p>
    <w:p w14:paraId="6C50D1D3">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合同期限超过6个月的咨询业务，委托人应预付咨询人酬金，预付酬金的支付比例或金额、支付期限在专用合同条款中约定。预付酬金应用于支付承担本合同咨询业务的工程造价专业人员工资。委托人逾期支付预付酬金的，应按照专用合同条款的约定，承担违约责任。</w:t>
      </w:r>
    </w:p>
    <w:p w14:paraId="6B88C275">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83" w:name="_Toc407261927"/>
      <w:bookmarkStart w:id="184" w:name="_Toc23678"/>
      <w:r>
        <w:rPr>
          <w:rFonts w:hint="eastAsia" w:ascii="宋体" w:hAnsi="宋体" w:eastAsia="宋体" w:cs="宋体"/>
          <w:b/>
          <w:bCs w:val="0"/>
          <w:color w:val="auto"/>
          <w:sz w:val="21"/>
          <w:szCs w:val="21"/>
          <w:highlight w:val="none"/>
        </w:rPr>
        <w:t>7.3 酬金分段结算与支付</w:t>
      </w:r>
      <w:bookmarkEnd w:id="183"/>
      <w:bookmarkEnd w:id="184"/>
    </w:p>
    <w:p w14:paraId="21600F8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7.3.1合同当事人应在</w:t>
      </w:r>
      <w:r>
        <w:rPr>
          <w:rFonts w:hint="eastAsia" w:ascii="宋体" w:hAnsi="宋体" w:eastAsia="宋体" w:cs="宋体"/>
          <w:color w:val="auto"/>
          <w:kern w:val="0"/>
          <w:sz w:val="21"/>
          <w:szCs w:val="21"/>
          <w:highlight w:val="none"/>
        </w:rPr>
        <w:t>专用合同条款中约定</w:t>
      </w:r>
      <w:r>
        <w:rPr>
          <w:rFonts w:hint="eastAsia" w:ascii="宋体" w:hAnsi="宋体" w:eastAsia="宋体" w:cs="宋体"/>
          <w:color w:val="auto"/>
          <w:sz w:val="21"/>
          <w:szCs w:val="21"/>
          <w:highlight w:val="none"/>
        </w:rPr>
        <w:t>酬金分段结算与支付的比例或金额。咨询人应</w:t>
      </w:r>
      <w:r>
        <w:rPr>
          <w:rFonts w:hint="eastAsia" w:ascii="宋体" w:hAnsi="宋体" w:eastAsia="宋体" w:cs="宋体"/>
          <w:color w:val="auto"/>
          <w:kern w:val="0"/>
          <w:sz w:val="21"/>
          <w:szCs w:val="21"/>
          <w:highlight w:val="none"/>
        </w:rPr>
        <w:t>按照专用合同条款约定的</w:t>
      </w:r>
      <w:r>
        <w:rPr>
          <w:rFonts w:hint="eastAsia" w:ascii="宋体" w:hAnsi="宋体" w:eastAsia="宋体" w:cs="宋体"/>
          <w:color w:val="auto"/>
          <w:sz w:val="21"/>
          <w:szCs w:val="21"/>
          <w:highlight w:val="none"/>
        </w:rPr>
        <w:t>期限或咨询业务进度节点向委托人提交酬金分段结算与支付申请书。</w:t>
      </w:r>
    </w:p>
    <w:p w14:paraId="22584179">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7.3.2 </w:t>
      </w:r>
      <w:r>
        <w:rPr>
          <w:rFonts w:hint="eastAsia" w:ascii="宋体" w:hAnsi="宋体" w:eastAsia="宋体" w:cs="宋体"/>
          <w:color w:val="auto"/>
          <w:kern w:val="0"/>
          <w:sz w:val="21"/>
          <w:szCs w:val="21"/>
          <w:highlight w:val="none"/>
        </w:rPr>
        <w:t>除专用合同条款另有约定外，</w:t>
      </w:r>
      <w:r>
        <w:rPr>
          <w:rFonts w:hint="eastAsia" w:ascii="宋体" w:hAnsi="宋体" w:eastAsia="宋体" w:cs="宋体"/>
          <w:color w:val="auto"/>
          <w:sz w:val="21"/>
          <w:szCs w:val="21"/>
          <w:highlight w:val="none"/>
        </w:rPr>
        <w:t>委托人应自收到咨询人提交的酬金分段结算与支付申请书之日起14天内审核确认，</w:t>
      </w:r>
      <w:r>
        <w:rPr>
          <w:rFonts w:hint="eastAsia" w:ascii="宋体" w:hAnsi="宋体" w:eastAsia="宋体" w:cs="宋体"/>
          <w:color w:val="auto"/>
          <w:kern w:val="0"/>
          <w:sz w:val="21"/>
          <w:szCs w:val="21"/>
          <w:highlight w:val="none"/>
        </w:rPr>
        <w:t>并完成支付。委托人逾期支付的，按照中国人民银行发布的同期同类贷款基准利率支付违约金。</w:t>
      </w:r>
    </w:p>
    <w:p w14:paraId="3B0D10F5">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85" w:name="_Toc407261928"/>
      <w:bookmarkStart w:id="186" w:name="_Toc31453"/>
      <w:r>
        <w:rPr>
          <w:rFonts w:hint="eastAsia" w:ascii="宋体" w:hAnsi="宋体" w:eastAsia="宋体" w:cs="宋体"/>
          <w:b/>
          <w:bCs w:val="0"/>
          <w:color w:val="auto"/>
          <w:sz w:val="21"/>
          <w:szCs w:val="21"/>
          <w:highlight w:val="none"/>
        </w:rPr>
        <w:t>7.4 酬金结清与支付</w:t>
      </w:r>
      <w:bookmarkEnd w:id="185"/>
      <w:bookmarkEnd w:id="186"/>
    </w:p>
    <w:p w14:paraId="63B8940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7.4.1 除专用合同条款另有约定外，咨询人应自提交的工程造价咨询成果文件经委托人确认后14天内，向委托人提交酬金结清与支付申请书。</w:t>
      </w:r>
    </w:p>
    <w:p w14:paraId="6E4564DB">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7.4.2 除专用合同条款另有约定外，委托人应自收到咨询人提交的酬金结清与支付申请书之日起14天内审核确认，委托人逾期未审核确认也未提出异议的, 酬金结清与支付申请视为已被认可。</w:t>
      </w:r>
    </w:p>
    <w:p w14:paraId="1CE9637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7.4.3 除专用合同条款另有约定外，委托人应自审核确认酬金结清与支付申请书之日起14天内</w:t>
      </w:r>
      <w:r>
        <w:rPr>
          <w:rFonts w:hint="eastAsia" w:ascii="宋体" w:hAnsi="宋体" w:eastAsia="宋体" w:cs="宋体"/>
          <w:color w:val="auto"/>
          <w:kern w:val="0"/>
          <w:sz w:val="21"/>
          <w:szCs w:val="21"/>
          <w:highlight w:val="none"/>
        </w:rPr>
        <w:t>将结清未支付的酬金一次性支付给咨询人。委托人逾期支付的，按照中国人民银行发布的同期同类贷款基准利率支付违约金。</w:t>
      </w:r>
    </w:p>
    <w:p w14:paraId="5F442B66">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7.4.4 委托人对咨询人提交的酬金结清与支付申请书有异议时，应当在收到咨询人提交的酬金结清与支付申请书后14天内，以书面形式向咨询人发出异议通知。无异议部分的款项应按期支付，有异议部分的款项按照第10条〔争议解决〕的约定处理。</w:t>
      </w:r>
    </w:p>
    <w:p w14:paraId="71FA62EF">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87" w:name="_Toc31807"/>
      <w:bookmarkStart w:id="188" w:name="_Toc407261929"/>
      <w:r>
        <w:rPr>
          <w:rFonts w:hint="eastAsia" w:ascii="宋体" w:hAnsi="宋体" w:eastAsia="宋体" w:cs="宋体"/>
          <w:b/>
          <w:bCs w:val="0"/>
          <w:color w:val="auto"/>
          <w:sz w:val="21"/>
          <w:szCs w:val="21"/>
          <w:highlight w:val="none"/>
        </w:rPr>
        <w:t>7.5 费用支付</w:t>
      </w:r>
      <w:bookmarkEnd w:id="187"/>
      <w:bookmarkEnd w:id="188"/>
    </w:p>
    <w:p w14:paraId="08A11F20">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因工程建设需要，由咨询人配合委托人组织的外出询价、考察以及聘请相关专家等发生的费用由委托人支付。</w:t>
      </w:r>
    </w:p>
    <w:p w14:paraId="215F03BA">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89" w:name="_Toc4490"/>
      <w:bookmarkStart w:id="190" w:name="_Toc407261930"/>
      <w:r>
        <w:rPr>
          <w:rFonts w:hint="eastAsia" w:ascii="宋体" w:hAnsi="宋体" w:eastAsia="宋体" w:cs="宋体"/>
          <w:b/>
          <w:bCs w:val="0"/>
          <w:color w:val="auto"/>
          <w:sz w:val="21"/>
          <w:szCs w:val="21"/>
          <w:highlight w:val="none"/>
        </w:rPr>
        <w:t>8. 变更</w:t>
      </w:r>
      <w:bookmarkEnd w:id="189"/>
      <w:bookmarkEnd w:id="190"/>
    </w:p>
    <w:p w14:paraId="658356EB">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91" w:name="_Toc407261931"/>
      <w:bookmarkStart w:id="192" w:name="_Toc14465"/>
      <w:bookmarkStart w:id="193" w:name="_Toc296346585"/>
      <w:bookmarkStart w:id="194" w:name="_Toc337558788"/>
      <w:bookmarkStart w:id="195" w:name="_Toc296503084"/>
      <w:r>
        <w:rPr>
          <w:rFonts w:hint="eastAsia" w:ascii="宋体" w:hAnsi="宋体" w:eastAsia="宋体" w:cs="宋体"/>
          <w:b/>
          <w:bCs w:val="0"/>
          <w:color w:val="auto"/>
          <w:sz w:val="21"/>
          <w:szCs w:val="21"/>
          <w:highlight w:val="none"/>
        </w:rPr>
        <w:t>8.1 变更的范围</w:t>
      </w:r>
      <w:bookmarkEnd w:id="191"/>
      <w:bookmarkEnd w:id="192"/>
    </w:p>
    <w:bookmarkEnd w:id="193"/>
    <w:bookmarkEnd w:id="194"/>
    <w:bookmarkEnd w:id="195"/>
    <w:p w14:paraId="7AEA00E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合同履行过程中发生以下情形的，应按照本条约定进行变更：</w:t>
      </w:r>
    </w:p>
    <w:p w14:paraId="13B4A834">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扩大或缩小工程规模的；</w:t>
      </w:r>
    </w:p>
    <w:p w14:paraId="59B5C12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增加或减少咨询业务范围和工作内容的；</w:t>
      </w:r>
    </w:p>
    <w:p w14:paraId="7E6FBF6A">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rPr>
        <w:t>提高或降低咨询质量标准的；</w:t>
      </w:r>
    </w:p>
    <w:p w14:paraId="0E301237">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eastAsia="宋体" w:cs="宋体"/>
          <w:color w:val="auto"/>
          <w:sz w:val="21"/>
          <w:szCs w:val="21"/>
          <w:highlight w:val="none"/>
        </w:rPr>
        <w:t>专用合同条款中约定的其他情形。</w:t>
      </w:r>
    </w:p>
    <w:p w14:paraId="4F062730">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96" w:name="_Toc407261932"/>
      <w:bookmarkStart w:id="197" w:name="_Toc13704"/>
      <w:r>
        <w:rPr>
          <w:rFonts w:hint="eastAsia" w:ascii="宋体" w:hAnsi="宋体" w:eastAsia="宋体" w:cs="宋体"/>
          <w:b/>
          <w:bCs w:val="0"/>
          <w:color w:val="auto"/>
          <w:sz w:val="21"/>
          <w:szCs w:val="21"/>
          <w:highlight w:val="none"/>
        </w:rPr>
        <w:t>8.2 变更引起的咨询酬金和期限调整</w:t>
      </w:r>
      <w:bookmarkEnd w:id="196"/>
      <w:bookmarkEnd w:id="197"/>
    </w:p>
    <w:p w14:paraId="3C9ECCF3">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bookmarkStart w:id="198" w:name="_Toc407261933"/>
      <w:r>
        <w:rPr>
          <w:rFonts w:hint="eastAsia" w:ascii="宋体" w:hAnsi="宋体" w:eastAsia="宋体" w:cs="宋体"/>
          <w:color w:val="auto"/>
          <w:sz w:val="21"/>
          <w:szCs w:val="21"/>
          <w:highlight w:val="none"/>
        </w:rPr>
        <w:t>本项目采用固定</w:t>
      </w:r>
      <w:r>
        <w:rPr>
          <w:rFonts w:hint="eastAsia" w:ascii="宋体" w:hAnsi="宋体" w:cs="宋体"/>
          <w:color w:val="auto"/>
          <w:sz w:val="21"/>
          <w:szCs w:val="21"/>
          <w:highlight w:val="none"/>
          <w:lang w:val="en-US" w:eastAsia="zh-CN"/>
        </w:rPr>
        <w:t>费率</w:t>
      </w:r>
      <w:r>
        <w:rPr>
          <w:rFonts w:hint="eastAsia" w:ascii="宋体" w:hAnsi="宋体" w:eastAsia="宋体" w:cs="宋体"/>
          <w:color w:val="auto"/>
          <w:sz w:val="21"/>
          <w:szCs w:val="21"/>
          <w:highlight w:val="none"/>
        </w:rPr>
        <w:t>，任何原因（包含但不限于设计图纸变更等）导致的项目期限延长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编制</w:t>
      </w:r>
      <w:r>
        <w:rPr>
          <w:rFonts w:hint="eastAsia" w:ascii="宋体" w:hAnsi="宋体" w:cs="宋体"/>
          <w:color w:val="auto"/>
          <w:sz w:val="21"/>
          <w:szCs w:val="21"/>
          <w:highlight w:val="none"/>
          <w:lang w:val="en-US" w:eastAsia="zh-CN"/>
        </w:rPr>
        <w:t>费率均</w:t>
      </w:r>
      <w:r>
        <w:rPr>
          <w:rFonts w:hint="eastAsia" w:ascii="宋体" w:hAnsi="宋体" w:eastAsia="宋体" w:cs="宋体"/>
          <w:color w:val="auto"/>
          <w:sz w:val="21"/>
          <w:szCs w:val="21"/>
          <w:highlight w:val="none"/>
        </w:rPr>
        <w:t>不予调整。</w:t>
      </w:r>
    </w:p>
    <w:p w14:paraId="2CA21C40">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199" w:name="_Toc13665"/>
      <w:r>
        <w:rPr>
          <w:rFonts w:hint="eastAsia" w:ascii="宋体" w:hAnsi="宋体" w:eastAsia="宋体" w:cs="宋体"/>
          <w:b/>
          <w:bCs w:val="0"/>
          <w:color w:val="auto"/>
          <w:sz w:val="21"/>
          <w:szCs w:val="21"/>
          <w:highlight w:val="none"/>
        </w:rPr>
        <w:t>8.3 咨询人的合理化建议</w:t>
      </w:r>
      <w:bookmarkEnd w:id="198"/>
      <w:bookmarkEnd w:id="199"/>
    </w:p>
    <w:p w14:paraId="0651836F">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咨询人可以向委托人提出合理化建议并说明实施该建议对工程造价和工期的影响。</w:t>
      </w:r>
    </w:p>
    <w:p w14:paraId="49918A46">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理化建议降低了工程造价或者提高了工程经济效益，使委托人受益的，委托人可对咨询人给予奖励。除专用合同条款另有约定外，合理化建议的奖励金额，以合理化建议给委托人带来的受益额为基数，乘以专用合同条款约定的奖励金额的比率计算确定。</w:t>
      </w:r>
    </w:p>
    <w:p w14:paraId="7282560B">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00" w:name="_Toc407261934"/>
      <w:bookmarkStart w:id="201" w:name="_Toc11005"/>
      <w:r>
        <w:rPr>
          <w:rFonts w:hint="eastAsia" w:ascii="宋体" w:hAnsi="宋体" w:eastAsia="宋体" w:cs="宋体"/>
          <w:b/>
          <w:bCs w:val="0"/>
          <w:color w:val="auto"/>
          <w:sz w:val="21"/>
          <w:szCs w:val="21"/>
          <w:highlight w:val="none"/>
        </w:rPr>
        <w:t>9. 违约</w:t>
      </w:r>
      <w:bookmarkEnd w:id="200"/>
      <w:bookmarkEnd w:id="201"/>
    </w:p>
    <w:p w14:paraId="36D4A75A">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02" w:name="_Toc7394"/>
      <w:bookmarkStart w:id="203" w:name="_Toc407261935"/>
      <w:r>
        <w:rPr>
          <w:rFonts w:hint="eastAsia" w:ascii="宋体" w:hAnsi="宋体" w:eastAsia="宋体" w:cs="宋体"/>
          <w:b/>
          <w:bCs w:val="0"/>
          <w:color w:val="auto"/>
          <w:sz w:val="21"/>
          <w:szCs w:val="21"/>
          <w:highlight w:val="none"/>
        </w:rPr>
        <w:t>9.1 委托人违约</w:t>
      </w:r>
      <w:bookmarkEnd w:id="202"/>
      <w:bookmarkEnd w:id="203"/>
    </w:p>
    <w:p w14:paraId="286B5C31">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未能按照合同约定履行合同义务的，咨询人可向委托人发出通知，要求委托人采取有效措施纠正违约行为。委托人应承担因其违约给咨询人增加的费用和延误的咨询期限，并按专用合同条款的约定承担违约责任。</w:t>
      </w:r>
    </w:p>
    <w:p w14:paraId="558E696C">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委托人收到咨询人通知后56天内仍不纠正其违约行为且影响咨询工作正常开展的，咨询人有权解除合同。委托人应在解除合同后28天内按专用合同条款的约定完成已完咨询业务酬金结算和付款。合同当事人未能就解除合同后的结清达成一致的，按照第10条〔争议解决〕的约定处理。</w:t>
      </w:r>
    </w:p>
    <w:p w14:paraId="30FD9F0E">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04" w:name="_Toc407261936"/>
      <w:bookmarkStart w:id="205" w:name="_Toc30833"/>
      <w:r>
        <w:rPr>
          <w:rFonts w:hint="eastAsia" w:ascii="宋体" w:hAnsi="宋体" w:eastAsia="宋体" w:cs="宋体"/>
          <w:b/>
          <w:bCs w:val="0"/>
          <w:color w:val="auto"/>
          <w:sz w:val="21"/>
          <w:szCs w:val="21"/>
          <w:highlight w:val="none"/>
        </w:rPr>
        <w:t>9.2 咨询人违约</w:t>
      </w:r>
      <w:bookmarkEnd w:id="204"/>
      <w:bookmarkEnd w:id="205"/>
    </w:p>
    <w:p w14:paraId="4DEB66D8">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人未能按照合同约定履行合同义务的，委托人可向咨询人发出整改通知，要求其在指定的合理期限内改正。咨询人应承担因其违约行为而增加的费用和延误的咨询期限，并按专用合同条款的约定承担违约责任。</w:t>
      </w:r>
    </w:p>
    <w:p w14:paraId="2843D864">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委托人发出整改通知后，咨询人在指定的合理期限内仍不纠正违约行为，委托人有权解除合同。合同当事人应在解除合同后28天内按专用合同条款的约定完成已完咨询业务酬金结算和付款。合同当事人未能就解除合同后的结清达成一致的，按照第10条〔争议解决〕的约定处理。</w:t>
      </w:r>
    </w:p>
    <w:p w14:paraId="0AC0C901">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06" w:name="_Toc5566"/>
      <w:bookmarkStart w:id="207" w:name="_Toc407261937"/>
      <w:r>
        <w:rPr>
          <w:rFonts w:hint="eastAsia" w:ascii="宋体" w:hAnsi="宋体" w:eastAsia="宋体" w:cs="宋体"/>
          <w:b/>
          <w:bCs w:val="0"/>
          <w:color w:val="auto"/>
          <w:sz w:val="21"/>
          <w:szCs w:val="21"/>
          <w:highlight w:val="none"/>
        </w:rPr>
        <w:t>9.3 第三人造成的违约</w:t>
      </w:r>
      <w:bookmarkEnd w:id="206"/>
      <w:bookmarkEnd w:id="207"/>
    </w:p>
    <w:p w14:paraId="7583C4E9">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在合同履行过程中，一方当事人因第三人的原因造成违约的，应当向对方当事人承担违约责任。一方当事人和第三人之间的纠纷，依照法律规定或者按照约定解决。</w:t>
      </w:r>
    </w:p>
    <w:p w14:paraId="3E6EC980">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08" w:name="_Toc8924"/>
      <w:bookmarkStart w:id="209" w:name="_Toc407261938"/>
      <w:r>
        <w:rPr>
          <w:rFonts w:hint="eastAsia" w:ascii="宋体" w:hAnsi="宋体" w:eastAsia="宋体" w:cs="宋体"/>
          <w:b/>
          <w:bCs w:val="0"/>
          <w:color w:val="auto"/>
          <w:sz w:val="21"/>
          <w:szCs w:val="21"/>
          <w:highlight w:val="none"/>
        </w:rPr>
        <w:t>10. 争议解决</w:t>
      </w:r>
      <w:bookmarkEnd w:id="208"/>
      <w:bookmarkEnd w:id="209"/>
    </w:p>
    <w:p w14:paraId="156E52C2">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10" w:name="_Toc407261939"/>
      <w:bookmarkStart w:id="211" w:name="_Toc11679"/>
      <w:bookmarkStart w:id="212" w:name="_Toc337558841"/>
      <w:bookmarkStart w:id="213" w:name="_Toc296346648"/>
      <w:bookmarkStart w:id="214" w:name="_Toc296503147"/>
      <w:r>
        <w:rPr>
          <w:rFonts w:hint="eastAsia" w:ascii="宋体" w:hAnsi="宋体" w:eastAsia="宋体" w:cs="宋体"/>
          <w:b/>
          <w:bCs w:val="0"/>
          <w:color w:val="auto"/>
          <w:sz w:val="21"/>
          <w:szCs w:val="21"/>
          <w:highlight w:val="none"/>
        </w:rPr>
        <w:t>10.1 和解</w:t>
      </w:r>
      <w:bookmarkEnd w:id="210"/>
      <w:bookmarkEnd w:id="211"/>
    </w:p>
    <w:bookmarkEnd w:id="212"/>
    <w:bookmarkEnd w:id="213"/>
    <w:bookmarkEnd w:id="214"/>
    <w:p w14:paraId="1A50F442">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合同当事人可以就争议自行和解，自行和解达成协议的经双方签字并盖章后作为合同补充文件，双方均应遵照执行。</w:t>
      </w:r>
    </w:p>
    <w:p w14:paraId="38CC37D9">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15" w:name="_Toc407261940"/>
      <w:bookmarkStart w:id="216" w:name="_Toc4977"/>
      <w:r>
        <w:rPr>
          <w:rFonts w:hint="eastAsia" w:ascii="宋体" w:hAnsi="宋体" w:eastAsia="宋体" w:cs="宋体"/>
          <w:b/>
          <w:bCs w:val="0"/>
          <w:color w:val="auto"/>
          <w:sz w:val="21"/>
          <w:szCs w:val="21"/>
          <w:highlight w:val="none"/>
        </w:rPr>
        <w:t>10</w:t>
      </w:r>
      <w:bookmarkStart w:id="217" w:name="_Toc296503148"/>
      <w:bookmarkStart w:id="218" w:name="_Toc337558842"/>
      <w:bookmarkStart w:id="219" w:name="_Toc296346649"/>
      <w:r>
        <w:rPr>
          <w:rFonts w:hint="eastAsia" w:ascii="宋体" w:hAnsi="宋体" w:eastAsia="宋体" w:cs="宋体"/>
          <w:b/>
          <w:bCs w:val="0"/>
          <w:color w:val="auto"/>
          <w:sz w:val="21"/>
          <w:szCs w:val="21"/>
          <w:highlight w:val="none"/>
        </w:rPr>
        <w:t>.2 调解</w:t>
      </w:r>
      <w:bookmarkEnd w:id="215"/>
      <w:bookmarkEnd w:id="216"/>
    </w:p>
    <w:bookmarkEnd w:id="217"/>
    <w:bookmarkEnd w:id="218"/>
    <w:bookmarkEnd w:id="219"/>
    <w:p w14:paraId="0C4D0B11">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合同当事人可以就争议请求工程造价管理部门、行业协会或其他第三方进行调解，调解达成协议的，经双方签字并盖章后作为合同补充文件，双方均应遵照执行。</w:t>
      </w:r>
    </w:p>
    <w:p w14:paraId="65565093">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20" w:name="_Toc14939"/>
      <w:bookmarkStart w:id="221" w:name="_Toc407261941"/>
      <w:r>
        <w:rPr>
          <w:rFonts w:hint="eastAsia" w:ascii="宋体" w:hAnsi="宋体" w:eastAsia="宋体" w:cs="宋体"/>
          <w:b/>
          <w:bCs w:val="0"/>
          <w:color w:val="auto"/>
          <w:sz w:val="21"/>
          <w:szCs w:val="21"/>
          <w:highlight w:val="none"/>
        </w:rPr>
        <w:t>10.3 仲裁或诉讼</w:t>
      </w:r>
      <w:bookmarkEnd w:id="220"/>
      <w:bookmarkEnd w:id="221"/>
    </w:p>
    <w:p w14:paraId="1CF348DB">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因合同及合同有关事项产生的争议，合同当事人可以在专用合同条款中约定下列任意一种方式解决争议：</w:t>
      </w:r>
    </w:p>
    <w:p w14:paraId="574031CB">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向约定的仲裁委员会申请仲裁；</w:t>
      </w:r>
    </w:p>
    <w:p w14:paraId="2069B534">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向有管辖权的人民法院起诉。</w:t>
      </w:r>
    </w:p>
    <w:p w14:paraId="7F38F158">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22" w:name="_Toc15471"/>
      <w:bookmarkStart w:id="223" w:name="_Toc407261942"/>
      <w:r>
        <w:rPr>
          <w:rFonts w:hint="eastAsia" w:ascii="宋体" w:hAnsi="宋体" w:eastAsia="宋体" w:cs="宋体"/>
          <w:b/>
          <w:bCs w:val="0"/>
          <w:color w:val="auto"/>
          <w:sz w:val="21"/>
          <w:szCs w:val="21"/>
          <w:highlight w:val="none"/>
        </w:rPr>
        <w:t>10.4 争议解决条款效力</w:t>
      </w:r>
      <w:bookmarkEnd w:id="222"/>
      <w:bookmarkEnd w:id="223"/>
    </w:p>
    <w:p w14:paraId="5752C299">
      <w:pPr>
        <w:pageBreakBefore w:val="0"/>
        <w:widowControl w:val="0"/>
        <w:kinsoku/>
        <w:wordWrap/>
        <w:overflowPunct/>
        <w:topLinePunct w:val="0"/>
        <w:bidi w:val="0"/>
        <w:snapToGrid/>
        <w:spacing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合同有关争议解决的条款独立存在，合同的变更、解除、终止、无效或者被撤销均不影响其效力。</w:t>
      </w:r>
    </w:p>
    <w:p w14:paraId="1115B9B1">
      <w:pPr>
        <w:spacing w:line="360" w:lineRule="auto"/>
        <w:ind w:firstLine="420" w:firstLineChars="200"/>
        <w:rPr>
          <w:rFonts w:hint="eastAsia" w:ascii="宋体" w:hAnsi="宋体" w:eastAsia="宋体" w:cs="宋体"/>
          <w:color w:val="auto"/>
          <w:sz w:val="21"/>
          <w:szCs w:val="21"/>
          <w:highlight w:val="none"/>
        </w:rPr>
      </w:pPr>
    </w:p>
    <w:p w14:paraId="0972EC9C">
      <w:pPr>
        <w:spacing w:line="360" w:lineRule="auto"/>
        <w:ind w:firstLine="420" w:firstLineChars="200"/>
        <w:rPr>
          <w:rFonts w:hint="eastAsia" w:ascii="宋体" w:hAnsi="宋体" w:eastAsia="宋体" w:cs="宋体"/>
          <w:color w:val="auto"/>
          <w:sz w:val="21"/>
          <w:szCs w:val="21"/>
          <w:highlight w:val="none"/>
        </w:rPr>
      </w:pPr>
    </w:p>
    <w:p w14:paraId="57DF0C90">
      <w:pPr>
        <w:spacing w:line="360" w:lineRule="auto"/>
        <w:ind w:firstLine="420" w:firstLineChars="200"/>
        <w:rPr>
          <w:rFonts w:hint="eastAsia" w:ascii="宋体" w:hAnsi="宋体" w:eastAsia="宋体" w:cs="宋体"/>
          <w:color w:val="auto"/>
          <w:sz w:val="21"/>
          <w:szCs w:val="21"/>
          <w:highlight w:val="none"/>
        </w:rPr>
      </w:pPr>
    </w:p>
    <w:p w14:paraId="552B942B">
      <w:pPr>
        <w:spacing w:line="360" w:lineRule="auto"/>
        <w:ind w:firstLine="420" w:firstLineChars="200"/>
        <w:rPr>
          <w:rFonts w:hint="eastAsia" w:ascii="宋体" w:hAnsi="宋体" w:eastAsia="宋体" w:cs="宋体"/>
          <w:color w:val="auto"/>
          <w:sz w:val="21"/>
          <w:szCs w:val="21"/>
          <w:highlight w:val="none"/>
        </w:rPr>
      </w:pPr>
    </w:p>
    <w:p w14:paraId="5BC73368">
      <w:pPr>
        <w:keepNext w:val="0"/>
        <w:keepLines w:val="0"/>
        <w:pageBreakBefore w:val="0"/>
        <w:widowControl/>
        <w:kinsoku/>
        <w:wordWrap/>
        <w:overflowPunct/>
        <w:topLinePunct w:val="0"/>
        <w:autoSpaceDE/>
        <w:autoSpaceDN/>
        <w:bidi w:val="0"/>
        <w:adjustRightInd/>
        <w:snapToGrid/>
        <w:spacing w:before="160" w:beforeLines="50" w:after="160" w:afterLines="50"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br w:type="page"/>
      </w:r>
      <w:bookmarkStart w:id="224" w:name="_Toc407261943"/>
      <w:r>
        <w:rPr>
          <w:rFonts w:hint="eastAsia" w:ascii="宋体" w:hAnsi="宋体" w:eastAsia="宋体" w:cs="宋体"/>
          <w:b/>
          <w:bCs/>
          <w:color w:val="auto"/>
          <w:kern w:val="44"/>
          <w:sz w:val="24"/>
          <w:szCs w:val="24"/>
          <w:highlight w:val="none"/>
          <w:lang w:val="en-US" w:eastAsia="zh-CN" w:bidi="ar-SA"/>
        </w:rPr>
        <w:t>第三部分专用合同条款</w:t>
      </w:r>
      <w:bookmarkEnd w:id="224"/>
      <w:bookmarkStart w:id="225" w:name="_Toc351203633"/>
      <w:bookmarkStart w:id="226" w:name="_Toc407261944"/>
    </w:p>
    <w:p w14:paraId="411A5B4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27" w:name="_Toc4588"/>
      <w:r>
        <w:rPr>
          <w:rFonts w:hint="eastAsia" w:ascii="宋体" w:hAnsi="宋体" w:eastAsia="宋体" w:cs="宋体"/>
          <w:b/>
          <w:bCs w:val="0"/>
          <w:color w:val="auto"/>
          <w:sz w:val="21"/>
          <w:szCs w:val="21"/>
          <w:highlight w:val="none"/>
        </w:rPr>
        <w:t>1</w:t>
      </w:r>
      <w:bookmarkStart w:id="228" w:name="_Toc296890984"/>
      <w:bookmarkStart w:id="229" w:name="_Toc292559866"/>
      <w:bookmarkStart w:id="230" w:name="_Toc297048342"/>
      <w:bookmarkStart w:id="231" w:name="_Toc296347155"/>
      <w:bookmarkStart w:id="232" w:name="_Toc296346657"/>
      <w:bookmarkStart w:id="233" w:name="_Toc296944495"/>
      <w:bookmarkStart w:id="234" w:name="_Toc292559361"/>
      <w:bookmarkStart w:id="235" w:name="_Toc296503156"/>
      <w:bookmarkStart w:id="236" w:name="_Toc297120456"/>
      <w:bookmarkStart w:id="237" w:name="_Toc296891196"/>
      <w:r>
        <w:rPr>
          <w:rFonts w:hint="eastAsia" w:ascii="宋体" w:hAnsi="宋体" w:eastAsia="宋体" w:cs="宋体"/>
          <w:b/>
          <w:bCs w:val="0"/>
          <w:color w:val="auto"/>
          <w:sz w:val="21"/>
          <w:szCs w:val="21"/>
          <w:highlight w:val="none"/>
        </w:rPr>
        <w:t>. 一般约定</w:t>
      </w:r>
      <w:bookmarkEnd w:id="225"/>
      <w:bookmarkEnd w:id="226"/>
      <w:bookmarkEnd w:id="227"/>
    </w:p>
    <w:bookmarkEnd w:id="228"/>
    <w:bookmarkEnd w:id="229"/>
    <w:bookmarkEnd w:id="230"/>
    <w:bookmarkEnd w:id="231"/>
    <w:bookmarkEnd w:id="232"/>
    <w:bookmarkEnd w:id="233"/>
    <w:bookmarkEnd w:id="234"/>
    <w:bookmarkEnd w:id="235"/>
    <w:bookmarkEnd w:id="236"/>
    <w:bookmarkEnd w:id="237"/>
    <w:p w14:paraId="305FB0A6">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38" w:name="_Toc32185"/>
      <w:r>
        <w:rPr>
          <w:rFonts w:hint="eastAsia" w:ascii="宋体" w:hAnsi="宋体" w:eastAsia="宋体" w:cs="宋体"/>
          <w:b/>
          <w:bCs w:val="0"/>
          <w:color w:val="auto"/>
          <w:sz w:val="21"/>
          <w:szCs w:val="21"/>
          <w:highlight w:val="none"/>
        </w:rPr>
        <w:t>1.3法律</w:t>
      </w:r>
      <w:bookmarkEnd w:id="238"/>
    </w:p>
    <w:p w14:paraId="7286F94C">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color w:val="auto"/>
          <w:kern w:val="0"/>
          <w:sz w:val="21"/>
          <w:szCs w:val="21"/>
          <w:highlight w:val="none"/>
          <w:u w:val="single"/>
        </w:rPr>
        <w:t>国家现行相关法律法规及现行安徽省工程造价计价办法和规定等 </w:t>
      </w:r>
      <w:r>
        <w:rPr>
          <w:rFonts w:hint="eastAsia" w:ascii="宋体" w:hAnsi="宋体" w:eastAsia="宋体" w:cs="宋体"/>
          <w:color w:val="auto"/>
          <w:sz w:val="21"/>
          <w:szCs w:val="21"/>
          <w:highlight w:val="none"/>
        </w:rPr>
        <w:t>。</w:t>
      </w:r>
    </w:p>
    <w:p w14:paraId="774C25CF">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39" w:name="_Toc14131"/>
      <w:r>
        <w:rPr>
          <w:rFonts w:hint="eastAsia" w:ascii="宋体" w:hAnsi="宋体" w:eastAsia="宋体" w:cs="宋体"/>
          <w:b/>
          <w:bCs w:val="0"/>
          <w:color w:val="auto"/>
          <w:sz w:val="21"/>
          <w:szCs w:val="21"/>
          <w:highlight w:val="none"/>
        </w:rPr>
        <w:t>1.4 标准和规范</w:t>
      </w:r>
      <w:bookmarkEnd w:id="239"/>
    </w:p>
    <w:p w14:paraId="0D406F6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适用于工程造价咨询的标准规范包括：</w:t>
      </w:r>
      <w:r>
        <w:rPr>
          <w:rFonts w:hint="eastAsia" w:ascii="宋体" w:hAnsi="宋体" w:eastAsia="宋体" w:cs="宋体"/>
          <w:color w:val="auto"/>
          <w:sz w:val="21"/>
          <w:szCs w:val="21"/>
          <w:highlight w:val="none"/>
          <w:u w:val="single"/>
        </w:rPr>
        <w:t>《建设工程工程量清单计价规范》</w:t>
      </w:r>
      <w:r>
        <w:rPr>
          <w:rFonts w:hint="eastAsia" w:ascii="宋体" w:hAnsi="宋体" w:cs="宋体"/>
          <w:color w:val="auto"/>
          <w:sz w:val="21"/>
          <w:szCs w:val="21"/>
          <w:highlight w:val="none"/>
          <w:u w:val="single"/>
          <w:lang w:val="en-US" w:eastAsia="zh-CN"/>
        </w:rPr>
        <w:t>等</w:t>
      </w:r>
      <w:r>
        <w:rPr>
          <w:rFonts w:hint="eastAsia" w:ascii="宋体" w:hAnsi="宋体" w:eastAsia="宋体" w:cs="宋体"/>
          <w:color w:val="auto"/>
          <w:sz w:val="21"/>
          <w:szCs w:val="21"/>
          <w:highlight w:val="none"/>
        </w:rPr>
        <w:t>。</w:t>
      </w:r>
    </w:p>
    <w:p w14:paraId="6130A1D5">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40" w:name="_Toc3856"/>
      <w:r>
        <w:rPr>
          <w:rFonts w:hint="eastAsia" w:ascii="宋体" w:hAnsi="宋体" w:eastAsia="宋体" w:cs="宋体"/>
          <w:b/>
          <w:bCs w:val="0"/>
          <w:color w:val="auto"/>
          <w:sz w:val="21"/>
          <w:szCs w:val="21"/>
          <w:highlight w:val="none"/>
        </w:rPr>
        <w:t>1.5 合同文件的优先顺序</w:t>
      </w:r>
      <w:bookmarkEnd w:id="240"/>
    </w:p>
    <w:p w14:paraId="0D6B6A3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合同文件组成及优先顺序为：</w:t>
      </w:r>
      <w:r>
        <w:rPr>
          <w:rFonts w:hint="eastAsia" w:ascii="宋体" w:hAnsi="宋体" w:eastAsia="宋体" w:cs="宋体"/>
          <w:color w:val="auto"/>
          <w:sz w:val="21"/>
          <w:szCs w:val="21"/>
          <w:highlight w:val="none"/>
          <w:u w:val="single"/>
        </w:rPr>
        <w:t>执行通用条款</w:t>
      </w:r>
      <w:r>
        <w:rPr>
          <w:rFonts w:hint="eastAsia" w:ascii="宋体" w:hAnsi="宋体" w:eastAsia="宋体" w:cs="宋体"/>
          <w:color w:val="auto"/>
          <w:sz w:val="21"/>
          <w:szCs w:val="21"/>
          <w:highlight w:val="none"/>
        </w:rPr>
        <w:t>。</w:t>
      </w:r>
    </w:p>
    <w:p w14:paraId="11E09409">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41" w:name="_Toc18890"/>
      <w:r>
        <w:rPr>
          <w:rFonts w:hint="eastAsia" w:ascii="宋体" w:hAnsi="宋体" w:eastAsia="宋体" w:cs="宋体"/>
          <w:b/>
          <w:bCs w:val="0"/>
          <w:color w:val="auto"/>
          <w:sz w:val="21"/>
          <w:szCs w:val="21"/>
          <w:highlight w:val="none"/>
        </w:rPr>
        <w:t>1.6 联络</w:t>
      </w:r>
      <w:bookmarkEnd w:id="241"/>
    </w:p>
    <w:p w14:paraId="5D82E8A8">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1.6.1</w:t>
      </w:r>
      <w:r>
        <w:rPr>
          <w:rFonts w:hint="eastAsia" w:ascii="宋体" w:hAnsi="宋体" w:eastAsia="宋体" w:cs="宋体"/>
          <w:color w:val="auto"/>
          <w:kern w:val="0"/>
          <w:sz w:val="21"/>
          <w:szCs w:val="21"/>
          <w:highlight w:val="none"/>
        </w:rPr>
        <w:t>委托人和咨询人应当在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天内将与合同有关的通知、批准、证明、证书、指示、指令、要求、请求、同意、意见、确定和决定等书面函件送达对方当事人。</w:t>
      </w:r>
    </w:p>
    <w:p w14:paraId="6B955CD4">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1.6.2</w:t>
      </w:r>
      <w:r>
        <w:rPr>
          <w:rFonts w:hint="eastAsia" w:ascii="宋体" w:hAnsi="宋体" w:eastAsia="宋体" w:cs="宋体"/>
          <w:color w:val="auto"/>
          <w:kern w:val="0"/>
          <w:sz w:val="21"/>
          <w:szCs w:val="21"/>
          <w:highlight w:val="none"/>
        </w:rPr>
        <w:t>委托人接收文件的地点：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53EE2CB7">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委托人指定的接收人为：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32634A">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委托人指定的电子邮箱：</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14:paraId="7A83F1FF">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咨询人接收文件的地点：</w:t>
      </w:r>
      <w:r>
        <w:rPr>
          <w:rFonts w:hint="eastAsia" w:ascii="宋体" w:hAnsi="宋体" w:eastAsia="宋体" w:cs="宋体"/>
          <w:color w:val="auto"/>
          <w:sz w:val="21"/>
          <w:szCs w:val="21"/>
          <w:highlight w:val="none"/>
          <w:u w:val="single"/>
        </w:rPr>
        <w:t>/</w:t>
      </w:r>
      <w:r>
        <w:rPr>
          <w:rFonts w:hint="eastAsia" w:ascii="宋体" w:hAnsi="宋体" w:eastAsia="宋体" w:cs="宋体"/>
          <w:color w:val="auto"/>
          <w:kern w:val="0"/>
          <w:sz w:val="21"/>
          <w:szCs w:val="21"/>
          <w:highlight w:val="none"/>
        </w:rPr>
        <w:t>；</w:t>
      </w:r>
    </w:p>
    <w:p w14:paraId="2FE06CA4">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咨询人指定的接收人为：</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6490D36A">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咨询人指定的电子邮箱：</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0353F12">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42" w:name="_Toc9495"/>
      <w:bookmarkStart w:id="243" w:name="_Toc351203634"/>
      <w:bookmarkStart w:id="244" w:name="_Toc407261945"/>
      <w:r>
        <w:rPr>
          <w:rFonts w:hint="eastAsia" w:ascii="宋体" w:hAnsi="宋体" w:eastAsia="宋体" w:cs="宋体"/>
          <w:b/>
          <w:bCs w:val="0"/>
          <w:color w:val="auto"/>
          <w:sz w:val="21"/>
          <w:szCs w:val="21"/>
          <w:highlight w:val="none"/>
        </w:rPr>
        <w:t>2</w:t>
      </w:r>
      <w:bookmarkStart w:id="245" w:name="_Toc292559362"/>
      <w:bookmarkStart w:id="246" w:name="_Toc296503157"/>
      <w:bookmarkStart w:id="247" w:name="_Toc296944496"/>
      <w:bookmarkStart w:id="248" w:name="_Toc292559867"/>
      <w:bookmarkStart w:id="249" w:name="_Toc296347156"/>
      <w:bookmarkStart w:id="250" w:name="_Toc296891197"/>
      <w:bookmarkStart w:id="251" w:name="_Toc296890985"/>
      <w:bookmarkStart w:id="252" w:name="_Toc297048343"/>
      <w:bookmarkStart w:id="253" w:name="_Toc296346658"/>
      <w:bookmarkStart w:id="254" w:name="_Toc297120457"/>
      <w:r>
        <w:rPr>
          <w:rFonts w:hint="eastAsia" w:ascii="宋体" w:hAnsi="宋体" w:eastAsia="宋体" w:cs="宋体"/>
          <w:b/>
          <w:bCs w:val="0"/>
          <w:color w:val="auto"/>
          <w:sz w:val="21"/>
          <w:szCs w:val="21"/>
          <w:highlight w:val="none"/>
        </w:rPr>
        <w:t>. 委托人</w:t>
      </w:r>
      <w:bookmarkEnd w:id="242"/>
      <w:bookmarkEnd w:id="243"/>
      <w:bookmarkEnd w:id="244"/>
    </w:p>
    <w:bookmarkEnd w:id="245"/>
    <w:bookmarkEnd w:id="246"/>
    <w:bookmarkEnd w:id="247"/>
    <w:bookmarkEnd w:id="248"/>
    <w:bookmarkEnd w:id="249"/>
    <w:bookmarkEnd w:id="250"/>
    <w:bookmarkEnd w:id="251"/>
    <w:bookmarkEnd w:id="252"/>
    <w:bookmarkEnd w:id="253"/>
    <w:bookmarkEnd w:id="254"/>
    <w:p w14:paraId="64C5B8AB">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55" w:name="_Toc14705"/>
      <w:r>
        <w:rPr>
          <w:rFonts w:hint="eastAsia" w:ascii="宋体" w:hAnsi="宋体" w:eastAsia="宋体" w:cs="宋体"/>
          <w:b/>
          <w:bCs w:val="0"/>
          <w:color w:val="auto"/>
          <w:sz w:val="21"/>
          <w:szCs w:val="21"/>
          <w:highlight w:val="none"/>
        </w:rPr>
        <w:t>2.1 委托人代表</w:t>
      </w:r>
      <w:bookmarkEnd w:id="255"/>
    </w:p>
    <w:p w14:paraId="45838F2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委托人代表：</w:t>
      </w:r>
    </w:p>
    <w:p w14:paraId="24DA248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45255EE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072D579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463195E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6FC6428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54D09E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5B68E8FE">
      <w:pPr>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委托人对委托人代表的授权范围如下：</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2CFBF9F6">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56" w:name="_Toc28560"/>
      <w:r>
        <w:rPr>
          <w:rFonts w:hint="eastAsia" w:ascii="宋体" w:hAnsi="宋体" w:eastAsia="宋体" w:cs="宋体"/>
          <w:b/>
          <w:bCs w:val="0"/>
          <w:color w:val="auto"/>
          <w:sz w:val="21"/>
          <w:szCs w:val="21"/>
          <w:highlight w:val="none"/>
        </w:rPr>
        <w:t>2.2 提供资料</w:t>
      </w:r>
      <w:bookmarkEnd w:id="256"/>
    </w:p>
    <w:p w14:paraId="63FBA960">
      <w:pPr>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委托人向咨询人提供的资料包括：</w:t>
      </w:r>
      <w:r>
        <w:rPr>
          <w:rFonts w:hint="eastAsia" w:ascii="宋体" w:hAnsi="宋体" w:eastAsia="宋体" w:cs="宋体"/>
          <w:color w:val="auto"/>
          <w:sz w:val="21"/>
          <w:szCs w:val="21"/>
          <w:highlight w:val="none"/>
          <w:u w:val="single"/>
        </w:rPr>
        <w:t>另行交接</w:t>
      </w:r>
      <w:r>
        <w:rPr>
          <w:rFonts w:hint="eastAsia" w:ascii="宋体" w:hAnsi="宋体" w:eastAsia="宋体" w:cs="宋体"/>
          <w:color w:val="auto"/>
          <w:sz w:val="21"/>
          <w:szCs w:val="21"/>
          <w:highlight w:val="none"/>
        </w:rPr>
        <w:t>。</w:t>
      </w:r>
    </w:p>
    <w:p w14:paraId="0008439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委托人向咨询人提供资料的期限为：</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6E75692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关于委托人向咨询人提供资料的特别约定：</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25CA5648">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57" w:name="_Toc475"/>
      <w:r>
        <w:rPr>
          <w:rFonts w:hint="eastAsia" w:ascii="宋体" w:hAnsi="宋体" w:eastAsia="宋体" w:cs="宋体"/>
          <w:b/>
          <w:bCs w:val="0"/>
          <w:color w:val="auto"/>
          <w:sz w:val="21"/>
          <w:szCs w:val="21"/>
          <w:highlight w:val="none"/>
        </w:rPr>
        <w:t>2.4 答复</w:t>
      </w:r>
      <w:bookmarkEnd w:id="257"/>
    </w:p>
    <w:p w14:paraId="0627553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委托人对咨询人以书面形式提交并要求作出决定事宜的答复期限为：</w:t>
      </w:r>
      <w:r>
        <w:rPr>
          <w:rFonts w:hint="eastAsia" w:ascii="宋体" w:hAnsi="宋体" w:eastAsia="宋体" w:cs="宋体"/>
          <w:color w:val="auto"/>
          <w:sz w:val="21"/>
          <w:szCs w:val="21"/>
          <w:highlight w:val="none"/>
          <w:u w:val="single"/>
        </w:rPr>
        <w:t>3天</w:t>
      </w:r>
      <w:r>
        <w:rPr>
          <w:rFonts w:hint="eastAsia" w:ascii="宋体" w:hAnsi="宋体" w:eastAsia="宋体" w:cs="宋体"/>
          <w:color w:val="auto"/>
          <w:sz w:val="21"/>
          <w:szCs w:val="21"/>
          <w:highlight w:val="none"/>
        </w:rPr>
        <w:t>。</w:t>
      </w:r>
    </w:p>
    <w:p w14:paraId="0A67A46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关于咨询人以书面形式提交并要求第三人作出决定的事宜，由委托人送达第三人的特别约定：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37DA3920">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58" w:name="_Toc407261946"/>
      <w:bookmarkStart w:id="259" w:name="_Toc17013"/>
      <w:r>
        <w:rPr>
          <w:rFonts w:hint="eastAsia" w:ascii="宋体" w:hAnsi="宋体" w:eastAsia="宋体" w:cs="宋体"/>
          <w:b/>
          <w:bCs w:val="0"/>
          <w:color w:val="auto"/>
          <w:sz w:val="21"/>
          <w:szCs w:val="21"/>
          <w:highlight w:val="none"/>
        </w:rPr>
        <w:t>3. 咨询人</w:t>
      </w:r>
      <w:bookmarkEnd w:id="258"/>
      <w:bookmarkEnd w:id="259"/>
    </w:p>
    <w:p w14:paraId="1F4EDDFB">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60" w:name="_Toc6627"/>
      <w:r>
        <w:rPr>
          <w:rFonts w:hint="eastAsia" w:ascii="宋体" w:hAnsi="宋体" w:eastAsia="宋体" w:cs="宋体"/>
          <w:b/>
          <w:bCs w:val="0"/>
          <w:color w:val="auto"/>
          <w:sz w:val="21"/>
          <w:szCs w:val="21"/>
          <w:highlight w:val="none"/>
        </w:rPr>
        <w:t>3.2 项目负责人</w:t>
      </w:r>
      <w:bookmarkEnd w:id="260"/>
    </w:p>
    <w:p w14:paraId="263BB6A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2A48450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182D7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造价工程师注册证书号：</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6111D1B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E302A6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503E700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36EA06E5">
      <w:pPr>
        <w:spacing w:line="36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咨询人对项目负责人的授权范围如下：</w:t>
      </w:r>
      <w:r>
        <w:rPr>
          <w:rFonts w:hint="eastAsia" w:ascii="宋体" w:hAnsi="宋体" w:eastAsia="宋体" w:cs="宋体"/>
          <w:color w:val="auto"/>
          <w:sz w:val="21"/>
          <w:szCs w:val="21"/>
          <w:highlight w:val="none"/>
          <w:u w:val="single"/>
        </w:rPr>
        <w:t>负责本项目所有事务</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8515BB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61" w:name="_Toc2262"/>
      <w:r>
        <w:rPr>
          <w:rFonts w:hint="eastAsia" w:ascii="宋体" w:hAnsi="宋体" w:eastAsia="宋体" w:cs="宋体"/>
          <w:b/>
          <w:bCs w:val="0"/>
          <w:color w:val="auto"/>
          <w:sz w:val="21"/>
          <w:szCs w:val="21"/>
          <w:highlight w:val="none"/>
        </w:rPr>
        <w:t>3.3 工程造价专业人员</w:t>
      </w:r>
      <w:bookmarkEnd w:id="261"/>
    </w:p>
    <w:p w14:paraId="267A3D6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3.3.1</w:t>
      </w:r>
      <w:r>
        <w:rPr>
          <w:rFonts w:hint="eastAsia" w:ascii="宋体" w:hAnsi="宋体" w:eastAsia="宋体" w:cs="宋体"/>
          <w:color w:val="auto"/>
          <w:sz w:val="21"/>
          <w:szCs w:val="21"/>
          <w:highlight w:val="none"/>
        </w:rPr>
        <w:t>咨询人提交工程造价专业人员任命文件及其注册证书或资格证书的期限：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D689D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咨询人未提交</w:t>
      </w:r>
      <w:r>
        <w:rPr>
          <w:rFonts w:hint="eastAsia" w:ascii="宋体" w:hAnsi="宋体" w:eastAsia="宋体" w:cs="宋体"/>
          <w:color w:val="auto"/>
          <w:sz w:val="21"/>
          <w:szCs w:val="21"/>
          <w:highlight w:val="none"/>
        </w:rPr>
        <w:t>为工程造价专业人员缴纳的社会保险有效证明</w:t>
      </w:r>
      <w:r>
        <w:rPr>
          <w:rFonts w:hint="eastAsia" w:ascii="宋体" w:hAnsi="宋体" w:eastAsia="宋体" w:cs="宋体"/>
          <w:color w:val="auto"/>
          <w:kern w:val="0"/>
          <w:sz w:val="21"/>
          <w:szCs w:val="21"/>
          <w:highlight w:val="none"/>
        </w:rPr>
        <w:t>的违约责任：</w:t>
      </w:r>
      <w:r>
        <w:rPr>
          <w:rFonts w:hint="eastAsia" w:ascii="宋体" w:hAnsi="宋体" w:eastAsia="宋体" w:cs="宋体"/>
          <w:color w:val="auto"/>
          <w:kern w:val="0"/>
          <w:sz w:val="21"/>
          <w:szCs w:val="21"/>
          <w:highlight w:val="none"/>
          <w:u w:val="single"/>
        </w:rPr>
        <w:t>/</w:t>
      </w:r>
      <w:r>
        <w:rPr>
          <w:rFonts w:hint="eastAsia" w:ascii="宋体" w:hAnsi="宋体" w:eastAsia="宋体" w:cs="宋体"/>
          <w:color w:val="auto"/>
          <w:sz w:val="21"/>
          <w:szCs w:val="21"/>
          <w:highlight w:val="none"/>
        </w:rPr>
        <w:t>。</w:t>
      </w:r>
    </w:p>
    <w:p w14:paraId="67C71C3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3.3.2</w:t>
      </w:r>
      <w:r>
        <w:rPr>
          <w:rFonts w:hint="eastAsia" w:ascii="宋体" w:hAnsi="宋体" w:eastAsia="宋体" w:cs="宋体"/>
          <w:color w:val="auto"/>
          <w:sz w:val="21"/>
          <w:szCs w:val="21"/>
          <w:highlight w:val="none"/>
        </w:rPr>
        <w:t>咨询人擅自更换工程造价专业人员的违约责任：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E43FBB">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3.3.3</w:t>
      </w:r>
      <w:r>
        <w:rPr>
          <w:rFonts w:hint="eastAsia" w:ascii="宋体" w:hAnsi="宋体" w:eastAsia="宋体" w:cs="宋体"/>
          <w:color w:val="auto"/>
          <w:sz w:val="21"/>
          <w:szCs w:val="21"/>
          <w:highlight w:val="none"/>
        </w:rPr>
        <w:t>咨询人安排的工程造价专业人员</w:t>
      </w:r>
      <w:r>
        <w:rPr>
          <w:rFonts w:hint="eastAsia" w:ascii="宋体" w:hAnsi="宋体" w:eastAsia="宋体" w:cs="宋体"/>
          <w:color w:val="auto"/>
          <w:kern w:val="0"/>
          <w:sz w:val="21"/>
          <w:szCs w:val="21"/>
          <w:highlight w:val="none"/>
        </w:rPr>
        <w:t>每月在施工现场的时间要求：</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kern w:val="0"/>
          <w:sz w:val="21"/>
          <w:szCs w:val="21"/>
          <w:highlight w:val="none"/>
        </w:rPr>
        <w:t>。</w:t>
      </w:r>
    </w:p>
    <w:p w14:paraId="6E027AF3">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工程造价专业人员</w:t>
      </w:r>
      <w:r>
        <w:rPr>
          <w:rFonts w:hint="eastAsia" w:ascii="宋体" w:hAnsi="宋体" w:eastAsia="宋体" w:cs="宋体"/>
          <w:color w:val="auto"/>
          <w:kern w:val="0"/>
          <w:sz w:val="21"/>
          <w:szCs w:val="21"/>
          <w:highlight w:val="none"/>
        </w:rPr>
        <w:t>未经批准，擅自离开施工现场的违约责任：</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205932D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3.3.4</w:t>
      </w:r>
      <w:r>
        <w:rPr>
          <w:rFonts w:hint="eastAsia" w:ascii="宋体" w:hAnsi="宋体" w:eastAsia="宋体" w:cs="宋体"/>
          <w:color w:val="auto"/>
          <w:sz w:val="21"/>
          <w:szCs w:val="21"/>
          <w:highlight w:val="none"/>
        </w:rPr>
        <w:t>咨询人无正当理由拒绝撤换工程造价专业人员的违约责任：</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6A72A2CD">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62" w:name="_Toc22901"/>
      <w:bookmarkStart w:id="263" w:name="_Toc407261947"/>
      <w:r>
        <w:rPr>
          <w:rFonts w:hint="eastAsia" w:ascii="宋体" w:hAnsi="宋体" w:eastAsia="宋体" w:cs="宋体"/>
          <w:b/>
          <w:bCs w:val="0"/>
          <w:color w:val="auto"/>
          <w:sz w:val="21"/>
          <w:szCs w:val="21"/>
          <w:highlight w:val="none"/>
        </w:rPr>
        <w:t>4. 咨询业务范围和工作内容</w:t>
      </w:r>
      <w:bookmarkEnd w:id="262"/>
      <w:bookmarkEnd w:id="263"/>
    </w:p>
    <w:p w14:paraId="585CCC69">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64" w:name="_Toc22435"/>
      <w:r>
        <w:rPr>
          <w:rFonts w:hint="eastAsia" w:ascii="宋体" w:hAnsi="宋体" w:eastAsia="宋体" w:cs="宋体"/>
          <w:b/>
          <w:bCs w:val="0"/>
          <w:color w:val="auto"/>
          <w:sz w:val="21"/>
          <w:szCs w:val="21"/>
          <w:highlight w:val="none"/>
        </w:rPr>
        <w:t>4.2 咨询工作内容</w:t>
      </w:r>
      <w:bookmarkEnd w:id="264"/>
    </w:p>
    <w:p w14:paraId="7DFE1FB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工程造价咨询工作内容包括：</w:t>
      </w:r>
      <w:r>
        <w:rPr>
          <w:rFonts w:hint="eastAsia" w:ascii="宋体" w:hAnsi="宋体" w:eastAsia="宋体" w:cs="宋体"/>
          <w:color w:val="auto"/>
          <w:sz w:val="21"/>
          <w:szCs w:val="21"/>
          <w:highlight w:val="none"/>
          <w:u w:val="single"/>
        </w:rPr>
        <w:t>清单、最高投标限价的编制及网上备案工作，并向</w:t>
      </w:r>
      <w:r>
        <w:rPr>
          <w:rFonts w:hint="eastAsia" w:ascii="宋体" w:hAnsi="宋体" w:eastAsia="宋体" w:cs="宋体"/>
          <w:color w:val="auto"/>
          <w:sz w:val="21"/>
          <w:szCs w:val="21"/>
          <w:highlight w:val="none"/>
          <w:u w:val="single"/>
          <w:lang w:val="en-US" w:eastAsia="zh-CN"/>
        </w:rPr>
        <w:t>招标人</w:t>
      </w:r>
      <w:r>
        <w:rPr>
          <w:rFonts w:hint="eastAsia" w:ascii="宋体" w:hAnsi="宋体" w:eastAsia="宋体" w:cs="宋体"/>
          <w:color w:val="auto"/>
          <w:sz w:val="21"/>
          <w:szCs w:val="21"/>
          <w:highlight w:val="none"/>
          <w:u w:val="single"/>
        </w:rPr>
        <w:t>提交造价成果及最高限价备案表</w:t>
      </w:r>
      <w:r>
        <w:rPr>
          <w:rFonts w:hint="eastAsia" w:ascii="宋体" w:hAnsi="宋体" w:cs="宋体"/>
          <w:color w:val="auto"/>
          <w:sz w:val="21"/>
          <w:szCs w:val="21"/>
          <w:highlight w:val="none"/>
          <w:u w:val="single"/>
          <w:lang w:eastAsia="zh-CN"/>
        </w:rPr>
        <w:t>（</w:t>
      </w:r>
      <w:r>
        <w:rPr>
          <w:rFonts w:hint="eastAsia" w:ascii="宋体" w:hAnsi="宋体" w:cs="宋体"/>
          <w:color w:val="auto"/>
          <w:sz w:val="21"/>
          <w:szCs w:val="21"/>
          <w:highlight w:val="none"/>
          <w:u w:val="single"/>
          <w:lang w:val="en-US" w:eastAsia="zh-CN"/>
        </w:rPr>
        <w:t>如需</w:t>
      </w:r>
      <w:r>
        <w:rPr>
          <w:rFonts w:hint="eastAsia" w:ascii="宋体" w:hAnsi="宋体" w:cs="宋体"/>
          <w:color w:val="auto"/>
          <w:sz w:val="21"/>
          <w:szCs w:val="21"/>
          <w:highlight w:val="none"/>
          <w:u w:val="single"/>
          <w:lang w:eastAsia="zh-CN"/>
        </w:rPr>
        <w:t>）。</w:t>
      </w:r>
      <w:r>
        <w:rPr>
          <w:rFonts w:hint="eastAsia" w:ascii="宋体" w:hAnsi="宋体" w:cs="宋体"/>
          <w:color w:val="auto"/>
          <w:sz w:val="21"/>
          <w:szCs w:val="21"/>
          <w:highlight w:val="none"/>
          <w:u w:val="single"/>
          <w:lang w:val="en-US" w:eastAsia="zh-CN"/>
        </w:rPr>
        <w:t>中标人须根据招标人要求对本项目的最高投标限价提供清单编制及交底相关服务。未按要求提供服务，每发现一次扣除1000元违约金，直接从服务费中扣除。</w:t>
      </w:r>
    </w:p>
    <w:p w14:paraId="1808B7ED">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65" w:name="_Toc407261948"/>
      <w:bookmarkStart w:id="266" w:name="_Toc29612"/>
      <w:r>
        <w:rPr>
          <w:rFonts w:hint="eastAsia" w:ascii="宋体" w:hAnsi="宋体" w:eastAsia="宋体" w:cs="宋体"/>
          <w:b/>
          <w:bCs w:val="0"/>
          <w:color w:val="auto"/>
          <w:sz w:val="21"/>
          <w:szCs w:val="21"/>
          <w:highlight w:val="none"/>
        </w:rPr>
        <w:t>5. 咨询期限</w:t>
      </w:r>
      <w:bookmarkEnd w:id="265"/>
      <w:bookmarkEnd w:id="266"/>
    </w:p>
    <w:p w14:paraId="42DD2CDB">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67" w:name="_Toc26569"/>
      <w:r>
        <w:rPr>
          <w:rFonts w:hint="eastAsia" w:ascii="宋体" w:hAnsi="宋体" w:eastAsia="宋体" w:cs="宋体"/>
          <w:b/>
          <w:bCs w:val="0"/>
          <w:color w:val="auto"/>
          <w:sz w:val="21"/>
          <w:szCs w:val="21"/>
          <w:highlight w:val="none"/>
        </w:rPr>
        <w:t>5.2 咨询期限延误</w:t>
      </w:r>
      <w:bookmarkEnd w:id="267"/>
    </w:p>
    <w:p w14:paraId="674EC71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5.2.1</w:t>
      </w:r>
      <w:r>
        <w:rPr>
          <w:rFonts w:hint="eastAsia" w:ascii="宋体" w:hAnsi="宋体" w:eastAsia="宋体" w:cs="宋体"/>
          <w:color w:val="auto"/>
          <w:sz w:val="21"/>
          <w:szCs w:val="21"/>
          <w:highlight w:val="none"/>
        </w:rPr>
        <w:t>因委托人原因导致咨询期限延误</w:t>
      </w:r>
    </w:p>
    <w:p w14:paraId="21C4DA2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（6）因</w:t>
      </w:r>
      <w:r>
        <w:rPr>
          <w:rFonts w:hint="eastAsia" w:ascii="宋体" w:hAnsi="宋体" w:eastAsia="宋体" w:cs="宋体"/>
          <w:color w:val="auto"/>
          <w:sz w:val="21"/>
          <w:szCs w:val="21"/>
          <w:highlight w:val="none"/>
        </w:rPr>
        <w:t>委托人原因导致咨询期限延误的其他情形：</w:t>
      </w:r>
      <w:r>
        <w:rPr>
          <w:rFonts w:hint="eastAsia" w:ascii="宋体" w:hAnsi="宋体" w:eastAsia="宋体" w:cs="宋体"/>
          <w:color w:val="auto"/>
          <w:sz w:val="21"/>
          <w:szCs w:val="21"/>
          <w:highlight w:val="none"/>
          <w:u w:val="single"/>
        </w:rPr>
        <w:t xml:space="preserve">   顺延   </w:t>
      </w:r>
      <w:r>
        <w:rPr>
          <w:rFonts w:hint="eastAsia" w:ascii="宋体" w:hAnsi="宋体" w:eastAsia="宋体" w:cs="宋体"/>
          <w:color w:val="auto"/>
          <w:sz w:val="21"/>
          <w:szCs w:val="21"/>
          <w:highlight w:val="none"/>
        </w:rPr>
        <w:t>。</w:t>
      </w:r>
    </w:p>
    <w:p w14:paraId="50A2186D">
      <w:pPr>
        <w:spacing w:line="360" w:lineRule="auto"/>
        <w:ind w:firstLine="420" w:firstLineChars="200"/>
        <w:rPr>
          <w:rFonts w:hint="eastAsia" w:ascii="宋体" w:hAnsi="宋体" w:eastAsia="宋体" w:cs="宋体"/>
          <w:color w:val="auto"/>
          <w:sz w:val="21"/>
          <w:szCs w:val="21"/>
          <w:highlight w:val="none"/>
        </w:rPr>
      </w:pPr>
      <w:bookmarkStart w:id="268" w:name="_Toc297123518"/>
      <w:bookmarkStart w:id="269" w:name="_Toc300934970"/>
      <w:bookmarkStart w:id="270" w:name="_Toc297216177"/>
      <w:bookmarkStart w:id="271" w:name="_Toc303539127"/>
      <w:bookmarkStart w:id="272" w:name="_Toc304295548"/>
      <w:r>
        <w:rPr>
          <w:rFonts w:hint="eastAsia" w:ascii="宋体" w:hAnsi="宋体" w:eastAsia="宋体" w:cs="宋体"/>
          <w:bCs/>
          <w:color w:val="auto"/>
          <w:sz w:val="21"/>
          <w:szCs w:val="21"/>
          <w:highlight w:val="none"/>
        </w:rPr>
        <w:t>5.2.2</w:t>
      </w:r>
      <w:r>
        <w:rPr>
          <w:rFonts w:hint="eastAsia" w:ascii="宋体" w:hAnsi="宋体" w:eastAsia="宋体" w:cs="宋体"/>
          <w:color w:val="auto"/>
          <w:sz w:val="21"/>
          <w:szCs w:val="21"/>
          <w:highlight w:val="none"/>
        </w:rPr>
        <w:t>因咨询人原因导致咨询期限延误</w:t>
      </w:r>
    </w:p>
    <w:p w14:paraId="003535A4">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w:t>
      </w:r>
      <w:bookmarkStart w:id="273" w:name="_Toc312677487"/>
      <w:bookmarkStart w:id="274" w:name="_Toc318581170"/>
      <w:bookmarkStart w:id="275" w:name="_Toc312678013"/>
      <w:r>
        <w:rPr>
          <w:rFonts w:hint="eastAsia" w:ascii="宋体" w:hAnsi="宋体" w:eastAsia="宋体" w:cs="宋体"/>
          <w:color w:val="auto"/>
          <w:sz w:val="21"/>
          <w:szCs w:val="21"/>
          <w:highlight w:val="none"/>
        </w:rPr>
        <w:t>咨询人原因造成咨询期限延误，逾期完成咨询业务违约金的计算方法为：因咨询人原因造成咨询期限延误，逾期完成咨询业务违约金的计算方法为：</w:t>
      </w:r>
      <w:r>
        <w:rPr>
          <w:rFonts w:hint="eastAsia" w:ascii="宋体" w:hAnsi="宋体" w:eastAsia="宋体" w:cs="宋体"/>
          <w:color w:val="auto"/>
          <w:sz w:val="21"/>
          <w:szCs w:val="21"/>
          <w:highlight w:val="none"/>
          <w:u w:val="single"/>
        </w:rPr>
        <w:t>工程造价咨询成果文件延期一天，造价咨询费用顺延一个月支付</w:t>
      </w:r>
      <w:bookmarkEnd w:id="268"/>
      <w:bookmarkEnd w:id="269"/>
      <w:bookmarkEnd w:id="270"/>
      <w:bookmarkEnd w:id="271"/>
      <w:bookmarkEnd w:id="272"/>
      <w:bookmarkEnd w:id="273"/>
      <w:bookmarkEnd w:id="274"/>
      <w:bookmarkEnd w:id="275"/>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同时，每逾期一日，咨询人应向委托人支付单个项目编制服务费千分之三的违约金。逾期超过30日的，委托人有权单方解除合同，咨询人除支付前述违约金外，还应向委托人支付本合同约定总酬金20%的违约金。</w:t>
      </w:r>
    </w:p>
    <w:p w14:paraId="5759B9A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因咨询人原因造成咨询期限延误，</w:t>
      </w:r>
      <w:bookmarkStart w:id="276" w:name="_Toc318581171"/>
      <w:bookmarkStart w:id="277" w:name="_Toc312678014"/>
      <w:r>
        <w:rPr>
          <w:rFonts w:hint="eastAsia" w:ascii="宋体" w:hAnsi="宋体" w:eastAsia="宋体" w:cs="宋体"/>
          <w:color w:val="auto"/>
          <w:sz w:val="21"/>
          <w:szCs w:val="21"/>
          <w:highlight w:val="none"/>
        </w:rPr>
        <w:t>逾期完成咨询业务违约金的上限：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bookmarkEnd w:id="276"/>
    <w:bookmarkEnd w:id="277"/>
    <w:p w14:paraId="10EA795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5.2.3</w:t>
      </w:r>
      <w:r>
        <w:rPr>
          <w:rFonts w:hint="eastAsia" w:ascii="宋体" w:hAnsi="宋体" w:eastAsia="宋体" w:cs="宋体"/>
          <w:color w:val="auto"/>
          <w:sz w:val="21"/>
          <w:szCs w:val="21"/>
          <w:highlight w:val="none"/>
        </w:rPr>
        <w:t>因第三人原因导致咨询期限延误</w:t>
      </w:r>
    </w:p>
    <w:p w14:paraId="4E4ABD7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（3）因</w:t>
      </w:r>
      <w:r>
        <w:rPr>
          <w:rFonts w:hint="eastAsia" w:ascii="宋体" w:hAnsi="宋体" w:eastAsia="宋体" w:cs="宋体"/>
          <w:color w:val="auto"/>
          <w:sz w:val="21"/>
          <w:szCs w:val="21"/>
          <w:highlight w:val="none"/>
        </w:rPr>
        <w:t>第三人原因导致咨询期限延误的其他情形：</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711ABFC1">
      <w:pPr>
        <w:pStyle w:val="3"/>
        <w:keepNext/>
        <w:keepLines/>
        <w:pageBreakBefore w:val="0"/>
        <w:widowControl w:val="0"/>
        <w:numPr>
          <w:ilvl w:val="1"/>
          <w:numId w:val="0"/>
        </w:numPr>
        <w:kinsoku/>
        <w:wordWrap/>
        <w:overflowPunct/>
        <w:topLinePunct w:val="0"/>
        <w:autoSpaceDE/>
        <w:autoSpaceDN/>
        <w:bidi w:val="0"/>
        <w:adjustRightInd/>
        <w:snapToGrid/>
        <w:spacing w:line="440" w:lineRule="exact"/>
        <w:ind w:left="431" w:leftChars="0"/>
        <w:jc w:val="left"/>
        <w:textAlignment w:val="auto"/>
        <w:rPr>
          <w:rFonts w:hint="eastAsia" w:ascii="宋体" w:hAnsi="宋体" w:eastAsia="宋体" w:cs="宋体"/>
          <w:b/>
          <w:bCs w:val="0"/>
          <w:color w:val="auto"/>
          <w:sz w:val="21"/>
          <w:szCs w:val="21"/>
          <w:highlight w:val="none"/>
        </w:rPr>
      </w:pPr>
      <w:bookmarkStart w:id="278" w:name="_Toc20213"/>
      <w:r>
        <w:rPr>
          <w:rFonts w:hint="eastAsia" w:ascii="宋体" w:hAnsi="宋体" w:eastAsia="宋体" w:cs="宋体"/>
          <w:b/>
          <w:bCs w:val="0"/>
          <w:color w:val="auto"/>
          <w:sz w:val="21"/>
          <w:szCs w:val="21"/>
          <w:highlight w:val="none"/>
        </w:rPr>
        <w:t>5.3 工程造价咨询成果文件交付期限</w:t>
      </w:r>
      <w:bookmarkEnd w:id="278"/>
    </w:p>
    <w:p w14:paraId="561E6A5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5.3.1</w:t>
      </w:r>
      <w:r>
        <w:rPr>
          <w:rFonts w:hint="eastAsia" w:ascii="宋体" w:hAnsi="宋体" w:eastAsia="宋体" w:cs="宋体"/>
          <w:color w:val="auto"/>
          <w:sz w:val="21"/>
          <w:szCs w:val="21"/>
          <w:highlight w:val="none"/>
        </w:rPr>
        <w:t>咨询人向委托人提交工程造价咨询成果文件的份数</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五</w:t>
      </w:r>
      <w:r>
        <w:rPr>
          <w:rFonts w:hint="eastAsia" w:ascii="宋体" w:hAnsi="宋体" w:cs="宋体"/>
          <w:color w:val="auto"/>
          <w:sz w:val="21"/>
          <w:szCs w:val="21"/>
          <w:highlight w:val="none"/>
          <w:u w:val="single"/>
          <w:lang w:eastAsia="zh-CN"/>
        </w:rPr>
        <w:t>，</w:t>
      </w:r>
      <w:r>
        <w:rPr>
          <w:rFonts w:hint="eastAsia" w:ascii="宋体" w:hAnsi="宋体" w:cs="宋体"/>
          <w:color w:val="auto"/>
          <w:sz w:val="21"/>
          <w:szCs w:val="21"/>
          <w:highlight w:val="none"/>
          <w:u w:val="single"/>
          <w:lang w:val="en-US" w:eastAsia="zh-CN"/>
        </w:rPr>
        <w:t>具体以满足委托人需求为准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FDF13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委托人在收到咨询人提交的工程造价咨询成果文件后确认或提出修改意见的期限：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3F973F7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5.3.2</w:t>
      </w:r>
      <w:r>
        <w:rPr>
          <w:rFonts w:hint="eastAsia" w:ascii="宋体" w:hAnsi="宋体" w:eastAsia="宋体" w:cs="宋体"/>
          <w:color w:val="auto"/>
          <w:sz w:val="21"/>
          <w:szCs w:val="21"/>
          <w:highlight w:val="none"/>
        </w:rPr>
        <w:t>因咨询人原因未能在合理的期限内完成工程计量与支付、合同价款调整等文件编制或审核，给委托人造成损失的违约责任</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4D30A05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79" w:name="_Toc407261949"/>
      <w:bookmarkStart w:id="280" w:name="_Toc14934"/>
      <w:r>
        <w:rPr>
          <w:rFonts w:hint="eastAsia" w:ascii="宋体" w:hAnsi="宋体" w:eastAsia="宋体" w:cs="宋体"/>
          <w:b/>
          <w:bCs w:val="0"/>
          <w:color w:val="auto"/>
          <w:sz w:val="21"/>
          <w:szCs w:val="21"/>
          <w:highlight w:val="none"/>
        </w:rPr>
        <w:t>6. 咨询质量</w:t>
      </w:r>
      <w:bookmarkEnd w:id="279"/>
      <w:bookmarkEnd w:id="280"/>
    </w:p>
    <w:p w14:paraId="5F63A7E7">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81" w:name="_Toc4921"/>
      <w:r>
        <w:rPr>
          <w:rFonts w:hint="eastAsia" w:ascii="宋体" w:hAnsi="宋体" w:eastAsia="宋体" w:cs="宋体"/>
          <w:b/>
          <w:bCs w:val="0"/>
          <w:color w:val="auto"/>
          <w:sz w:val="21"/>
          <w:szCs w:val="21"/>
          <w:highlight w:val="none"/>
        </w:rPr>
        <w:t>6.1 质量要求</w:t>
      </w:r>
      <w:bookmarkEnd w:id="281"/>
    </w:p>
    <w:p w14:paraId="358AA87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工程造价咨询成果文件质量标准：</w:t>
      </w:r>
      <w:r>
        <w:rPr>
          <w:rFonts w:hint="eastAsia" w:ascii="宋体" w:hAnsi="宋体" w:eastAsia="宋体" w:cs="宋体"/>
          <w:color w:val="auto"/>
          <w:sz w:val="21"/>
          <w:szCs w:val="21"/>
          <w:highlight w:val="none"/>
          <w:u w:val="single"/>
        </w:rPr>
        <w:t>工程造价咨询成果文件质量应符合现行国家或行业工程计价有关规定、标准、规范的要求并完成网上备案工作</w:t>
      </w:r>
      <w:r>
        <w:rPr>
          <w:rFonts w:hint="eastAsia" w:ascii="宋体" w:hAnsi="宋体" w:cs="宋体"/>
          <w:color w:val="auto"/>
          <w:sz w:val="21"/>
          <w:szCs w:val="21"/>
          <w:highlight w:val="none"/>
          <w:u w:val="single"/>
          <w:lang w:eastAsia="zh-CN"/>
        </w:rPr>
        <w:t>（</w:t>
      </w:r>
      <w:r>
        <w:rPr>
          <w:rFonts w:hint="eastAsia" w:ascii="宋体" w:hAnsi="宋体" w:cs="宋体"/>
          <w:color w:val="auto"/>
          <w:sz w:val="21"/>
          <w:szCs w:val="21"/>
          <w:highlight w:val="none"/>
          <w:u w:val="single"/>
          <w:lang w:val="en-US" w:eastAsia="zh-CN"/>
        </w:rPr>
        <w:t>如需</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w:t>
      </w:r>
    </w:p>
    <w:p w14:paraId="673EC71C">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82" w:name="_Toc32369"/>
      <w:r>
        <w:rPr>
          <w:rFonts w:hint="eastAsia" w:ascii="宋体" w:hAnsi="宋体" w:eastAsia="宋体" w:cs="宋体"/>
          <w:b/>
          <w:bCs w:val="0"/>
          <w:color w:val="auto"/>
          <w:sz w:val="21"/>
          <w:szCs w:val="21"/>
          <w:highlight w:val="none"/>
        </w:rPr>
        <w:t>6.3 质量不合格处理</w:t>
      </w:r>
      <w:bookmarkEnd w:id="282"/>
    </w:p>
    <w:p w14:paraId="0A4CDBE9">
      <w:pPr>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因咨询人原因造成工程造价咨询成果文件质量未达到合同约定标准，委托人相应减少咨询酬金的计算方法为：</w:t>
      </w:r>
    </w:p>
    <w:p w14:paraId="71DFE943">
      <w:pPr>
        <w:spacing w:line="360" w:lineRule="auto"/>
        <w:ind w:firstLine="420" w:firstLineChars="200"/>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single"/>
          <w:lang w:val="en-US" w:eastAsia="zh-CN"/>
        </w:rPr>
        <w:t>因</w:t>
      </w:r>
      <w:r>
        <w:rPr>
          <w:rFonts w:hint="eastAsia" w:ascii="宋体" w:hAnsi="宋体" w:cs="宋体"/>
          <w:color w:val="auto"/>
          <w:sz w:val="21"/>
          <w:szCs w:val="21"/>
          <w:highlight w:val="none"/>
          <w:u w:val="single"/>
          <w:lang w:val="en-US" w:eastAsia="zh-CN"/>
        </w:rPr>
        <w:t>编制单位</w:t>
      </w:r>
      <w:r>
        <w:rPr>
          <w:rFonts w:hint="eastAsia" w:ascii="宋体" w:hAnsi="宋体" w:eastAsia="宋体" w:cs="宋体"/>
          <w:color w:val="auto"/>
          <w:sz w:val="21"/>
          <w:szCs w:val="21"/>
          <w:highlight w:val="none"/>
          <w:u w:val="single"/>
          <w:lang w:val="en-US" w:eastAsia="zh-CN"/>
        </w:rPr>
        <w:t>编制的工程量清单控制价文本缺项、漏项、错误引起的工程费用增加，每发生5次及以上（含5次）3～20万的变更扣除编制单位合同编制费用的5%</w:t>
      </w:r>
      <w:r>
        <w:rPr>
          <w:rFonts w:hint="eastAsia" w:ascii="宋体" w:hAnsi="宋体" w:cs="宋体"/>
          <w:color w:val="auto"/>
          <w:sz w:val="21"/>
          <w:szCs w:val="21"/>
          <w:highlight w:val="none"/>
          <w:u w:val="single"/>
          <w:lang w:val="en-US" w:eastAsia="zh-CN"/>
        </w:rPr>
        <w:t>作为</w:t>
      </w:r>
      <w:r>
        <w:rPr>
          <w:rFonts w:hint="eastAsia" w:ascii="宋体" w:hAnsi="宋体" w:eastAsia="宋体" w:cs="宋体"/>
          <w:color w:val="auto"/>
          <w:sz w:val="21"/>
          <w:szCs w:val="21"/>
          <w:highlight w:val="none"/>
          <w:u w:val="single"/>
          <w:lang w:val="en-US" w:eastAsia="zh-CN"/>
        </w:rPr>
        <w:t>违约</w:t>
      </w:r>
      <w:r>
        <w:rPr>
          <w:rFonts w:hint="eastAsia" w:ascii="宋体" w:hAnsi="宋体" w:cs="宋体"/>
          <w:color w:val="auto"/>
          <w:sz w:val="21"/>
          <w:szCs w:val="21"/>
          <w:highlight w:val="none"/>
          <w:u w:val="single"/>
          <w:lang w:val="en-US" w:eastAsia="zh-CN"/>
        </w:rPr>
        <w:t>金</w:t>
      </w:r>
      <w:r>
        <w:rPr>
          <w:rFonts w:hint="eastAsia" w:ascii="宋体" w:hAnsi="宋体" w:eastAsia="宋体" w:cs="宋体"/>
          <w:color w:val="auto"/>
          <w:sz w:val="21"/>
          <w:szCs w:val="21"/>
          <w:highlight w:val="none"/>
          <w:u w:val="single"/>
          <w:lang w:val="en-US" w:eastAsia="zh-CN"/>
        </w:rPr>
        <w:t>；每发生</w:t>
      </w:r>
      <w:r>
        <w:rPr>
          <w:rFonts w:hint="eastAsia" w:ascii="宋体" w:hAnsi="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val="en-US" w:eastAsia="zh-CN"/>
        </w:rPr>
        <w:t>次及以上20万元以上50万元以下（含20万）变更扣除编制单位合同编制费用的5%</w:t>
      </w:r>
      <w:r>
        <w:rPr>
          <w:rFonts w:hint="eastAsia" w:ascii="宋体" w:hAnsi="宋体" w:cs="宋体"/>
          <w:color w:val="auto"/>
          <w:sz w:val="21"/>
          <w:szCs w:val="21"/>
          <w:highlight w:val="none"/>
          <w:u w:val="single"/>
          <w:lang w:val="en-US" w:eastAsia="zh-CN"/>
        </w:rPr>
        <w:t>作为</w:t>
      </w:r>
      <w:r>
        <w:rPr>
          <w:rFonts w:hint="eastAsia" w:ascii="宋体" w:hAnsi="宋体" w:eastAsia="宋体" w:cs="宋体"/>
          <w:color w:val="auto"/>
          <w:sz w:val="21"/>
          <w:szCs w:val="21"/>
          <w:highlight w:val="none"/>
          <w:u w:val="single"/>
          <w:lang w:val="en-US" w:eastAsia="zh-CN"/>
        </w:rPr>
        <w:t>违约</w:t>
      </w:r>
      <w:r>
        <w:rPr>
          <w:rFonts w:hint="eastAsia" w:ascii="宋体" w:hAnsi="宋体" w:cs="宋体"/>
          <w:color w:val="auto"/>
          <w:sz w:val="21"/>
          <w:szCs w:val="21"/>
          <w:highlight w:val="none"/>
          <w:u w:val="single"/>
          <w:lang w:val="en-US" w:eastAsia="zh-CN"/>
        </w:rPr>
        <w:t>金</w:t>
      </w:r>
      <w:r>
        <w:rPr>
          <w:rFonts w:hint="eastAsia" w:ascii="宋体" w:hAnsi="宋体" w:eastAsia="宋体" w:cs="宋体"/>
          <w:color w:val="auto"/>
          <w:sz w:val="21"/>
          <w:szCs w:val="21"/>
          <w:highlight w:val="none"/>
          <w:u w:val="single"/>
          <w:lang w:val="en-US" w:eastAsia="zh-CN"/>
        </w:rPr>
        <w:t>；每发生</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val="en-US" w:eastAsia="zh-CN"/>
        </w:rPr>
        <w:t>次50万元以上100万元以下（含50万）的变更扣除编制单位合同编制费用的10%</w:t>
      </w:r>
      <w:r>
        <w:rPr>
          <w:rFonts w:hint="eastAsia" w:ascii="宋体" w:hAnsi="宋体" w:cs="宋体"/>
          <w:color w:val="auto"/>
          <w:sz w:val="21"/>
          <w:szCs w:val="21"/>
          <w:highlight w:val="none"/>
          <w:u w:val="single"/>
          <w:lang w:val="en-US" w:eastAsia="zh-CN"/>
        </w:rPr>
        <w:t>作为</w:t>
      </w:r>
      <w:r>
        <w:rPr>
          <w:rFonts w:hint="eastAsia" w:ascii="宋体" w:hAnsi="宋体" w:eastAsia="宋体" w:cs="宋体"/>
          <w:color w:val="auto"/>
          <w:sz w:val="21"/>
          <w:szCs w:val="21"/>
          <w:highlight w:val="none"/>
          <w:u w:val="single"/>
          <w:lang w:val="en-US" w:eastAsia="zh-CN"/>
        </w:rPr>
        <w:t>违约</w:t>
      </w:r>
      <w:r>
        <w:rPr>
          <w:rFonts w:hint="eastAsia" w:ascii="宋体" w:hAnsi="宋体" w:cs="宋体"/>
          <w:color w:val="auto"/>
          <w:sz w:val="21"/>
          <w:szCs w:val="21"/>
          <w:highlight w:val="none"/>
          <w:u w:val="single"/>
          <w:lang w:val="en-US" w:eastAsia="zh-CN"/>
        </w:rPr>
        <w:t>金</w:t>
      </w:r>
      <w:r>
        <w:rPr>
          <w:rFonts w:hint="eastAsia" w:ascii="宋体" w:hAnsi="宋体" w:eastAsia="宋体" w:cs="宋体"/>
          <w:color w:val="auto"/>
          <w:sz w:val="21"/>
          <w:szCs w:val="21"/>
          <w:highlight w:val="none"/>
          <w:u w:val="single"/>
          <w:lang w:val="en-US" w:eastAsia="zh-CN"/>
        </w:rPr>
        <w:t>；每发生</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val="en-US" w:eastAsia="zh-CN"/>
        </w:rPr>
        <w:t>次100万元以上的变更扣除编制单位合同编制费用的20%</w:t>
      </w:r>
      <w:r>
        <w:rPr>
          <w:rFonts w:hint="eastAsia" w:ascii="宋体" w:hAnsi="宋体" w:cs="宋体"/>
          <w:color w:val="auto"/>
          <w:sz w:val="21"/>
          <w:szCs w:val="21"/>
          <w:highlight w:val="none"/>
          <w:u w:val="single"/>
          <w:lang w:val="en-US" w:eastAsia="zh-CN"/>
        </w:rPr>
        <w:t>作为</w:t>
      </w:r>
      <w:r>
        <w:rPr>
          <w:rFonts w:hint="eastAsia" w:ascii="宋体" w:hAnsi="宋体" w:eastAsia="宋体" w:cs="宋体"/>
          <w:color w:val="auto"/>
          <w:sz w:val="21"/>
          <w:szCs w:val="21"/>
          <w:highlight w:val="none"/>
          <w:u w:val="single"/>
          <w:lang w:val="en-US" w:eastAsia="zh-CN"/>
        </w:rPr>
        <w:t>违约</w:t>
      </w:r>
      <w:r>
        <w:rPr>
          <w:rFonts w:hint="eastAsia" w:ascii="宋体" w:hAnsi="宋体" w:cs="宋体"/>
          <w:color w:val="auto"/>
          <w:sz w:val="21"/>
          <w:szCs w:val="21"/>
          <w:highlight w:val="none"/>
          <w:u w:val="single"/>
          <w:lang w:val="en-US" w:eastAsia="zh-CN"/>
        </w:rPr>
        <w:t>金</w:t>
      </w:r>
      <w:r>
        <w:rPr>
          <w:rFonts w:hint="eastAsia" w:ascii="宋体" w:hAnsi="宋体" w:eastAsia="宋体" w:cs="宋体"/>
          <w:color w:val="auto"/>
          <w:sz w:val="21"/>
          <w:szCs w:val="21"/>
          <w:highlight w:val="none"/>
          <w:u w:val="single"/>
          <w:lang w:val="en-US" w:eastAsia="zh-CN"/>
        </w:rPr>
        <w:t>。</w:t>
      </w:r>
      <w:bookmarkStart w:id="283" w:name="_Toc407261950"/>
    </w:p>
    <w:p w14:paraId="4373A4A5">
      <w:pPr>
        <w:spacing w:line="360" w:lineRule="auto"/>
        <w:ind w:firstLine="422" w:firstLineChars="200"/>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7. 咨询酬金</w:t>
      </w:r>
      <w:bookmarkEnd w:id="283"/>
    </w:p>
    <w:p w14:paraId="7CB24466">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84" w:name="_Toc18006"/>
      <w:r>
        <w:rPr>
          <w:rFonts w:hint="eastAsia" w:ascii="宋体" w:hAnsi="宋体" w:eastAsia="宋体" w:cs="宋体"/>
          <w:b/>
          <w:bCs w:val="0"/>
          <w:color w:val="auto"/>
          <w:sz w:val="21"/>
          <w:szCs w:val="21"/>
          <w:highlight w:val="none"/>
        </w:rPr>
        <w:t>7.1 酬金计算方式</w:t>
      </w:r>
      <w:bookmarkEnd w:id="284"/>
    </w:p>
    <w:p w14:paraId="3838BC22">
      <w:pPr>
        <w:pageBreakBefore w:val="0"/>
        <w:widowControl w:val="0"/>
        <w:kinsoku/>
        <w:wordWrap/>
        <w:overflowPunct/>
        <w:topLinePunct w:val="0"/>
        <w:autoSpaceDE/>
        <w:autoSpaceDN/>
        <w:bidi w:val="0"/>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咨询酬金其他计算方式：</w:t>
      </w:r>
      <w:r>
        <w:rPr>
          <w:rFonts w:hint="eastAsia" w:ascii="宋体" w:hAnsi="宋体" w:eastAsia="宋体" w:cs="宋体"/>
          <w:color w:val="auto"/>
          <w:sz w:val="21"/>
          <w:szCs w:val="21"/>
          <w:highlight w:val="none"/>
          <w:lang w:val="en-US" w:eastAsia="zh-CN"/>
        </w:rPr>
        <w:t>采用固定费率结算，编制服务费</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（施工中标价-暂列金额-暂估价）×6.1‰×中标费率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项目结算时中标费率不予调整。</w:t>
      </w:r>
    </w:p>
    <w:p w14:paraId="0AE32574">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85" w:name="_Toc20592"/>
      <w:r>
        <w:rPr>
          <w:rFonts w:hint="eastAsia" w:ascii="宋体" w:hAnsi="宋体" w:eastAsia="宋体" w:cs="宋体"/>
          <w:b/>
          <w:bCs w:val="0"/>
          <w:color w:val="auto"/>
          <w:sz w:val="21"/>
          <w:szCs w:val="21"/>
          <w:highlight w:val="none"/>
        </w:rPr>
        <w:t>7.2 预付酬金</w:t>
      </w:r>
      <w:bookmarkEnd w:id="285"/>
    </w:p>
    <w:p w14:paraId="70B871D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预付酬金支付比例或金额：</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58EA953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预付酬金支付期限：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2866DB2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委托人逾期支付预付酬金的违约金的计算方式：</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7FEC0907">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86" w:name="_Toc20854"/>
      <w:r>
        <w:rPr>
          <w:rFonts w:hint="eastAsia" w:ascii="宋体" w:hAnsi="宋体" w:eastAsia="宋体" w:cs="宋体"/>
          <w:b/>
          <w:bCs w:val="0"/>
          <w:color w:val="auto"/>
          <w:sz w:val="21"/>
          <w:szCs w:val="21"/>
          <w:highlight w:val="none"/>
        </w:rPr>
        <w:t>7.3 酬金分段结算与支付</w:t>
      </w:r>
      <w:bookmarkEnd w:id="286"/>
    </w:p>
    <w:p w14:paraId="2C7966B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7.3.1</w:t>
      </w:r>
      <w:r>
        <w:rPr>
          <w:rFonts w:hint="eastAsia" w:ascii="宋体" w:hAnsi="宋体" w:eastAsia="宋体" w:cs="宋体"/>
          <w:color w:val="auto"/>
          <w:sz w:val="21"/>
          <w:szCs w:val="21"/>
          <w:highlight w:val="none"/>
        </w:rPr>
        <w:t>酬金分段结算与支付的比例或金额：</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0143776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咨询人提交酬金分段结算与支付申请书的期限：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A48B36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7.3.2</w:t>
      </w:r>
      <w:r>
        <w:rPr>
          <w:rFonts w:hint="eastAsia" w:ascii="宋体" w:hAnsi="宋体" w:eastAsia="宋体" w:cs="宋体"/>
          <w:color w:val="auto"/>
          <w:sz w:val="21"/>
          <w:szCs w:val="21"/>
          <w:highlight w:val="none"/>
        </w:rPr>
        <w:t>委托人审核确认酬金分段结算与支付申请书并完成酬金支付的期限：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51A10C2D">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87" w:name="_Toc25176"/>
      <w:r>
        <w:rPr>
          <w:rFonts w:hint="eastAsia" w:ascii="宋体" w:hAnsi="宋体" w:eastAsia="宋体" w:cs="宋体"/>
          <w:b/>
          <w:bCs w:val="0"/>
          <w:color w:val="auto"/>
          <w:sz w:val="21"/>
          <w:szCs w:val="21"/>
          <w:highlight w:val="none"/>
        </w:rPr>
        <w:t>7.4 酬金结清与支付</w:t>
      </w:r>
      <w:bookmarkEnd w:id="287"/>
    </w:p>
    <w:p w14:paraId="30D6B66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7.4.1</w:t>
      </w:r>
      <w:r>
        <w:rPr>
          <w:rFonts w:hint="eastAsia" w:ascii="宋体" w:hAnsi="宋体" w:eastAsia="宋体" w:cs="宋体"/>
          <w:color w:val="auto"/>
          <w:sz w:val="21"/>
          <w:szCs w:val="21"/>
          <w:highlight w:val="none"/>
        </w:rPr>
        <w:t>咨询人提交酬金结清与支付申请书的期限：</w:t>
      </w:r>
      <w:r>
        <w:rPr>
          <w:rFonts w:hint="eastAsia" w:ascii="宋体" w:hAnsi="宋体" w:eastAsia="宋体" w:cs="宋体"/>
          <w:color w:val="auto"/>
          <w:sz w:val="21"/>
          <w:szCs w:val="21"/>
          <w:highlight w:val="none"/>
          <w:u w:val="single"/>
        </w:rPr>
        <w:t>招标工作结束后30日</w:t>
      </w:r>
      <w:r>
        <w:rPr>
          <w:rFonts w:hint="eastAsia" w:ascii="宋体" w:hAnsi="宋体" w:eastAsia="宋体" w:cs="宋体"/>
          <w:color w:val="auto"/>
          <w:sz w:val="21"/>
          <w:szCs w:val="21"/>
          <w:highlight w:val="none"/>
        </w:rPr>
        <w:t>。</w:t>
      </w:r>
    </w:p>
    <w:p w14:paraId="087825B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7.4.2</w:t>
      </w:r>
      <w:r>
        <w:rPr>
          <w:rFonts w:hint="eastAsia" w:ascii="宋体" w:hAnsi="宋体" w:eastAsia="宋体" w:cs="宋体"/>
          <w:color w:val="auto"/>
          <w:sz w:val="21"/>
          <w:szCs w:val="21"/>
          <w:highlight w:val="none"/>
        </w:rPr>
        <w:t>委托人审核确认酬金结清与支付申请书的期限：</w:t>
      </w:r>
      <w:r>
        <w:rPr>
          <w:rFonts w:hint="eastAsia" w:ascii="宋体" w:hAnsi="宋体" w:eastAsia="宋体" w:cs="宋体"/>
          <w:color w:val="auto"/>
          <w:sz w:val="21"/>
          <w:szCs w:val="21"/>
          <w:highlight w:val="none"/>
          <w:u w:val="single"/>
        </w:rPr>
        <w:t xml:space="preserve">接到支付申请后30内  </w:t>
      </w:r>
      <w:r>
        <w:rPr>
          <w:rFonts w:hint="eastAsia" w:ascii="宋体" w:hAnsi="宋体" w:eastAsia="宋体" w:cs="宋体"/>
          <w:color w:val="auto"/>
          <w:sz w:val="21"/>
          <w:szCs w:val="21"/>
          <w:highlight w:val="none"/>
        </w:rPr>
        <w:t>。</w:t>
      </w:r>
    </w:p>
    <w:p w14:paraId="655DF69E">
      <w:pPr>
        <w:spacing w:line="360" w:lineRule="auto"/>
        <w:ind w:firstLine="420" w:firstLineChars="200"/>
        <w:rPr>
          <w:rFonts w:hint="eastAsia" w:ascii="宋体" w:hAnsi="宋体" w:eastAsia="宋体" w:cs="宋体"/>
          <w:b/>
          <w:bCs/>
          <w:color w:val="auto"/>
          <w:sz w:val="21"/>
          <w:szCs w:val="21"/>
          <w:highlight w:val="none"/>
          <w:u w:val="single"/>
          <w:lang w:val="en-US" w:eastAsia="zh-CN"/>
        </w:rPr>
      </w:pPr>
      <w:r>
        <w:rPr>
          <w:rFonts w:hint="eastAsia" w:ascii="宋体" w:hAnsi="宋体" w:eastAsia="宋体" w:cs="宋体"/>
          <w:color w:val="auto"/>
          <w:sz w:val="21"/>
          <w:szCs w:val="21"/>
          <w:highlight w:val="none"/>
        </w:rPr>
        <w:t>7.4.3 委托人完成酬金支付的期限：</w:t>
      </w:r>
      <w:r>
        <w:rPr>
          <w:rFonts w:hint="eastAsia" w:ascii="宋体" w:hAnsi="宋体" w:cs="宋体"/>
          <w:b/>
          <w:bCs/>
          <w:color w:val="auto"/>
          <w:sz w:val="21"/>
          <w:szCs w:val="21"/>
          <w:highlight w:val="none"/>
          <w:u w:val="single"/>
          <w:lang w:eastAsia="zh-CN"/>
        </w:rPr>
        <w:t>编制成果经委托人确认，并完成核对工作（若需完成网上最高投标限价备案工作，须向委托人提交最高投标限价备案表）后，支付编制费用的</w:t>
      </w:r>
      <w:r>
        <w:rPr>
          <w:rFonts w:hint="eastAsia" w:ascii="宋体" w:hAnsi="宋体" w:cs="宋体"/>
          <w:b/>
          <w:bCs/>
          <w:color w:val="auto"/>
          <w:sz w:val="21"/>
          <w:szCs w:val="21"/>
          <w:highlight w:val="none"/>
          <w:u w:val="single"/>
          <w:lang w:val="en-US" w:eastAsia="zh-CN"/>
        </w:rPr>
        <w:t>6</w:t>
      </w:r>
      <w:r>
        <w:rPr>
          <w:rFonts w:hint="eastAsia" w:ascii="宋体" w:hAnsi="宋体" w:cs="宋体"/>
          <w:b/>
          <w:bCs/>
          <w:color w:val="auto"/>
          <w:sz w:val="21"/>
          <w:szCs w:val="21"/>
          <w:highlight w:val="none"/>
          <w:u w:val="single"/>
          <w:lang w:eastAsia="zh-CN"/>
        </w:rPr>
        <w:t>0%，余款待工程竣工验收合格并审计结算后一次性付清</w:t>
      </w:r>
      <w:r>
        <w:rPr>
          <w:rFonts w:hint="eastAsia" w:ascii="宋体" w:hAnsi="宋体" w:eastAsia="宋体" w:cs="宋体"/>
          <w:b/>
          <w:bCs/>
          <w:color w:val="auto"/>
          <w:sz w:val="21"/>
          <w:szCs w:val="21"/>
          <w:highlight w:val="none"/>
          <w:u w:val="single"/>
          <w:lang w:val="en-US" w:eastAsia="zh-CN"/>
        </w:rPr>
        <w:t>。</w:t>
      </w:r>
    </w:p>
    <w:p w14:paraId="7A68344D">
      <w:pPr>
        <w:spacing w:line="360" w:lineRule="auto"/>
        <w:ind w:firstLine="422" w:firstLineChars="200"/>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lang w:val="en-US" w:eastAsia="zh-CN"/>
        </w:rPr>
        <w:t>注：编制服务费=</w:t>
      </w:r>
      <w:r>
        <w:rPr>
          <w:rFonts w:hint="eastAsia" w:ascii="宋体" w:hAnsi="宋体" w:cs="宋体"/>
          <w:b/>
          <w:bCs/>
          <w:color w:val="auto"/>
          <w:sz w:val="21"/>
          <w:szCs w:val="21"/>
          <w:highlight w:val="none"/>
          <w:u w:val="single"/>
          <w:lang w:val="en-US" w:eastAsia="zh-CN"/>
        </w:rPr>
        <w:t>（施工中标价-暂列金额-暂估价）×6.1‰×中标费率</w:t>
      </w:r>
      <w:r>
        <w:rPr>
          <w:rFonts w:hint="eastAsia" w:ascii="宋体" w:hAnsi="宋体" w:eastAsia="宋体" w:cs="宋体"/>
          <w:b/>
          <w:bCs/>
          <w:color w:val="auto"/>
          <w:sz w:val="21"/>
          <w:szCs w:val="21"/>
          <w:highlight w:val="none"/>
          <w:u w:val="single"/>
          <w:lang w:val="en-US" w:eastAsia="zh-CN"/>
        </w:rPr>
        <w:t>。项目结算时中标费率不予调整。</w:t>
      </w:r>
    </w:p>
    <w:p w14:paraId="401E6EC0">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88" w:name="_Toc407261951"/>
      <w:bookmarkStart w:id="289" w:name="_Toc24066"/>
      <w:r>
        <w:rPr>
          <w:rFonts w:hint="eastAsia" w:ascii="宋体" w:hAnsi="宋体" w:eastAsia="宋体" w:cs="宋体"/>
          <w:b/>
          <w:bCs w:val="0"/>
          <w:color w:val="auto"/>
          <w:sz w:val="21"/>
          <w:szCs w:val="21"/>
          <w:highlight w:val="none"/>
        </w:rPr>
        <w:t>8. 变更</w:t>
      </w:r>
      <w:bookmarkEnd w:id="288"/>
      <w:bookmarkEnd w:id="289"/>
    </w:p>
    <w:p w14:paraId="21A836CD">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90" w:name="_Toc24961"/>
      <w:r>
        <w:rPr>
          <w:rFonts w:hint="eastAsia" w:ascii="宋体" w:hAnsi="宋体" w:eastAsia="宋体" w:cs="宋体"/>
          <w:b/>
          <w:bCs w:val="0"/>
          <w:color w:val="auto"/>
          <w:sz w:val="21"/>
          <w:szCs w:val="21"/>
          <w:highlight w:val="none"/>
        </w:rPr>
        <w:t>8.1 变更的范围</w:t>
      </w:r>
      <w:bookmarkEnd w:id="290"/>
    </w:p>
    <w:p w14:paraId="6FB52DA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（4）变更的其他情形：</w:t>
      </w:r>
      <w:r>
        <w:rPr>
          <w:rFonts w:hint="eastAsia" w:ascii="宋体" w:hAnsi="宋体" w:eastAsia="宋体" w:cs="宋体"/>
          <w:color w:val="auto"/>
          <w:kern w:val="0"/>
          <w:sz w:val="21"/>
          <w:szCs w:val="21"/>
          <w:highlight w:val="none"/>
          <w:u w:val="single"/>
        </w:rPr>
        <w:t xml:space="preserve">   / </w:t>
      </w:r>
      <w:r>
        <w:rPr>
          <w:rFonts w:hint="eastAsia" w:ascii="宋体" w:hAnsi="宋体" w:eastAsia="宋体" w:cs="宋体"/>
          <w:color w:val="auto"/>
          <w:sz w:val="21"/>
          <w:szCs w:val="21"/>
          <w:highlight w:val="none"/>
        </w:rPr>
        <w:t>。</w:t>
      </w:r>
    </w:p>
    <w:p w14:paraId="148F20EF">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91" w:name="_Toc12097"/>
      <w:r>
        <w:rPr>
          <w:rFonts w:hint="eastAsia" w:ascii="宋体" w:hAnsi="宋体" w:eastAsia="宋体" w:cs="宋体"/>
          <w:b/>
          <w:bCs w:val="0"/>
          <w:color w:val="auto"/>
          <w:sz w:val="21"/>
          <w:szCs w:val="21"/>
          <w:highlight w:val="none"/>
        </w:rPr>
        <w:t>8.2 变更引起的咨询酬金和期限调整</w:t>
      </w:r>
      <w:bookmarkEnd w:id="291"/>
    </w:p>
    <w:p w14:paraId="0E40638D">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8.2.1变更引起咨询酬金调整的计算方法: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914D15F">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变更引起咨询期限调整的计算方法: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B5A2C33">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92" w:name="_Toc18999"/>
      <w:r>
        <w:rPr>
          <w:rFonts w:hint="eastAsia" w:ascii="宋体" w:hAnsi="宋体" w:eastAsia="宋体" w:cs="宋体"/>
          <w:b/>
          <w:bCs w:val="0"/>
          <w:color w:val="auto"/>
          <w:sz w:val="21"/>
          <w:szCs w:val="21"/>
          <w:highlight w:val="none"/>
        </w:rPr>
        <w:t>8.3 咨询人的合理化建议</w:t>
      </w:r>
      <w:bookmarkEnd w:id="292"/>
    </w:p>
    <w:p w14:paraId="558CE5E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合理化建议奖励金额的比率：</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12436F9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合理化建议奖励的其他计算方法：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FC58B15">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93" w:name="_Toc407261952"/>
      <w:bookmarkStart w:id="294" w:name="_Toc1511"/>
      <w:r>
        <w:rPr>
          <w:rFonts w:hint="eastAsia" w:ascii="宋体" w:hAnsi="宋体" w:eastAsia="宋体" w:cs="宋体"/>
          <w:b/>
          <w:bCs w:val="0"/>
          <w:color w:val="auto"/>
          <w:sz w:val="21"/>
          <w:szCs w:val="21"/>
          <w:highlight w:val="none"/>
        </w:rPr>
        <w:t>9. 违约</w:t>
      </w:r>
      <w:bookmarkEnd w:id="293"/>
      <w:bookmarkEnd w:id="294"/>
    </w:p>
    <w:p w14:paraId="51C00A67">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95" w:name="_Toc8590"/>
      <w:r>
        <w:rPr>
          <w:rFonts w:hint="eastAsia" w:ascii="宋体" w:hAnsi="宋体" w:eastAsia="宋体" w:cs="宋体"/>
          <w:b/>
          <w:bCs w:val="0"/>
          <w:color w:val="auto"/>
          <w:sz w:val="21"/>
          <w:szCs w:val="21"/>
          <w:highlight w:val="none"/>
        </w:rPr>
        <w:t>9.1 委托人违约</w:t>
      </w:r>
      <w:bookmarkEnd w:id="295"/>
    </w:p>
    <w:p w14:paraId="658BBEC7">
      <w:pPr>
        <w:spacing w:before="120" w:after="120"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关于委托人违约解除合同的特别约定：</w:t>
      </w:r>
      <w:r>
        <w:rPr>
          <w:rFonts w:hint="eastAsia" w:ascii="宋体" w:hAnsi="宋体" w:eastAsia="宋体" w:cs="宋体"/>
          <w:color w:val="auto"/>
          <w:kern w:val="0"/>
          <w:sz w:val="21"/>
          <w:szCs w:val="21"/>
          <w:highlight w:val="none"/>
          <w:u w:val="single"/>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153F5C2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因委托人违约解除合同的，关于已完咨询业务酬金结算和付款的约定：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66C488A">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96" w:name="_Toc17695"/>
      <w:r>
        <w:rPr>
          <w:rFonts w:hint="eastAsia" w:ascii="宋体" w:hAnsi="宋体" w:eastAsia="宋体" w:cs="宋体"/>
          <w:b/>
          <w:bCs w:val="0"/>
          <w:color w:val="auto"/>
          <w:sz w:val="21"/>
          <w:szCs w:val="21"/>
          <w:highlight w:val="none"/>
        </w:rPr>
        <w:t>9.2 咨询人违约</w:t>
      </w:r>
      <w:bookmarkEnd w:id="296"/>
    </w:p>
    <w:p w14:paraId="2C16C4A6">
      <w:pPr>
        <w:spacing w:before="120" w:after="120" w:line="360" w:lineRule="auto"/>
        <w:ind w:firstLine="420" w:firstLineChars="200"/>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关于咨询人违约解除合同的特别约定：</w:t>
      </w:r>
    </w:p>
    <w:p w14:paraId="1B6A43B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因咨询人违约解除合同的，关于已完咨询业务酬金结算和付款的约定：</w:t>
      </w:r>
      <w:r>
        <w:rPr>
          <w:rFonts w:hint="eastAsia" w:ascii="宋体" w:hAnsi="宋体" w:eastAsia="宋体" w:cs="宋体"/>
          <w:color w:val="auto"/>
          <w:sz w:val="21"/>
          <w:szCs w:val="21"/>
          <w:highlight w:val="none"/>
          <w:u w:val="single"/>
        </w:rPr>
        <w:t xml:space="preserve">  不予结算</w:t>
      </w:r>
      <w:r>
        <w:rPr>
          <w:rFonts w:hint="eastAsia" w:ascii="宋体" w:hAnsi="宋体" w:eastAsia="宋体" w:cs="宋体"/>
          <w:color w:val="auto"/>
          <w:sz w:val="21"/>
          <w:szCs w:val="21"/>
          <w:highlight w:val="none"/>
        </w:rPr>
        <w:t>。</w:t>
      </w:r>
    </w:p>
    <w:p w14:paraId="35375D8D">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97" w:name="_Toc407261953"/>
      <w:bookmarkStart w:id="298" w:name="_Toc3790"/>
      <w:r>
        <w:rPr>
          <w:rFonts w:hint="eastAsia" w:ascii="宋体" w:hAnsi="宋体" w:eastAsia="宋体" w:cs="宋体"/>
          <w:b/>
          <w:bCs w:val="0"/>
          <w:color w:val="auto"/>
          <w:sz w:val="21"/>
          <w:szCs w:val="21"/>
          <w:highlight w:val="none"/>
        </w:rPr>
        <w:t>10. 争议解决</w:t>
      </w:r>
      <w:bookmarkEnd w:id="297"/>
      <w:bookmarkEnd w:id="298"/>
    </w:p>
    <w:p w14:paraId="654884C2">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299" w:name="_Toc3278"/>
      <w:r>
        <w:rPr>
          <w:rFonts w:hint="eastAsia" w:ascii="宋体" w:hAnsi="宋体" w:eastAsia="宋体" w:cs="宋体"/>
          <w:b/>
          <w:bCs w:val="0"/>
          <w:color w:val="auto"/>
          <w:sz w:val="21"/>
          <w:szCs w:val="21"/>
          <w:highlight w:val="none"/>
        </w:rPr>
        <w:t>10.3 仲裁或诉讼</w:t>
      </w:r>
      <w:bookmarkEnd w:id="299"/>
    </w:p>
    <w:p w14:paraId="142B5CE3">
      <w:pPr>
        <w:spacing w:after="12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color w:val="auto"/>
          <w:sz w:val="21"/>
          <w:szCs w:val="21"/>
          <w:highlight w:val="none"/>
          <w:u w:val="single"/>
        </w:rPr>
        <w:t xml:space="preserve">  2   </w:t>
      </w:r>
      <w:r>
        <w:rPr>
          <w:rFonts w:hint="eastAsia" w:ascii="宋体" w:hAnsi="宋体" w:eastAsia="宋体" w:cs="宋体"/>
          <w:color w:val="auto"/>
          <w:sz w:val="21"/>
          <w:szCs w:val="21"/>
          <w:highlight w:val="none"/>
        </w:rPr>
        <w:t>种方式解决：</w:t>
      </w:r>
    </w:p>
    <w:p w14:paraId="01BD45F1">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（1）向</w:t>
      </w:r>
      <w:r>
        <w:rPr>
          <w:rFonts w:hint="eastAsia" w:ascii="宋体" w:hAnsi="宋体" w:cs="宋体"/>
          <w:color w:val="auto"/>
          <w:kern w:val="0"/>
          <w:sz w:val="21"/>
          <w:szCs w:val="21"/>
          <w:highlight w:val="none"/>
          <w:u w:val="single"/>
          <w:lang w:val="en-US" w:eastAsia="zh-CN"/>
        </w:rPr>
        <w:t xml:space="preserve">  滁州  </w:t>
      </w:r>
      <w:r>
        <w:rPr>
          <w:rFonts w:hint="eastAsia" w:ascii="宋体" w:hAnsi="宋体" w:eastAsia="宋体" w:cs="宋体"/>
          <w:color w:val="auto"/>
          <w:kern w:val="0"/>
          <w:sz w:val="21"/>
          <w:szCs w:val="21"/>
          <w:highlight w:val="none"/>
        </w:rPr>
        <w:t>仲裁委员会申请仲裁；</w:t>
      </w:r>
    </w:p>
    <w:p w14:paraId="77B19F5C">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（2）向</w:t>
      </w:r>
      <w:r>
        <w:rPr>
          <w:rFonts w:hint="eastAsia" w:ascii="宋体" w:hAnsi="宋体" w:eastAsia="宋体" w:cs="宋体"/>
          <w:color w:val="auto"/>
          <w:kern w:val="0"/>
          <w:sz w:val="21"/>
          <w:szCs w:val="21"/>
          <w:highlight w:val="none"/>
          <w:u w:val="single"/>
        </w:rPr>
        <w:t>滁州市南谯区</w:t>
      </w:r>
      <w:r>
        <w:rPr>
          <w:rFonts w:hint="eastAsia" w:ascii="宋体" w:hAnsi="宋体" w:eastAsia="宋体" w:cs="宋体"/>
          <w:color w:val="auto"/>
          <w:kern w:val="0"/>
          <w:sz w:val="21"/>
          <w:szCs w:val="21"/>
          <w:highlight w:val="none"/>
        </w:rPr>
        <w:t>人民法院起诉。</w:t>
      </w:r>
    </w:p>
    <w:p w14:paraId="435D4509">
      <w:pPr>
        <w:pStyle w:val="3"/>
        <w:keepNext/>
        <w:keepLines/>
        <w:pageBreakBefore w:val="0"/>
        <w:widowControl w:val="0"/>
        <w:numPr>
          <w:ilvl w:val="1"/>
          <w:numId w:val="0"/>
        </w:numPr>
        <w:kinsoku/>
        <w:wordWrap/>
        <w:overflowPunct/>
        <w:topLinePunct w:val="0"/>
        <w:autoSpaceDE/>
        <w:autoSpaceDN/>
        <w:bidi w:val="0"/>
        <w:adjustRightInd/>
        <w:snapToGrid/>
        <w:spacing w:before="96" w:beforeLines="30" w:after="96" w:afterLines="30" w:line="440" w:lineRule="exact"/>
        <w:ind w:left="431" w:leftChars="0"/>
        <w:jc w:val="left"/>
        <w:textAlignment w:val="auto"/>
        <w:rPr>
          <w:rFonts w:hint="eastAsia" w:ascii="宋体" w:hAnsi="宋体" w:eastAsia="宋体" w:cs="宋体"/>
          <w:b/>
          <w:bCs w:val="0"/>
          <w:color w:val="auto"/>
          <w:sz w:val="21"/>
          <w:szCs w:val="21"/>
          <w:highlight w:val="none"/>
        </w:rPr>
      </w:pPr>
      <w:bookmarkStart w:id="300" w:name="_Toc407261954"/>
      <w:bookmarkStart w:id="301" w:name="_Toc22802"/>
      <w:r>
        <w:rPr>
          <w:rFonts w:hint="eastAsia" w:ascii="宋体" w:hAnsi="宋体" w:eastAsia="宋体" w:cs="宋体"/>
          <w:b/>
          <w:bCs w:val="0"/>
          <w:color w:val="auto"/>
          <w:sz w:val="21"/>
          <w:szCs w:val="21"/>
          <w:highlight w:val="none"/>
        </w:rPr>
        <w:t>11. 补充条款</w:t>
      </w:r>
      <w:bookmarkEnd w:id="300"/>
      <w:bookmarkEnd w:id="301"/>
    </w:p>
    <w:p w14:paraId="322A05C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10.1</w:t>
      </w:r>
      <w:r>
        <w:rPr>
          <w:rFonts w:hint="eastAsia" w:ascii="宋体" w:hAnsi="宋体" w:eastAsia="宋体" w:cs="宋体"/>
          <w:color w:val="auto"/>
          <w:kern w:val="0"/>
          <w:sz w:val="21"/>
          <w:szCs w:val="21"/>
          <w:highlight w:val="none"/>
        </w:rPr>
        <w:t>咨询人须为本项目预留足够人员并驻场服务，确保服务质量及不耽误项目建设进度。咨询人中标后须按照委托人要求及时完成工程量清单及最高限价编制，并积极配合委托人开展工程的招投标工作。</w:t>
      </w:r>
    </w:p>
    <w:p w14:paraId="63C70466">
      <w:pPr>
        <w:spacing w:line="360" w:lineRule="auto"/>
        <w:ind w:firstLine="420" w:firstLineChars="200"/>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10.2</w:t>
      </w:r>
      <w:r>
        <w:rPr>
          <w:rFonts w:hint="eastAsia" w:ascii="宋体" w:hAnsi="宋体" w:eastAsia="宋体" w:cs="宋体"/>
          <w:color w:val="auto"/>
          <w:kern w:val="0"/>
          <w:sz w:val="21"/>
          <w:szCs w:val="21"/>
          <w:highlight w:val="none"/>
        </w:rPr>
        <w:t>工程量清单最高投标限价编制及复核过程中，咨询人应与委托人充分及时沟通，及时踏勘项目现场，以使清单项目特征描述尽可能详尽,满足委托人要求。工程量清单最高投标限价编制及复核过程中</w:t>
      </w:r>
      <w:r>
        <w:rPr>
          <w:rFonts w:hint="eastAsia" w:ascii="宋体" w:hAnsi="宋体" w:eastAsia="宋体" w:cs="宋体"/>
          <w:color w:val="auto"/>
          <w:kern w:val="0"/>
          <w:sz w:val="21"/>
          <w:szCs w:val="21"/>
          <w:highlight w:val="none"/>
          <w:lang w:val="en-US" w:eastAsia="zh-CN"/>
        </w:rPr>
        <w:t>须要常驻建设单位办公地点进行办公，</w:t>
      </w:r>
      <w:r>
        <w:rPr>
          <w:rFonts w:hint="eastAsia" w:ascii="宋体" w:hAnsi="宋体" w:eastAsia="宋体" w:cs="宋体"/>
          <w:color w:val="auto"/>
          <w:kern w:val="0"/>
          <w:sz w:val="21"/>
          <w:szCs w:val="21"/>
          <w:highlight w:val="none"/>
        </w:rPr>
        <w:t>如有一次</w:t>
      </w:r>
      <w:r>
        <w:rPr>
          <w:rFonts w:hint="eastAsia" w:ascii="宋体" w:hAnsi="宋体" w:eastAsia="宋体" w:cs="宋体"/>
          <w:color w:val="auto"/>
          <w:kern w:val="0"/>
          <w:sz w:val="21"/>
          <w:szCs w:val="21"/>
          <w:highlight w:val="none"/>
          <w:lang w:val="en-US" w:eastAsia="zh-CN"/>
        </w:rPr>
        <w:t>项目负责人及编制人员</w:t>
      </w:r>
      <w:r>
        <w:rPr>
          <w:rFonts w:hint="eastAsia" w:ascii="宋体" w:hAnsi="宋体" w:eastAsia="宋体" w:cs="宋体"/>
          <w:color w:val="auto"/>
          <w:kern w:val="0"/>
          <w:sz w:val="21"/>
          <w:szCs w:val="21"/>
          <w:highlight w:val="none"/>
        </w:rPr>
        <w:t>不到场，</w:t>
      </w:r>
      <w:r>
        <w:rPr>
          <w:rFonts w:hint="eastAsia" w:ascii="宋体" w:hAnsi="宋体" w:eastAsia="宋体" w:cs="宋体"/>
          <w:color w:val="auto"/>
          <w:kern w:val="0"/>
          <w:sz w:val="21"/>
          <w:szCs w:val="21"/>
          <w:highlight w:val="none"/>
          <w:lang w:val="en-US" w:eastAsia="zh-CN"/>
        </w:rPr>
        <w:t>项目负责人处以1000元/次违约金，其他人员</w:t>
      </w:r>
      <w:r>
        <w:rPr>
          <w:rFonts w:hint="eastAsia" w:ascii="宋体" w:hAnsi="宋体" w:eastAsia="宋体" w:cs="宋体"/>
          <w:color w:val="auto"/>
          <w:kern w:val="0"/>
          <w:sz w:val="21"/>
          <w:szCs w:val="21"/>
          <w:highlight w:val="none"/>
        </w:rPr>
        <w:t>每一次处以500元违约金。</w:t>
      </w:r>
    </w:p>
    <w:p w14:paraId="0937B441">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10.3</w:t>
      </w:r>
      <w:r>
        <w:rPr>
          <w:rFonts w:hint="eastAsia" w:ascii="宋体" w:hAnsi="宋体" w:eastAsia="宋体" w:cs="宋体"/>
          <w:color w:val="auto"/>
          <w:kern w:val="0"/>
          <w:sz w:val="21"/>
          <w:szCs w:val="21"/>
          <w:highlight w:val="none"/>
        </w:rPr>
        <w:t>当完成工程量清单及最高投标限价编制及复核时，</w:t>
      </w:r>
      <w:r>
        <w:rPr>
          <w:rFonts w:hint="eastAsia" w:ascii="宋体" w:hAnsi="宋体" w:eastAsia="宋体" w:cs="宋体"/>
          <w:color w:val="auto"/>
          <w:kern w:val="0"/>
          <w:sz w:val="21"/>
          <w:szCs w:val="21"/>
          <w:highlight w:val="none"/>
          <w:lang w:val="en-US" w:eastAsia="zh-CN"/>
        </w:rPr>
        <w:t>咨询人</w:t>
      </w:r>
      <w:r>
        <w:rPr>
          <w:rFonts w:hint="eastAsia" w:ascii="宋体" w:hAnsi="宋体" w:eastAsia="宋体" w:cs="宋体"/>
          <w:color w:val="auto"/>
          <w:kern w:val="0"/>
          <w:sz w:val="21"/>
          <w:szCs w:val="21"/>
          <w:highlight w:val="none"/>
        </w:rPr>
        <w:t>根据自己的工作经验向委托人提出有关造价及工作管理等方面的建议性意见。</w:t>
      </w:r>
    </w:p>
    <w:p w14:paraId="6620BFFD">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10.4</w:t>
      </w:r>
      <w:r>
        <w:rPr>
          <w:rFonts w:hint="eastAsia" w:ascii="宋体" w:hAnsi="宋体" w:eastAsia="宋体" w:cs="宋体"/>
          <w:color w:val="auto"/>
          <w:kern w:val="0"/>
          <w:sz w:val="21"/>
          <w:szCs w:val="21"/>
          <w:highlight w:val="none"/>
        </w:rPr>
        <w:t>工程量清单最高投标限价编制严格按照国家、省、市及行业主管部门规定的最新计价规范、办法、政策性调整及现行定额计算，材料价格按滁州市工程造价信息最新一期，对没有的价格参见本市级部分的价格或通过市场询价确定，提供主要材料和设备询价单</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询价单里须有报价截图或加盖公章的报价单</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，咨询品牌不应少于3家。</w:t>
      </w:r>
    </w:p>
    <w:p w14:paraId="6BB9CB35">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10.5</w:t>
      </w:r>
      <w:r>
        <w:rPr>
          <w:rFonts w:hint="eastAsia" w:ascii="宋体" w:hAnsi="宋体" w:eastAsia="宋体" w:cs="宋体"/>
          <w:color w:val="auto"/>
          <w:kern w:val="0"/>
          <w:sz w:val="21"/>
          <w:szCs w:val="21"/>
          <w:highlight w:val="none"/>
        </w:rPr>
        <w:t>委托人安排的其他合理事项，咨询人应予以配合完成；咨询人有错、漏项的必须及时配合补充编制、复审。</w:t>
      </w:r>
    </w:p>
    <w:p w14:paraId="1A658EBA">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10.6</w:t>
      </w:r>
      <w:r>
        <w:rPr>
          <w:rFonts w:hint="eastAsia" w:ascii="宋体" w:hAnsi="宋体" w:eastAsia="宋体" w:cs="宋体"/>
          <w:color w:val="auto"/>
          <w:kern w:val="0"/>
          <w:sz w:val="21"/>
          <w:szCs w:val="21"/>
          <w:highlight w:val="none"/>
        </w:rPr>
        <w:t>根据委托人安排，通知中标单位项目负责人及编制人员到场开会，如有一次</w:t>
      </w:r>
      <w:r>
        <w:rPr>
          <w:rFonts w:hint="eastAsia" w:ascii="宋体" w:hAnsi="宋体" w:eastAsia="宋体" w:cs="宋体"/>
          <w:color w:val="auto"/>
          <w:kern w:val="0"/>
          <w:sz w:val="21"/>
          <w:szCs w:val="21"/>
          <w:highlight w:val="none"/>
          <w:lang w:val="en-US" w:eastAsia="zh-CN"/>
        </w:rPr>
        <w:t>项目负责人及编制人员</w:t>
      </w:r>
      <w:r>
        <w:rPr>
          <w:rFonts w:hint="eastAsia" w:ascii="宋体" w:hAnsi="宋体" w:eastAsia="宋体" w:cs="宋体"/>
          <w:color w:val="auto"/>
          <w:kern w:val="0"/>
          <w:sz w:val="21"/>
          <w:szCs w:val="21"/>
          <w:highlight w:val="none"/>
        </w:rPr>
        <w:t>不到场，</w:t>
      </w:r>
      <w:r>
        <w:rPr>
          <w:rFonts w:hint="eastAsia" w:ascii="宋体" w:hAnsi="宋体" w:eastAsia="宋体" w:cs="宋体"/>
          <w:color w:val="auto"/>
          <w:kern w:val="0"/>
          <w:sz w:val="21"/>
          <w:szCs w:val="21"/>
          <w:highlight w:val="none"/>
          <w:lang w:val="en-US" w:eastAsia="zh-CN"/>
        </w:rPr>
        <w:t>项目负责人处以1000元/次违约金，其他人员</w:t>
      </w:r>
      <w:r>
        <w:rPr>
          <w:rFonts w:hint="eastAsia" w:ascii="宋体" w:hAnsi="宋体" w:eastAsia="宋体" w:cs="宋体"/>
          <w:color w:val="auto"/>
          <w:kern w:val="0"/>
          <w:sz w:val="21"/>
          <w:szCs w:val="21"/>
          <w:highlight w:val="none"/>
        </w:rPr>
        <w:t>处以500元</w:t>
      </w:r>
      <w:r>
        <w:rPr>
          <w:rFonts w:hint="eastAsia" w:ascii="宋体" w:hAnsi="宋体" w:cs="宋体"/>
          <w:color w:val="auto"/>
          <w:kern w:val="0"/>
          <w:sz w:val="21"/>
          <w:szCs w:val="21"/>
          <w:highlight w:val="none"/>
          <w:lang w:val="en-US" w:eastAsia="zh-CN"/>
        </w:rPr>
        <w:t>/次</w:t>
      </w:r>
      <w:r>
        <w:rPr>
          <w:rFonts w:hint="eastAsia" w:ascii="宋体" w:hAnsi="宋体" w:eastAsia="宋体" w:cs="宋体"/>
          <w:color w:val="auto"/>
          <w:kern w:val="0"/>
          <w:sz w:val="21"/>
          <w:szCs w:val="21"/>
          <w:highlight w:val="none"/>
        </w:rPr>
        <w:t>违约金。</w:t>
      </w:r>
    </w:p>
    <w:p w14:paraId="5099F96D">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10.7</w:t>
      </w:r>
      <w:r>
        <w:rPr>
          <w:rFonts w:hint="eastAsia" w:ascii="宋体" w:hAnsi="宋体" w:eastAsia="宋体" w:cs="宋体"/>
          <w:color w:val="auto"/>
          <w:kern w:val="0"/>
          <w:sz w:val="21"/>
          <w:szCs w:val="21"/>
          <w:highlight w:val="none"/>
        </w:rPr>
        <w:t>本项目在实施过程中可能存在减少（或增加）导致的编制工作量减少（或增加）时，咨询人须无条件配合工作。</w:t>
      </w:r>
    </w:p>
    <w:p w14:paraId="5ECCD338">
      <w:pPr>
        <w:rPr>
          <w:rFonts w:hint="eastAsia" w:ascii="宋体" w:hAnsi="宋体"/>
          <w:b/>
          <w:color w:val="auto"/>
          <w:szCs w:val="21"/>
          <w:highlight w:val="none"/>
        </w:rPr>
      </w:pPr>
    </w:p>
    <w:bookmarkEnd w:id="74"/>
    <w:p w14:paraId="5542FB6B">
      <w:pPr>
        <w:rPr>
          <w:rFonts w:hint="eastAsia" w:ascii="宋体"/>
          <w:b/>
          <w:color w:val="auto"/>
          <w:sz w:val="32"/>
          <w:szCs w:val="32"/>
          <w:highlight w:val="none"/>
        </w:rPr>
      </w:pPr>
    </w:p>
    <w:p w14:paraId="6A31B2FE">
      <w:pPr>
        <w:rPr>
          <w:rFonts w:hint="eastAsia" w:ascii="宋体"/>
          <w:b/>
          <w:color w:val="auto"/>
          <w:sz w:val="32"/>
          <w:szCs w:val="32"/>
          <w:highlight w:val="none"/>
        </w:rPr>
      </w:pPr>
      <w:r>
        <w:rPr>
          <w:rFonts w:hint="eastAsia" w:ascii="宋体"/>
          <w:b/>
          <w:color w:val="auto"/>
          <w:sz w:val="32"/>
          <w:szCs w:val="32"/>
          <w:highlight w:val="none"/>
        </w:rPr>
        <w:br w:type="page"/>
      </w:r>
    </w:p>
    <w:p w14:paraId="6E698501">
      <w:pPr>
        <w:spacing w:before="156" w:beforeLines="50" w:after="156" w:afterLines="50"/>
        <w:jc w:val="center"/>
        <w:outlineLvl w:val="0"/>
        <w:rPr>
          <w:rFonts w:hint="eastAsia" w:ascii="宋体"/>
          <w:b/>
          <w:color w:val="auto"/>
          <w:sz w:val="32"/>
          <w:szCs w:val="32"/>
          <w:highlight w:val="none"/>
        </w:rPr>
      </w:pPr>
      <w:bookmarkStart w:id="302" w:name="_Toc23341"/>
      <w:r>
        <w:rPr>
          <w:rFonts w:hint="eastAsia" w:ascii="宋体"/>
          <w:b/>
          <w:color w:val="auto"/>
          <w:sz w:val="32"/>
          <w:szCs w:val="32"/>
          <w:highlight w:val="none"/>
        </w:rPr>
        <w:t>第</w:t>
      </w:r>
      <w:r>
        <w:rPr>
          <w:rFonts w:hint="eastAsia" w:ascii="宋体"/>
          <w:b/>
          <w:color w:val="auto"/>
          <w:sz w:val="32"/>
          <w:szCs w:val="32"/>
          <w:highlight w:val="none"/>
          <w:lang w:val="en-US" w:eastAsia="zh-CN"/>
        </w:rPr>
        <w:t>五</w:t>
      </w:r>
      <w:r>
        <w:rPr>
          <w:rFonts w:hint="eastAsia" w:ascii="宋体"/>
          <w:b/>
          <w:color w:val="auto"/>
          <w:sz w:val="32"/>
          <w:szCs w:val="32"/>
          <w:highlight w:val="none"/>
        </w:rPr>
        <w:t>章  投标文件格式</w:t>
      </w:r>
      <w:bookmarkEnd w:id="302"/>
    </w:p>
    <w:p w14:paraId="50187447">
      <w:pPr>
        <w:jc w:val="center"/>
        <w:rPr>
          <w:rFonts w:hint="eastAsia" w:eastAsia="黑体"/>
          <w:color w:val="auto"/>
          <w:sz w:val="20"/>
          <w:highlight w:val="none"/>
        </w:rPr>
      </w:pPr>
    </w:p>
    <w:p w14:paraId="2A05EDCE">
      <w:pPr>
        <w:rPr>
          <w:rFonts w:hint="eastAsia" w:eastAsia="黑体"/>
          <w:color w:val="auto"/>
          <w:sz w:val="20"/>
          <w:highlight w:val="none"/>
        </w:rPr>
      </w:pPr>
    </w:p>
    <w:p w14:paraId="43327C74">
      <w:pPr>
        <w:rPr>
          <w:rFonts w:hint="eastAsia" w:eastAsia="黑体"/>
          <w:color w:val="auto"/>
          <w:sz w:val="20"/>
          <w:highlight w:val="none"/>
        </w:rPr>
      </w:pPr>
    </w:p>
    <w:p w14:paraId="50C1D7A8">
      <w:pPr>
        <w:rPr>
          <w:rFonts w:hint="eastAsia" w:eastAsia="黑体"/>
          <w:color w:val="auto"/>
          <w:sz w:val="20"/>
          <w:highlight w:val="none"/>
        </w:rPr>
      </w:pPr>
    </w:p>
    <w:p w14:paraId="7672EDBC">
      <w:pPr>
        <w:jc w:val="center"/>
        <w:rPr>
          <w:rFonts w:hint="eastAsia" w:ascii="宋体"/>
          <w:b/>
          <w:color w:val="auto"/>
          <w:sz w:val="44"/>
          <w:szCs w:val="44"/>
          <w:highlight w:val="none"/>
        </w:rPr>
      </w:pPr>
      <w:bookmarkStart w:id="303" w:name="_Toc449028949"/>
      <w:bookmarkStart w:id="304" w:name="_Toc350698753"/>
      <w:r>
        <w:rPr>
          <w:rFonts w:hint="eastAsia" w:ascii="宋体"/>
          <w:b/>
          <w:color w:val="auto"/>
          <w:sz w:val="44"/>
          <w:szCs w:val="44"/>
          <w:highlight w:val="none"/>
          <w:lang w:val="en-US" w:eastAsia="zh-CN"/>
        </w:rPr>
        <w:t>投标</w:t>
      </w:r>
      <w:r>
        <w:rPr>
          <w:rFonts w:hint="eastAsia" w:ascii="宋体"/>
          <w:b/>
          <w:color w:val="auto"/>
          <w:sz w:val="44"/>
          <w:szCs w:val="44"/>
          <w:highlight w:val="none"/>
        </w:rPr>
        <w:t>文件</w:t>
      </w:r>
      <w:bookmarkEnd w:id="303"/>
      <w:bookmarkEnd w:id="304"/>
    </w:p>
    <w:p w14:paraId="5F0F4C41">
      <w:pPr>
        <w:jc w:val="center"/>
        <w:rPr>
          <w:rFonts w:hint="eastAsia" w:eastAsia="黑体"/>
          <w:color w:val="auto"/>
          <w:sz w:val="44"/>
          <w:szCs w:val="44"/>
          <w:highlight w:val="none"/>
        </w:rPr>
      </w:pPr>
    </w:p>
    <w:p w14:paraId="6295494C">
      <w:pPr>
        <w:jc w:val="center"/>
        <w:rPr>
          <w:rFonts w:hint="eastAsia" w:eastAsia="黑体"/>
          <w:color w:val="auto"/>
          <w:sz w:val="44"/>
          <w:szCs w:val="44"/>
          <w:highlight w:val="none"/>
        </w:rPr>
      </w:pPr>
    </w:p>
    <w:p w14:paraId="1D0816D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E78CC73">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7BB06E75">
      <w:pPr>
        <w:jc w:val="center"/>
        <w:rPr>
          <w:rFonts w:hint="eastAsia" w:ascii="宋体"/>
          <w:color w:val="auto"/>
          <w:sz w:val="28"/>
          <w:szCs w:val="28"/>
          <w:highlight w:val="none"/>
        </w:rPr>
      </w:pPr>
      <w:r>
        <w:rPr>
          <w:rFonts w:hint="eastAsia" w:ascii="宋体"/>
          <w:color w:val="auto"/>
          <w:sz w:val="28"/>
          <w:szCs w:val="28"/>
          <w:highlight w:val="none"/>
        </w:rPr>
        <w:t>项目编号：</w:t>
      </w:r>
    </w:p>
    <w:p w14:paraId="309E9F1C">
      <w:pPr>
        <w:rPr>
          <w:rFonts w:hint="eastAsia" w:ascii="宋体"/>
          <w:color w:val="auto"/>
          <w:sz w:val="28"/>
          <w:szCs w:val="28"/>
          <w:highlight w:val="none"/>
        </w:rPr>
      </w:pPr>
    </w:p>
    <w:p w14:paraId="3E137C7D">
      <w:pPr>
        <w:rPr>
          <w:rFonts w:hint="eastAsia" w:ascii="宋体"/>
          <w:color w:val="auto"/>
          <w:sz w:val="28"/>
          <w:szCs w:val="28"/>
          <w:highlight w:val="none"/>
        </w:rPr>
      </w:pPr>
    </w:p>
    <w:p w14:paraId="13D25D07">
      <w:pPr>
        <w:rPr>
          <w:rFonts w:hint="eastAsia" w:ascii="宋体"/>
          <w:color w:val="auto"/>
          <w:sz w:val="28"/>
          <w:szCs w:val="28"/>
          <w:highlight w:val="none"/>
        </w:rPr>
      </w:pPr>
    </w:p>
    <w:p w14:paraId="1EB524F1">
      <w:pPr>
        <w:rPr>
          <w:rFonts w:hint="eastAsia" w:ascii="宋体"/>
          <w:color w:val="auto"/>
          <w:sz w:val="28"/>
          <w:szCs w:val="28"/>
          <w:highlight w:val="none"/>
        </w:rPr>
      </w:pPr>
    </w:p>
    <w:p w14:paraId="5ACE49DD">
      <w:pPr>
        <w:rPr>
          <w:rFonts w:hint="eastAsia" w:ascii="宋体"/>
          <w:color w:val="auto"/>
          <w:sz w:val="28"/>
          <w:szCs w:val="28"/>
          <w:highlight w:val="none"/>
        </w:rPr>
      </w:pPr>
    </w:p>
    <w:p w14:paraId="25C5C5E6">
      <w:pPr>
        <w:rPr>
          <w:rFonts w:hint="eastAsia" w:ascii="宋体"/>
          <w:color w:val="auto"/>
          <w:sz w:val="28"/>
          <w:szCs w:val="28"/>
          <w:highlight w:val="none"/>
        </w:rPr>
      </w:pPr>
    </w:p>
    <w:p w14:paraId="787FD766">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4561284B">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75FE166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D822820">
      <w:pPr>
        <w:spacing w:line="720" w:lineRule="auto"/>
        <w:jc w:val="center"/>
        <w:rPr>
          <w:rFonts w:hint="eastAsia" w:ascii="宋体"/>
          <w:b/>
          <w:color w:val="auto"/>
          <w:sz w:val="36"/>
          <w:szCs w:val="36"/>
          <w:highlight w:val="none"/>
        </w:rPr>
      </w:pPr>
    </w:p>
    <w:p w14:paraId="3B7FC3EE">
      <w:pPr>
        <w:spacing w:line="400" w:lineRule="exact"/>
        <w:ind w:firstLine="4130" w:firstLineChars="935"/>
        <w:rPr>
          <w:rFonts w:hint="eastAsia"/>
          <w:b/>
          <w:color w:val="auto"/>
          <w:sz w:val="44"/>
          <w:szCs w:val="44"/>
          <w:highlight w:val="none"/>
        </w:rPr>
      </w:pPr>
    </w:p>
    <w:p w14:paraId="692DC988">
      <w:pPr>
        <w:spacing w:line="400" w:lineRule="exact"/>
        <w:ind w:firstLine="4130" w:firstLineChars="935"/>
        <w:rPr>
          <w:rFonts w:hint="eastAsia"/>
          <w:b/>
          <w:color w:val="auto"/>
          <w:sz w:val="44"/>
          <w:szCs w:val="44"/>
          <w:highlight w:val="none"/>
        </w:rPr>
      </w:pPr>
    </w:p>
    <w:p w14:paraId="5746488A">
      <w:pPr>
        <w:spacing w:line="400" w:lineRule="exact"/>
        <w:ind w:firstLine="4130" w:firstLineChars="935"/>
        <w:rPr>
          <w:rFonts w:hint="eastAsia"/>
          <w:b/>
          <w:color w:val="auto"/>
          <w:sz w:val="44"/>
          <w:szCs w:val="44"/>
          <w:highlight w:val="none"/>
        </w:rPr>
      </w:pPr>
    </w:p>
    <w:p w14:paraId="1026DC8D">
      <w:pPr>
        <w:jc w:val="center"/>
        <w:rPr>
          <w:rFonts w:hint="eastAsia"/>
          <w:b/>
          <w:color w:val="auto"/>
          <w:sz w:val="44"/>
          <w:szCs w:val="44"/>
          <w:highlight w:val="none"/>
        </w:rPr>
      </w:pPr>
      <w:r>
        <w:rPr>
          <w:rFonts w:hint="eastAsia"/>
          <w:b/>
          <w:color w:val="auto"/>
          <w:sz w:val="36"/>
          <w:szCs w:val="36"/>
          <w:highlight w:val="none"/>
        </w:rPr>
        <w:t>目   录</w:t>
      </w:r>
    </w:p>
    <w:p w14:paraId="66A8ACC8">
      <w:pPr>
        <w:spacing w:line="400" w:lineRule="exact"/>
        <w:ind w:firstLine="562" w:firstLineChars="200"/>
        <w:rPr>
          <w:rFonts w:hint="eastAsia"/>
          <w:b/>
          <w:color w:val="auto"/>
          <w:sz w:val="28"/>
          <w:szCs w:val="28"/>
          <w:highlight w:val="none"/>
        </w:rPr>
      </w:pPr>
    </w:p>
    <w:p w14:paraId="5C0D2E14">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（1）法定代表人身份证明及其有效身份证复印件（或法定代表人授权委托书及其有效身份证复印件）（格式见附件）； </w:t>
      </w:r>
    </w:p>
    <w:p w14:paraId="40418CEE">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hAnsi="宋体"/>
          <w:color w:val="auto"/>
          <w:szCs w:val="21"/>
          <w:highlight w:val="none"/>
        </w:rPr>
        <w:t>投标人</w:t>
      </w:r>
      <w:r>
        <w:rPr>
          <w:rFonts w:hint="eastAsia" w:hAnsi="宋体"/>
          <w:color w:val="auto"/>
          <w:szCs w:val="21"/>
          <w:highlight w:val="none"/>
          <w:lang w:val="en-US" w:eastAsia="zh-CN"/>
        </w:rPr>
        <w:t>营业执照</w:t>
      </w:r>
      <w:r>
        <w:rPr>
          <w:rFonts w:hint="eastAsia" w:ascii="宋体"/>
          <w:color w:val="auto"/>
          <w:szCs w:val="21"/>
          <w:highlight w:val="none"/>
        </w:rPr>
        <w:t>；</w:t>
      </w:r>
    </w:p>
    <w:p w14:paraId="4EB04C27">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3）项目负责人有效身份证及证书（若注册证书上无法体现专业的，还需另行提供证明专业的证明材料）；</w:t>
      </w:r>
    </w:p>
    <w:p w14:paraId="63323ABE">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4）项目组人员配备表（格式自拟）、人员有效身份证及对应证书；</w:t>
      </w:r>
    </w:p>
    <w:p w14:paraId="052A4512">
      <w:pPr>
        <w:spacing w:line="500" w:lineRule="exact"/>
        <w:ind w:firstLine="420" w:firstLineChars="200"/>
        <w:jc w:val="left"/>
        <w:rPr>
          <w:rFonts w:hint="eastAsia" w:ascii="宋体" w:hAnsi="宋体" w:eastAsia="宋体" w:cs="宋体-18030"/>
          <w:color w:val="auto"/>
          <w:szCs w:val="21"/>
          <w:highlight w:val="none"/>
          <w:lang w:eastAsia="zh-CN"/>
        </w:rPr>
      </w:pPr>
      <w:r>
        <w:rPr>
          <w:rFonts w:hint="eastAsia" w:ascii="宋体" w:hAnsi="宋体" w:cs="宋体-18030"/>
          <w:color w:val="auto"/>
          <w:szCs w:val="21"/>
          <w:highlight w:val="none"/>
        </w:rPr>
        <w:t>（</w:t>
      </w:r>
      <w:r>
        <w:rPr>
          <w:rFonts w:hint="eastAsia" w:ascii="宋体" w:hAnsi="宋体" w:cs="宋体-18030"/>
          <w:color w:val="auto"/>
          <w:szCs w:val="21"/>
          <w:highlight w:val="none"/>
          <w:lang w:val="en-US" w:eastAsia="zh-CN"/>
        </w:rPr>
        <w:t>5</w:t>
      </w:r>
      <w:r>
        <w:rPr>
          <w:rFonts w:hint="eastAsia" w:ascii="宋体" w:hAnsi="宋体" w:cs="宋体-18030"/>
          <w:color w:val="auto"/>
          <w:szCs w:val="21"/>
          <w:highlight w:val="none"/>
        </w:rPr>
        <w:t>）投标申请人的法定代表人(或委托代理人)、拟派项目负责人和项目组人员须持有社保部门出具的本单位为其缴纳的投标前近三个月中任意一个月的养老保险证明（含官网在线打印件）或投标人提供承诺已为上述人员缴纳养老保险证明的承诺书（格式自拟），证明文件两个月内有效，投标申请人是事业单位的，暂未缴纳社保的，须由其主管部门出具证明。注：社保的缴纳单位为投标人或者投标人不具备独立法人资格的分支机构。如为事业单位附属的投标人参与投标，须同时提供投标人所属事业单位为其缴纳社保的证明材料和该事业单位出具的附属证明材料</w:t>
      </w:r>
      <w:r>
        <w:rPr>
          <w:rFonts w:hint="eastAsia" w:ascii="宋体" w:hAnsi="宋体" w:cs="宋体-18030"/>
          <w:color w:val="auto"/>
          <w:szCs w:val="21"/>
          <w:highlight w:val="none"/>
          <w:lang w:eastAsia="zh-CN"/>
        </w:rPr>
        <w:t>；</w:t>
      </w:r>
    </w:p>
    <w:p w14:paraId="72E58AC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lang w:eastAsia="zh-CN"/>
        </w:rPr>
        <w:t>（</w:t>
      </w:r>
      <w:r>
        <w:rPr>
          <w:rFonts w:hint="eastAsia" w:ascii="宋体"/>
          <w:color w:val="auto"/>
          <w:szCs w:val="21"/>
          <w:highlight w:val="none"/>
          <w:lang w:val="en-US" w:eastAsia="zh-CN"/>
        </w:rPr>
        <w:t>6</w:t>
      </w:r>
      <w:r>
        <w:rPr>
          <w:rFonts w:hint="eastAsia" w:ascii="宋体"/>
          <w:color w:val="auto"/>
          <w:szCs w:val="21"/>
          <w:highlight w:val="none"/>
          <w:lang w:eastAsia="zh-CN"/>
        </w:rPr>
        <w:t>）</w:t>
      </w:r>
      <w:r>
        <w:rPr>
          <w:rFonts w:hint="eastAsia" w:ascii="宋体"/>
          <w:color w:val="auto"/>
          <w:szCs w:val="21"/>
          <w:highlight w:val="none"/>
        </w:rPr>
        <w:t>诚信投标承诺书（格式见附件）；</w:t>
      </w:r>
    </w:p>
    <w:p w14:paraId="12FBC190">
      <w:pPr>
        <w:spacing w:line="500" w:lineRule="exact"/>
        <w:ind w:firstLine="420" w:firstLineChars="200"/>
        <w:jc w:val="left"/>
        <w:rPr>
          <w:rFonts w:hint="eastAsia" w:ascii="宋体" w:cs="Times New Roman"/>
          <w:color w:val="auto"/>
          <w:szCs w:val="21"/>
          <w:highlight w:val="none"/>
          <w:lang w:val="en-US" w:eastAsia="zh-CN"/>
        </w:rPr>
      </w:pPr>
      <w:r>
        <w:rPr>
          <w:rFonts w:hint="eastAsia" w:ascii="宋体" w:cs="Times New Roman"/>
          <w:color w:val="auto"/>
          <w:szCs w:val="21"/>
          <w:highlight w:val="none"/>
          <w:lang w:eastAsia="zh-CN"/>
        </w:rPr>
        <w:t>（</w:t>
      </w:r>
      <w:r>
        <w:rPr>
          <w:rFonts w:hint="eastAsia" w:ascii="宋体" w:cs="Times New Roman"/>
          <w:color w:val="auto"/>
          <w:szCs w:val="21"/>
          <w:highlight w:val="none"/>
          <w:lang w:val="en-US" w:eastAsia="zh-CN"/>
        </w:rPr>
        <w:t>7）服务承诺书</w:t>
      </w:r>
      <w:r>
        <w:rPr>
          <w:rFonts w:hint="eastAsia" w:ascii="宋体"/>
          <w:color w:val="auto"/>
          <w:szCs w:val="21"/>
          <w:highlight w:val="none"/>
        </w:rPr>
        <w:t>（格式见附件）；</w:t>
      </w:r>
    </w:p>
    <w:p w14:paraId="358C999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8</w:t>
      </w:r>
      <w:r>
        <w:rPr>
          <w:rFonts w:hint="eastAsia" w:ascii="宋体" w:eastAsia="宋体"/>
          <w:color w:val="auto"/>
          <w:szCs w:val="21"/>
          <w:highlight w:val="none"/>
        </w:rPr>
        <w:t>）开标一览表（格式见附件）；</w:t>
      </w:r>
    </w:p>
    <w:p w14:paraId="4B5FC9B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9</w:t>
      </w:r>
      <w:r>
        <w:rPr>
          <w:rFonts w:hint="eastAsia" w:ascii="宋体" w:eastAsia="宋体"/>
          <w:color w:val="auto"/>
          <w:szCs w:val="21"/>
          <w:highlight w:val="none"/>
        </w:rPr>
        <w:t>）投标函（格式见附件）；</w:t>
      </w:r>
    </w:p>
    <w:p w14:paraId="4B9F1141">
      <w:pPr>
        <w:spacing w:line="440" w:lineRule="exact"/>
        <w:ind w:left="420"/>
        <w:rPr>
          <w:rFonts w:hint="default" w:ascii="宋体" w:eastAsia="宋体"/>
          <w:color w:val="auto"/>
          <w:szCs w:val="21"/>
          <w:highlight w:val="none"/>
          <w:lang w:val="en-US" w:eastAsia="zh-CN"/>
        </w:rPr>
        <w:sectPr>
          <w:pgSz w:w="11906" w:h="16838"/>
          <w:pgMar w:top="1440" w:right="1800" w:bottom="1440" w:left="1800" w:header="851" w:footer="992" w:gutter="0"/>
          <w:pgNumType w:fmt="decimal"/>
          <w:cols w:space="720" w:num="1"/>
          <w:docGrid w:type="lines" w:linePitch="312" w:charSpace="0"/>
        </w:sectPr>
      </w:pPr>
      <w:r>
        <w:rPr>
          <w:rFonts w:hint="eastAsia" w:ascii="宋体" w:eastAsia="宋体"/>
          <w:color w:val="auto"/>
          <w:szCs w:val="21"/>
          <w:highlight w:val="none"/>
          <w:lang w:eastAsia="zh-CN"/>
        </w:rPr>
        <w:t>（</w:t>
      </w:r>
      <w:r>
        <w:rPr>
          <w:rFonts w:hint="eastAsia" w:ascii="宋体"/>
          <w:color w:val="auto"/>
          <w:szCs w:val="21"/>
          <w:highlight w:val="none"/>
          <w:lang w:val="en-US" w:eastAsia="zh-CN"/>
        </w:rPr>
        <w:t>10</w:t>
      </w:r>
      <w:r>
        <w:rPr>
          <w:rFonts w:hint="eastAsia" w:ascii="宋体" w:eastAsia="宋体"/>
          <w:color w:val="auto"/>
          <w:szCs w:val="21"/>
          <w:highlight w:val="none"/>
          <w:lang w:val="en-US" w:eastAsia="zh-CN"/>
        </w:rPr>
        <w:t>）</w:t>
      </w:r>
      <w:r>
        <w:rPr>
          <w:rFonts w:hint="eastAsia" w:ascii="宋体"/>
          <w:color w:val="auto"/>
          <w:szCs w:val="21"/>
          <w:highlight w:val="none"/>
          <w:lang w:val="en-US" w:eastAsia="zh-CN"/>
        </w:rPr>
        <w:t>招标文件中评分细则所需提供的证明材料。</w:t>
      </w:r>
    </w:p>
    <w:p w14:paraId="12A309E3">
      <w:pPr>
        <w:spacing w:line="360" w:lineRule="auto"/>
        <w:rPr>
          <w:rFonts w:hint="eastAsia"/>
          <w:b/>
          <w:color w:val="auto"/>
          <w:sz w:val="28"/>
          <w:szCs w:val="28"/>
          <w:highlight w:val="none"/>
        </w:rPr>
      </w:pPr>
      <w:r>
        <w:rPr>
          <w:rFonts w:hint="eastAsia"/>
          <w:b/>
          <w:color w:val="auto"/>
          <w:sz w:val="28"/>
          <w:szCs w:val="28"/>
          <w:highlight w:val="none"/>
        </w:rPr>
        <w:t>附件1</w:t>
      </w:r>
    </w:p>
    <w:p w14:paraId="0297AD0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483D3138">
      <w:pPr>
        <w:pStyle w:val="120"/>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04753793">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19663A">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B5DF856">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B1CBFB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DA23039">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BB6CD85">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5B53ECF3">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DC411F5">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643A4456">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726C062">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3F1660A">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D691DB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423EFD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6B3C3182">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6F2C4FEE">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F2B62F9">
      <w:pPr>
        <w:spacing w:line="480" w:lineRule="exact"/>
        <w:rPr>
          <w:rFonts w:hint="eastAsia" w:ascii="宋体"/>
          <w:color w:val="auto"/>
          <w:sz w:val="24"/>
          <w:highlight w:val="none"/>
        </w:rPr>
      </w:pPr>
      <w:r>
        <w:rPr>
          <w:rFonts w:hint="eastAsia" w:ascii="宋体"/>
          <w:color w:val="auto"/>
          <w:sz w:val="24"/>
          <w:highlight w:val="none"/>
        </w:rPr>
        <w:t xml:space="preserve">                                     投标人：             </w:t>
      </w:r>
      <w:r>
        <w:rPr>
          <w:rFonts w:hint="eastAsia" w:ascii="宋体"/>
          <w:color w:val="auto"/>
          <w:sz w:val="28"/>
          <w:szCs w:val="28"/>
          <w:highlight w:val="none"/>
        </w:rPr>
        <w:t>（盖单位章）</w:t>
      </w:r>
    </w:p>
    <w:p w14:paraId="2F96CCFC">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1CCB353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3DFB8282">
      <w:pPr>
        <w:spacing w:line="360" w:lineRule="exact"/>
        <w:ind w:firstLine="413" w:firstLineChars="147"/>
        <w:rPr>
          <w:rFonts w:hint="eastAsia"/>
          <w:b/>
          <w:color w:val="auto"/>
          <w:sz w:val="28"/>
          <w:szCs w:val="28"/>
          <w:highlight w:val="none"/>
          <w:u w:val="single"/>
        </w:rPr>
      </w:pPr>
    </w:p>
    <w:p w14:paraId="454DA86A">
      <w:pPr>
        <w:spacing w:line="360" w:lineRule="exact"/>
        <w:ind w:firstLine="413" w:firstLineChars="147"/>
        <w:rPr>
          <w:rFonts w:hint="eastAsia"/>
          <w:b/>
          <w:color w:val="auto"/>
          <w:sz w:val="28"/>
          <w:szCs w:val="28"/>
          <w:highlight w:val="none"/>
          <w:u w:val="single"/>
        </w:rPr>
      </w:pPr>
    </w:p>
    <w:p w14:paraId="5D81EF35">
      <w:pPr>
        <w:spacing w:line="360" w:lineRule="exact"/>
        <w:rPr>
          <w:rFonts w:hint="eastAsia" w:ascii="宋体"/>
          <w:b/>
          <w:color w:val="auto"/>
          <w:sz w:val="30"/>
          <w:szCs w:val="30"/>
          <w:highlight w:val="none"/>
        </w:rPr>
      </w:pPr>
      <w:r>
        <w:rPr>
          <w:rFonts w:hint="eastAsia" w:ascii="宋体"/>
          <w:b/>
          <w:color w:val="auto"/>
          <w:sz w:val="30"/>
          <w:szCs w:val="30"/>
          <w:highlight w:val="none"/>
        </w:rPr>
        <w:t>附件2</w:t>
      </w:r>
    </w:p>
    <w:p w14:paraId="66A28F69">
      <w:pPr>
        <w:spacing w:line="360" w:lineRule="auto"/>
        <w:jc w:val="center"/>
        <w:rPr>
          <w:rFonts w:hint="eastAsia"/>
          <w:b/>
          <w:color w:val="auto"/>
          <w:sz w:val="28"/>
          <w:szCs w:val="28"/>
          <w:highlight w:val="none"/>
        </w:rPr>
      </w:pPr>
      <w:bookmarkStart w:id="305" w:name="_Toc440443268"/>
      <w:bookmarkStart w:id="306" w:name="_Toc449028950"/>
      <w:r>
        <w:rPr>
          <w:rFonts w:hint="eastAsia"/>
          <w:b/>
          <w:color w:val="auto"/>
          <w:sz w:val="28"/>
          <w:szCs w:val="28"/>
          <w:highlight w:val="none"/>
        </w:rPr>
        <w:t>诚信投标承诺书 </w:t>
      </w:r>
    </w:p>
    <w:p w14:paraId="3B4959A1">
      <w:pPr>
        <w:keepNext w:val="0"/>
        <w:keepLines w:val="0"/>
        <w:pageBreakBefore w:val="0"/>
        <w:widowControl w:val="0"/>
        <w:kinsoku/>
        <w:wordWrap/>
        <w:overflowPunct/>
        <w:topLinePunct w:val="0"/>
        <w:autoSpaceDE/>
        <w:autoSpaceDN/>
        <w:bidi w:val="0"/>
        <w:spacing w:line="500" w:lineRule="exact"/>
        <w:ind w:right="0" w:rightChars="0"/>
        <w:textAlignment w:val="auto"/>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17BEDF11">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w:t>
      </w:r>
    </w:p>
    <w:p w14:paraId="67F534F7">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二、所提供的一切材料都是真实、有效、合法的；</w:t>
      </w:r>
    </w:p>
    <w:p w14:paraId="4EBCC0C1">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026B037B">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AA7A7B">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66455B08">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lang w:val="en-US" w:eastAsia="zh-CN"/>
        </w:rPr>
        <w:t>我公司</w:t>
      </w:r>
      <w:r>
        <w:rPr>
          <w:rFonts w:hint="eastAsia" w:ascii="宋体" w:hAnsi="宋体"/>
          <w:color w:val="auto"/>
          <w:szCs w:val="21"/>
          <w:highlight w:val="none"/>
        </w:rPr>
        <w:t>（包括联合体各成员）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若招标文件对投标人（包括联合体各成员）所属分公司、办事处等分支机构有上述1-5项信誉要求，在此一并承诺我公司（包括联合体各成员）所属分公司、办事处等分支机构没有上述1-5项情形）</w:t>
      </w:r>
    </w:p>
    <w:p w14:paraId="20CDDA7F">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77F25EE6">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、保证中标后不转包，若有分包征得招标人同意；</w:t>
      </w:r>
    </w:p>
    <w:p w14:paraId="17199933">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、保证中标之后，按照投标文件要求提供相关后续服务；</w:t>
      </w:r>
    </w:p>
    <w:p w14:paraId="2E012909">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236D1E74">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5912448">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6BF6B4A5">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w:t>
      </w:r>
    </w:p>
    <w:p w14:paraId="3C713C1E">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开户银行：                          基本账户：</w:t>
      </w:r>
    </w:p>
    <w:p w14:paraId="560E2902">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xml:space="preserve">投标单位（盖单位章）：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w:t>
      </w:r>
      <w:r>
        <w:rPr>
          <w:rFonts w:hint="eastAsia" w:ascii="宋体" w:hAnsi="宋体"/>
          <w:color w:val="auto"/>
          <w:szCs w:val="21"/>
          <w:highlight w:val="none"/>
          <w:lang w:val="en-US" w:eastAsia="zh-CN"/>
        </w:rPr>
        <w:t>签字或盖章</w:t>
      </w:r>
      <w:r>
        <w:rPr>
          <w:rFonts w:hint="eastAsia" w:ascii="宋体" w:hAnsi="宋体"/>
          <w:color w:val="auto"/>
          <w:szCs w:val="21"/>
          <w:highlight w:val="none"/>
        </w:rPr>
        <w:t>）：</w:t>
      </w:r>
    </w:p>
    <w:p w14:paraId="410B7592">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textAlignment w:val="auto"/>
        <w:rPr>
          <w:rFonts w:hint="eastAsia" w:ascii="宋体" w:hAnsi="宋体"/>
          <w:color w:val="auto"/>
          <w:szCs w:val="21"/>
          <w:highlight w:val="none"/>
        </w:rPr>
      </w:pPr>
    </w:p>
    <w:p w14:paraId="02DBA31F">
      <w:pPr>
        <w:keepNext w:val="0"/>
        <w:keepLines w:val="0"/>
        <w:pageBreakBefore w:val="0"/>
        <w:widowControl w:val="0"/>
        <w:kinsoku/>
        <w:wordWrap/>
        <w:overflowPunct/>
        <w:topLinePunct w:val="0"/>
        <w:autoSpaceDE/>
        <w:autoSpaceDN/>
        <w:bidi w:val="0"/>
        <w:spacing w:line="500" w:lineRule="exact"/>
        <w:ind w:left="0" w:leftChars="0" w:right="0" w:rightChars="0" w:firstLine="415" w:firstLineChars="198"/>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069AF867">
      <w:pPr>
        <w:spacing w:line="360" w:lineRule="auto"/>
        <w:jc w:val="center"/>
        <w:rPr>
          <w:rFonts w:hint="eastAsia"/>
          <w:b/>
          <w:color w:val="auto"/>
          <w:sz w:val="28"/>
          <w:szCs w:val="28"/>
          <w:highlight w:val="none"/>
        </w:rPr>
      </w:pPr>
    </w:p>
    <w:p w14:paraId="330836B9">
      <w:pPr>
        <w:spacing w:line="360" w:lineRule="exact"/>
        <w:ind w:firstLine="443" w:firstLineChars="147"/>
        <w:rPr>
          <w:rFonts w:hint="eastAsia" w:ascii="宋体"/>
          <w:b/>
          <w:color w:val="auto"/>
          <w:sz w:val="30"/>
          <w:szCs w:val="30"/>
          <w:highlight w:val="none"/>
        </w:rPr>
      </w:pPr>
    </w:p>
    <w:p w14:paraId="3A5E1A1C">
      <w:pPr>
        <w:spacing w:line="360" w:lineRule="exact"/>
        <w:ind w:firstLine="443" w:firstLineChars="147"/>
        <w:rPr>
          <w:rFonts w:hint="eastAsia" w:ascii="宋体"/>
          <w:b/>
          <w:color w:val="auto"/>
          <w:sz w:val="30"/>
          <w:szCs w:val="30"/>
          <w:highlight w:val="none"/>
        </w:rPr>
      </w:pPr>
    </w:p>
    <w:p w14:paraId="75C0279C">
      <w:pPr>
        <w:spacing w:line="360" w:lineRule="exact"/>
        <w:ind w:firstLine="443" w:firstLineChars="147"/>
        <w:rPr>
          <w:rFonts w:hint="eastAsia" w:ascii="宋体"/>
          <w:b/>
          <w:color w:val="auto"/>
          <w:sz w:val="30"/>
          <w:szCs w:val="30"/>
          <w:highlight w:val="none"/>
        </w:rPr>
      </w:pPr>
    </w:p>
    <w:p w14:paraId="2C30AD6E">
      <w:pPr>
        <w:spacing w:line="360" w:lineRule="exact"/>
        <w:ind w:firstLine="443" w:firstLineChars="147"/>
        <w:rPr>
          <w:rFonts w:hint="eastAsia" w:ascii="宋体"/>
          <w:b/>
          <w:color w:val="auto"/>
          <w:sz w:val="30"/>
          <w:szCs w:val="30"/>
          <w:highlight w:val="none"/>
        </w:rPr>
      </w:pPr>
    </w:p>
    <w:p w14:paraId="5EB60544">
      <w:pPr>
        <w:spacing w:line="360" w:lineRule="exact"/>
        <w:ind w:firstLine="443" w:firstLineChars="147"/>
        <w:rPr>
          <w:rFonts w:hint="eastAsia" w:ascii="宋体"/>
          <w:b/>
          <w:color w:val="auto"/>
          <w:sz w:val="30"/>
          <w:szCs w:val="30"/>
          <w:highlight w:val="none"/>
        </w:rPr>
      </w:pPr>
    </w:p>
    <w:p w14:paraId="5B74BB13">
      <w:pPr>
        <w:spacing w:line="360" w:lineRule="exact"/>
        <w:ind w:firstLine="443" w:firstLineChars="147"/>
        <w:rPr>
          <w:rFonts w:hint="eastAsia" w:ascii="宋体"/>
          <w:b/>
          <w:color w:val="auto"/>
          <w:sz w:val="30"/>
          <w:szCs w:val="30"/>
          <w:highlight w:val="none"/>
        </w:rPr>
      </w:pPr>
    </w:p>
    <w:p w14:paraId="43D732B4">
      <w:pPr>
        <w:spacing w:line="360" w:lineRule="exact"/>
        <w:ind w:firstLine="443" w:firstLineChars="147"/>
        <w:rPr>
          <w:rFonts w:hint="eastAsia" w:ascii="宋体"/>
          <w:b/>
          <w:color w:val="auto"/>
          <w:sz w:val="30"/>
          <w:szCs w:val="30"/>
          <w:highlight w:val="none"/>
        </w:rPr>
      </w:pPr>
    </w:p>
    <w:p w14:paraId="1C046224">
      <w:pPr>
        <w:spacing w:line="360" w:lineRule="exact"/>
        <w:ind w:firstLine="443" w:firstLineChars="147"/>
        <w:rPr>
          <w:rFonts w:hint="eastAsia" w:ascii="宋体"/>
          <w:b/>
          <w:color w:val="auto"/>
          <w:sz w:val="30"/>
          <w:szCs w:val="30"/>
          <w:highlight w:val="none"/>
        </w:rPr>
      </w:pPr>
    </w:p>
    <w:p w14:paraId="3FB6AE73">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p w14:paraId="039EADB3">
      <w:pPr>
        <w:spacing w:line="360" w:lineRule="exact"/>
        <w:rPr>
          <w:rFonts w:hint="eastAsia" w:ascii="宋体"/>
          <w:b/>
          <w:color w:val="auto"/>
          <w:sz w:val="30"/>
          <w:szCs w:val="30"/>
          <w:highlight w:val="none"/>
        </w:rPr>
      </w:pPr>
    </w:p>
    <w:bookmarkEnd w:id="305"/>
    <w:bookmarkEnd w:id="306"/>
    <w:p w14:paraId="63A73FBD">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r>
        <w:rPr>
          <w:rFonts w:hint="eastAsia"/>
          <w:b/>
          <w:color w:val="auto"/>
          <w:sz w:val="28"/>
          <w:szCs w:val="28"/>
          <w:highlight w:val="none"/>
          <w:lang w:val="en-US" w:eastAsia="zh-CN"/>
        </w:rPr>
        <w:t>3</w:t>
      </w:r>
    </w:p>
    <w:p w14:paraId="4372AF6B">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EF38558">
      <w:pPr>
        <w:ind w:firstLine="480" w:firstLineChars="200"/>
        <w:rPr>
          <w:rFonts w:hint="eastAsia" w:ascii="宋体"/>
          <w:color w:val="auto"/>
          <w:sz w:val="24"/>
          <w:highlight w:val="none"/>
        </w:rPr>
      </w:pPr>
    </w:p>
    <w:p w14:paraId="3D773E43">
      <w:pPr>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color w:val="auto"/>
          <w:sz w:val="24"/>
          <w:highlight w:val="none"/>
          <w:u w:val="single"/>
          <w:lang w:eastAsia="zh-CN"/>
        </w:rPr>
        <w:t>招标人</w:t>
      </w:r>
      <w:r>
        <w:rPr>
          <w:rFonts w:hint="eastAsia" w:ascii="宋体"/>
          <w:color w:val="auto"/>
          <w:sz w:val="24"/>
          <w:highlight w:val="none"/>
          <w:u w:val="single"/>
        </w:rPr>
        <w:t>）</w:t>
      </w:r>
      <w:r>
        <w:rPr>
          <w:rFonts w:hint="eastAsia" w:ascii="宋体"/>
          <w:color w:val="auto"/>
          <w:sz w:val="24"/>
          <w:highlight w:val="none"/>
        </w:rPr>
        <w:t>：</w:t>
      </w:r>
    </w:p>
    <w:p w14:paraId="75567643">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（投标人名称）对本招标文件的相关要求完全响应。若有幸中标将严格按照以上承诺进行服务。</w:t>
      </w:r>
    </w:p>
    <w:p w14:paraId="27862723">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50D0C2D">
      <w:pPr>
        <w:spacing w:line="600" w:lineRule="exact"/>
        <w:rPr>
          <w:rFonts w:hint="eastAsia" w:ascii="宋体"/>
          <w:color w:val="auto"/>
          <w:sz w:val="24"/>
          <w:highlight w:val="none"/>
        </w:rPr>
      </w:pPr>
      <w:r>
        <w:rPr>
          <w:rFonts w:hint="eastAsia" w:ascii="宋体"/>
          <w:color w:val="auto"/>
          <w:sz w:val="24"/>
          <w:highlight w:val="none"/>
        </w:rPr>
        <w:t> </w:t>
      </w:r>
    </w:p>
    <w:p w14:paraId="2B82BB2D">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2CCD3DE">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w:t>
      </w:r>
      <w:r>
        <w:rPr>
          <w:rFonts w:hint="eastAsia" w:ascii="宋体" w:hAnsi="宋体"/>
          <w:color w:val="auto"/>
          <w:sz w:val="24"/>
          <w:szCs w:val="21"/>
          <w:highlight w:val="none"/>
          <w:lang w:val="en-US" w:eastAsia="zh-CN"/>
        </w:rPr>
        <w:t>签字或盖章</w:t>
      </w:r>
      <w:r>
        <w:rPr>
          <w:rFonts w:hint="eastAsia" w:ascii="宋体" w:hAnsi="宋体"/>
          <w:color w:val="auto"/>
          <w:sz w:val="24"/>
          <w:szCs w:val="21"/>
          <w:highlight w:val="none"/>
        </w:rPr>
        <w:t>)</w:t>
      </w:r>
    </w:p>
    <w:p w14:paraId="2DB5FF85">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00CDC893">
      <w:pPr>
        <w:pStyle w:val="13"/>
        <w:rPr>
          <w:color w:val="auto"/>
          <w:highlight w:val="none"/>
        </w:rPr>
      </w:pPr>
    </w:p>
    <w:p w14:paraId="29454810">
      <w:pPr>
        <w:spacing w:line="400" w:lineRule="exact"/>
        <w:ind w:firstLine="562" w:firstLineChars="200"/>
        <w:rPr>
          <w:rFonts w:hint="eastAsia"/>
          <w:b/>
          <w:color w:val="auto"/>
          <w:sz w:val="28"/>
          <w:szCs w:val="28"/>
          <w:highlight w:val="none"/>
        </w:rPr>
      </w:pPr>
    </w:p>
    <w:p w14:paraId="4C709C56">
      <w:pPr>
        <w:spacing w:line="400" w:lineRule="exact"/>
        <w:ind w:firstLine="562" w:firstLineChars="200"/>
        <w:rPr>
          <w:rFonts w:hint="eastAsia"/>
          <w:b/>
          <w:color w:val="auto"/>
          <w:sz w:val="28"/>
          <w:szCs w:val="28"/>
          <w:highlight w:val="none"/>
        </w:rPr>
      </w:pPr>
    </w:p>
    <w:p w14:paraId="164AFB4D">
      <w:pPr>
        <w:spacing w:line="400" w:lineRule="exact"/>
        <w:ind w:firstLine="562" w:firstLineChars="200"/>
        <w:rPr>
          <w:rFonts w:hint="eastAsia"/>
          <w:b/>
          <w:color w:val="auto"/>
          <w:sz w:val="28"/>
          <w:szCs w:val="28"/>
          <w:highlight w:val="none"/>
        </w:rPr>
      </w:pPr>
    </w:p>
    <w:p w14:paraId="007E467B">
      <w:pPr>
        <w:spacing w:line="400" w:lineRule="exact"/>
        <w:ind w:firstLine="562" w:firstLineChars="200"/>
        <w:rPr>
          <w:rFonts w:hint="eastAsia"/>
          <w:b/>
          <w:color w:val="auto"/>
          <w:sz w:val="28"/>
          <w:szCs w:val="28"/>
          <w:highlight w:val="none"/>
        </w:rPr>
      </w:pPr>
    </w:p>
    <w:p w14:paraId="3D4B71C3">
      <w:pPr>
        <w:spacing w:line="400" w:lineRule="exact"/>
        <w:ind w:firstLine="562" w:firstLineChars="200"/>
        <w:rPr>
          <w:rFonts w:hint="eastAsia"/>
          <w:b/>
          <w:color w:val="auto"/>
          <w:sz w:val="28"/>
          <w:szCs w:val="28"/>
          <w:highlight w:val="none"/>
        </w:rPr>
      </w:pPr>
    </w:p>
    <w:p w14:paraId="526AA94C">
      <w:pPr>
        <w:spacing w:line="400" w:lineRule="exact"/>
        <w:ind w:firstLine="562" w:firstLineChars="200"/>
        <w:rPr>
          <w:rFonts w:hint="eastAsia"/>
          <w:b/>
          <w:color w:val="auto"/>
          <w:sz w:val="28"/>
          <w:szCs w:val="28"/>
          <w:highlight w:val="none"/>
        </w:rPr>
      </w:pPr>
    </w:p>
    <w:p w14:paraId="27246F98">
      <w:pPr>
        <w:spacing w:line="400" w:lineRule="exact"/>
        <w:ind w:firstLine="562" w:firstLineChars="200"/>
        <w:rPr>
          <w:rFonts w:hint="eastAsia"/>
          <w:b/>
          <w:color w:val="auto"/>
          <w:sz w:val="28"/>
          <w:szCs w:val="28"/>
          <w:highlight w:val="none"/>
        </w:rPr>
      </w:pPr>
    </w:p>
    <w:p w14:paraId="73164738">
      <w:pPr>
        <w:spacing w:line="400" w:lineRule="exact"/>
        <w:ind w:firstLine="562" w:firstLineChars="200"/>
        <w:rPr>
          <w:rFonts w:hint="eastAsia"/>
          <w:b/>
          <w:color w:val="auto"/>
          <w:sz w:val="28"/>
          <w:szCs w:val="28"/>
          <w:highlight w:val="none"/>
        </w:rPr>
      </w:pPr>
    </w:p>
    <w:p w14:paraId="75908629">
      <w:pPr>
        <w:spacing w:line="400" w:lineRule="exact"/>
        <w:rPr>
          <w:b/>
          <w:color w:val="auto"/>
          <w:sz w:val="28"/>
          <w:szCs w:val="28"/>
          <w:highlight w:val="none"/>
        </w:rPr>
      </w:pPr>
    </w:p>
    <w:p w14:paraId="00EFC75B">
      <w:pPr>
        <w:pStyle w:val="34"/>
        <w:rPr>
          <w:color w:val="auto"/>
          <w:highlight w:val="none"/>
        </w:rPr>
      </w:pPr>
    </w:p>
    <w:p w14:paraId="1574F26B">
      <w:pPr>
        <w:spacing w:line="400" w:lineRule="exact"/>
        <w:ind w:firstLine="562" w:firstLineChars="200"/>
        <w:rPr>
          <w:rFonts w:hint="eastAsia"/>
          <w:b/>
          <w:color w:val="auto"/>
          <w:sz w:val="28"/>
          <w:szCs w:val="28"/>
          <w:highlight w:val="none"/>
        </w:rPr>
      </w:pPr>
    </w:p>
    <w:p w14:paraId="7E31D460">
      <w:pPr>
        <w:spacing w:line="440" w:lineRule="exact"/>
        <w:ind w:left="420"/>
        <w:rPr>
          <w:rFonts w:hint="eastAsia" w:ascii="宋体" w:eastAsia="宋体"/>
          <w:color w:val="auto"/>
          <w:szCs w:val="21"/>
          <w:highlight w:val="none"/>
        </w:rPr>
      </w:pPr>
    </w:p>
    <w:p w14:paraId="7FEE9387">
      <w:pPr>
        <w:spacing w:line="360" w:lineRule="exact"/>
        <w:ind w:firstLine="443" w:firstLineChars="147"/>
        <w:rPr>
          <w:rFonts w:hint="eastAsia" w:ascii="宋体" w:hAnsi="宋体"/>
          <w:b/>
          <w:color w:val="auto"/>
          <w:sz w:val="30"/>
          <w:szCs w:val="30"/>
          <w:highlight w:val="none"/>
        </w:rPr>
      </w:pPr>
    </w:p>
    <w:p w14:paraId="3DC8E2CE">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006DC35">
      <w:pPr>
        <w:spacing w:line="360" w:lineRule="exact"/>
        <w:ind w:firstLine="443" w:firstLineChars="147"/>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4</w:t>
      </w:r>
    </w:p>
    <w:p w14:paraId="2F1A3774">
      <w:pPr>
        <w:spacing w:line="360" w:lineRule="exact"/>
        <w:ind w:firstLine="472" w:firstLineChars="147"/>
        <w:jc w:val="center"/>
        <w:rPr>
          <w:rFonts w:hint="eastAsia" w:ascii="宋体"/>
          <w:b/>
          <w:color w:val="auto"/>
          <w:sz w:val="32"/>
          <w:szCs w:val="32"/>
          <w:highlight w:val="none"/>
        </w:rPr>
      </w:pPr>
    </w:p>
    <w:p w14:paraId="6FDF845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40256D9B">
      <w:pPr>
        <w:spacing w:line="360" w:lineRule="exact"/>
        <w:ind w:firstLine="354" w:firstLineChars="147"/>
        <w:rPr>
          <w:rFonts w:hint="eastAsia" w:ascii="宋体"/>
          <w:b/>
          <w:color w:val="auto"/>
          <w:sz w:val="24"/>
          <w:highlight w:val="none"/>
        </w:rPr>
      </w:pPr>
    </w:p>
    <w:p w14:paraId="6375EEC0">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01861F0">
      <w:pPr>
        <w:snapToGrid w:val="0"/>
        <w:spacing w:line="460" w:lineRule="exact"/>
        <w:ind w:left="2940" w:leftChars="1400" w:firstLine="720" w:firstLineChars="300"/>
        <w:rPr>
          <w:rFonts w:hint="eastAsia" w:ascii="宋体"/>
          <w:color w:val="auto"/>
          <w:sz w:val="24"/>
          <w:highlight w:val="none"/>
        </w:rPr>
      </w:pPr>
    </w:p>
    <w:tbl>
      <w:tblPr>
        <w:tblStyle w:val="35"/>
        <w:tblW w:w="87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562DD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744BEB63">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2B233629">
            <w:pPr>
              <w:spacing w:line="360" w:lineRule="auto"/>
              <w:jc w:val="left"/>
              <w:rPr>
                <w:rFonts w:hint="eastAsia"/>
                <w:color w:val="auto"/>
                <w:sz w:val="24"/>
                <w:highlight w:val="none"/>
              </w:rPr>
            </w:pPr>
            <w:r>
              <w:rPr>
                <w:rFonts w:hint="eastAsia"/>
                <w:color w:val="auto"/>
                <w:sz w:val="24"/>
                <w:highlight w:val="none"/>
              </w:rPr>
              <w:t xml:space="preserve">         </w:t>
            </w:r>
          </w:p>
        </w:tc>
      </w:tr>
      <w:tr w14:paraId="17F7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3FEE16EF">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0D40CC81">
            <w:pPr>
              <w:rPr>
                <w:rFonts w:hint="eastAsia" w:ascii="宋体"/>
                <w:color w:val="auto"/>
                <w:sz w:val="24"/>
                <w:highlight w:val="none"/>
              </w:rPr>
            </w:pPr>
          </w:p>
        </w:tc>
      </w:tr>
      <w:tr w14:paraId="7DC25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2325141">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4284BE6">
            <w:pPr>
              <w:pStyle w:val="18"/>
              <w:spacing w:line="460" w:lineRule="exact"/>
              <w:ind w:left="86" w:leftChars="41"/>
              <w:rPr>
                <w:rFonts w:hint="eastAsia" w:ascii="宋体" w:eastAsia="宋体"/>
                <w:color w:val="auto"/>
                <w:sz w:val="24"/>
                <w:szCs w:val="24"/>
                <w:highlight w:val="none"/>
              </w:rPr>
            </w:pPr>
          </w:p>
        </w:tc>
      </w:tr>
      <w:tr w14:paraId="7168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295EC245">
            <w:pPr>
              <w:spacing w:line="360" w:lineRule="auto"/>
              <w:jc w:val="center"/>
              <w:rPr>
                <w:rFonts w:ascii="宋体"/>
                <w:color w:val="auto"/>
                <w:sz w:val="24"/>
                <w:highlight w:val="none"/>
              </w:rPr>
            </w:pPr>
            <w:r>
              <w:rPr>
                <w:rFonts w:hint="eastAsia" w:ascii="宋体"/>
                <w:color w:val="auto"/>
                <w:sz w:val="24"/>
                <w:highlight w:val="none"/>
              </w:rPr>
              <w:t>投标报价\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5DCC4EAC">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color w:val="auto"/>
                <w:sz w:val="24"/>
                <w:highlight w:val="none"/>
              </w:rPr>
            </w:pPr>
            <w:r>
              <w:rPr>
                <w:rFonts w:hint="eastAsia" w:ascii="宋体"/>
                <w:color w:val="auto"/>
                <w:sz w:val="24"/>
                <w:highlight w:val="none"/>
              </w:rPr>
              <w:t>投标报价（费率）（大写）：</w:t>
            </w:r>
            <w:r>
              <w:rPr>
                <w:rFonts w:hint="eastAsia" w:ascii="宋体"/>
                <w:color w:val="auto"/>
                <w:sz w:val="24"/>
                <w:highlight w:val="none"/>
                <w:u w:val="single"/>
              </w:rPr>
              <w:t xml:space="preserve">                   </w:t>
            </w:r>
            <w:r>
              <w:rPr>
                <w:rFonts w:hint="eastAsia" w:ascii="宋体"/>
                <w:color w:val="auto"/>
                <w:sz w:val="24"/>
                <w:highlight w:val="none"/>
              </w:rPr>
              <w:t>；</w:t>
            </w:r>
          </w:p>
          <w:p w14:paraId="62CE92A6">
            <w:pPr>
              <w:keepNext w:val="0"/>
              <w:keepLines w:val="0"/>
              <w:pageBreakBefore w:val="0"/>
              <w:widowControl w:val="0"/>
              <w:kinsoku/>
              <w:wordWrap/>
              <w:overflowPunct/>
              <w:topLinePunct w:val="0"/>
              <w:autoSpaceDE/>
              <w:autoSpaceDN/>
              <w:bidi w:val="0"/>
              <w:adjustRightInd/>
              <w:snapToGrid/>
              <w:spacing w:line="900" w:lineRule="exact"/>
              <w:ind w:firstLine="1200" w:firstLineChars="500"/>
              <w:textAlignment w:val="auto"/>
              <w:rPr>
                <w:rFonts w:hint="eastAsia" w:ascii="宋体"/>
                <w:color w:val="auto"/>
                <w:sz w:val="24"/>
                <w:highlight w:val="none"/>
              </w:rPr>
            </w:pPr>
            <w:r>
              <w:rPr>
                <w:rFonts w:hint="eastAsia" w:ascii="宋体"/>
                <w:color w:val="auto"/>
                <w:sz w:val="24"/>
                <w:highlight w:val="none"/>
              </w:rPr>
              <w:t>(小写) ：</w:t>
            </w:r>
            <w:r>
              <w:rPr>
                <w:rFonts w:hint="eastAsia" w:ascii="宋体"/>
                <w:color w:val="auto"/>
                <w:sz w:val="24"/>
                <w:highlight w:val="none"/>
                <w:u w:val="single"/>
              </w:rPr>
              <w:t xml:space="preserve">                  %</w:t>
            </w:r>
            <w:r>
              <w:rPr>
                <w:rFonts w:hint="eastAsia" w:ascii="宋体"/>
                <w:color w:val="auto"/>
                <w:sz w:val="24"/>
                <w:highlight w:val="none"/>
              </w:rPr>
              <w:t>；</w:t>
            </w:r>
          </w:p>
          <w:p w14:paraId="5BA702FC">
            <w:pPr>
              <w:keepNext w:val="0"/>
              <w:keepLines w:val="0"/>
              <w:pageBreakBefore w:val="0"/>
              <w:widowControl w:val="0"/>
              <w:kinsoku/>
              <w:wordWrap/>
              <w:overflowPunct/>
              <w:topLinePunct w:val="0"/>
              <w:autoSpaceDE/>
              <w:autoSpaceDN/>
              <w:bidi w:val="0"/>
              <w:adjustRightInd/>
              <w:snapToGrid/>
              <w:spacing w:line="900" w:lineRule="exact"/>
              <w:textAlignment w:val="auto"/>
              <w:rPr>
                <w:rFonts w:hint="default"/>
                <w:color w:val="auto"/>
                <w:sz w:val="24"/>
                <w:highlight w:val="none"/>
                <w:lang w:val="en-US"/>
              </w:rPr>
            </w:pPr>
            <w:r>
              <w:rPr>
                <w:rFonts w:hint="eastAsia" w:ascii="宋体"/>
                <w:color w:val="auto"/>
                <w:sz w:val="24"/>
                <w:highlight w:val="none"/>
                <w:lang w:val="en-US" w:eastAsia="zh-CN"/>
              </w:rPr>
              <w:t>服务期</w:t>
            </w:r>
            <w:r>
              <w:rPr>
                <w:rFonts w:hint="eastAsia" w:ascii="宋体"/>
                <w:color w:val="auto"/>
                <w:sz w:val="24"/>
                <w:highlight w:val="none"/>
              </w:rPr>
              <w:t>：</w:t>
            </w:r>
            <w:r>
              <w:rPr>
                <w:rFonts w:hint="eastAsia" w:ascii="宋体" w:hAnsi="Times New Roman" w:eastAsia="宋体" w:cs="Times New Roman"/>
                <w:color w:val="auto"/>
                <w:sz w:val="24"/>
                <w:highlight w:val="none"/>
                <w:lang w:val="en-US" w:eastAsia="zh-CN"/>
              </w:rPr>
              <w:t>自签订合同之日起至完成造价编制成果文件。</w:t>
            </w:r>
          </w:p>
        </w:tc>
      </w:tr>
    </w:tbl>
    <w:p w14:paraId="3BF1DAD6">
      <w:pPr>
        <w:snapToGrid w:val="0"/>
        <w:spacing w:line="460" w:lineRule="exact"/>
        <w:ind w:left="2940" w:leftChars="1400" w:firstLine="723" w:firstLineChars="300"/>
        <w:rPr>
          <w:rFonts w:hint="eastAsia" w:ascii="宋体"/>
          <w:b/>
          <w:color w:val="auto"/>
          <w:sz w:val="24"/>
          <w:highlight w:val="none"/>
        </w:rPr>
      </w:pPr>
    </w:p>
    <w:p w14:paraId="67881A06">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7AF07014">
      <w:pPr>
        <w:snapToGrid w:val="0"/>
        <w:spacing w:before="312" w:beforeLines="100" w:after="312" w:afterLines="100" w:line="360" w:lineRule="auto"/>
        <w:jc w:val="center"/>
        <w:rPr>
          <w:rFonts w:hint="eastAsia" w:eastAsia="宋体" w:cs="Arial"/>
          <w:b/>
          <w:bCs/>
          <w:color w:val="auto"/>
          <w:sz w:val="30"/>
          <w:szCs w:val="30"/>
          <w:highlight w:val="none"/>
          <w:lang w:val="en-US" w:eastAsia="zh-CN"/>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none"/>
          <w:lang w:val="en-US" w:eastAsia="zh-CN"/>
        </w:rPr>
        <w:t>日</w:t>
      </w:r>
    </w:p>
    <w:p w14:paraId="373B0AB5">
      <w:pPr>
        <w:spacing w:line="360" w:lineRule="exact"/>
        <w:rPr>
          <w:rFonts w:hint="eastAsia" w:ascii="宋体"/>
          <w:b/>
          <w:color w:val="auto"/>
          <w:sz w:val="30"/>
          <w:szCs w:val="30"/>
          <w:highlight w:val="none"/>
        </w:rPr>
      </w:pPr>
    </w:p>
    <w:p w14:paraId="3A59290A">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5</w:t>
      </w:r>
    </w:p>
    <w:p w14:paraId="674CCC9D">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34B5E12F">
      <w:pPr>
        <w:spacing w:line="440" w:lineRule="exact"/>
        <w:rPr>
          <w:rFonts w:hint="eastAsia" w:ascii="宋体"/>
          <w:color w:val="auto"/>
          <w:sz w:val="24"/>
          <w:highlight w:val="none"/>
        </w:rPr>
      </w:pPr>
    </w:p>
    <w:p w14:paraId="486EFF8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（项目名称）    </w:t>
      </w:r>
      <w:r>
        <w:rPr>
          <w:rFonts w:hint="eastAsia" w:ascii="宋体" w:hAnsi="宋体" w:cs="宋体"/>
          <w:color w:val="auto"/>
          <w:sz w:val="24"/>
          <w:highlight w:val="none"/>
        </w:rPr>
        <w:t>”的采购。我方授权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(姓名和职务)代表我方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BF2BE95">
      <w:pPr>
        <w:spacing w:line="440" w:lineRule="exact"/>
        <w:ind w:firstLine="480" w:firstLineChars="200"/>
        <w:jc w:val="left"/>
        <w:rPr>
          <w:rFonts w:hint="default" w:ascii="宋体" w:hAnsi="宋体" w:cs="宋体"/>
          <w:color w:val="auto"/>
          <w:sz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）”项目的货物与服务，</w:t>
      </w:r>
      <w:r>
        <w:rPr>
          <w:rFonts w:hint="eastAsia" w:ascii="宋体" w:hAnsi="宋体" w:cs="宋体"/>
          <w:color w:val="auto"/>
          <w:sz w:val="24"/>
          <w:highlight w:val="none"/>
          <w:lang w:val="en-US" w:eastAsia="zh-CN"/>
        </w:rPr>
        <w:t>投标报价（费率）</w:t>
      </w:r>
      <w:r>
        <w:rPr>
          <w:rFonts w:hint="eastAsia" w:ascii="宋体" w:hAnsi="宋体" w:cs="宋体"/>
          <w:color w:val="auto"/>
          <w:sz w:val="24"/>
          <w:highlight w:val="none"/>
        </w:rPr>
        <w:t>为（大写）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（小写）     %</w:t>
      </w:r>
      <w:r>
        <w:rPr>
          <w:rFonts w:hint="eastAsia" w:ascii="宋体" w:hAnsi="宋体" w:cs="宋体"/>
          <w:color w:val="auto"/>
          <w:sz w:val="24"/>
          <w:highlight w:val="none"/>
          <w:u w:val="single"/>
          <w:lang w:val="en-US" w:eastAsia="zh-CN"/>
        </w:rPr>
        <w:t>（最多保留两位小数），项目负责人为            。</w:t>
      </w:r>
      <w:r>
        <w:rPr>
          <w:rFonts w:hint="eastAsia" w:ascii="宋体" w:hAnsi="宋体" w:cs="宋体"/>
          <w:color w:val="auto"/>
          <w:sz w:val="24"/>
          <w:highlight w:val="none"/>
          <w:lang w:val="en-US" w:eastAsia="zh-CN"/>
        </w:rPr>
        <w:t xml:space="preserve"> </w:t>
      </w:r>
    </w:p>
    <w:p w14:paraId="657C3C0D">
      <w:pPr>
        <w:spacing w:line="440" w:lineRule="exact"/>
        <w:ind w:firstLine="480" w:firstLineChars="200"/>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22358BF9">
      <w:pPr>
        <w:spacing w:line="440" w:lineRule="exact"/>
        <w:ind w:firstLine="480" w:firstLineChars="200"/>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11F5EF4E">
      <w:pPr>
        <w:spacing w:line="440" w:lineRule="exact"/>
        <w:ind w:firstLine="480" w:firstLineChars="200"/>
        <w:rPr>
          <w:rFonts w:hint="eastAsia" w:ascii="宋体"/>
          <w:color w:val="auto"/>
          <w:sz w:val="24"/>
          <w:highlight w:val="none"/>
        </w:rPr>
      </w:pPr>
      <w:r>
        <w:rPr>
          <w:rFonts w:hint="eastAsia" w:ascii="宋体"/>
          <w:color w:val="auto"/>
          <w:sz w:val="24"/>
          <w:highlight w:val="none"/>
        </w:rPr>
        <w:t>5、投标有效期为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90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677B6606">
      <w:pPr>
        <w:spacing w:line="440" w:lineRule="exact"/>
        <w:ind w:firstLine="480" w:firstLineChars="200"/>
        <w:rPr>
          <w:rFonts w:hint="eastAsia" w:ascii="宋体"/>
          <w:color w:val="auto"/>
          <w:sz w:val="24"/>
          <w:highlight w:val="none"/>
        </w:rPr>
      </w:pPr>
      <w:r>
        <w:rPr>
          <w:rFonts w:hint="eastAsia" w:ascii="宋体"/>
          <w:color w:val="auto"/>
          <w:sz w:val="24"/>
          <w:highlight w:val="none"/>
        </w:rPr>
        <w:t>6、我单位提供如下通讯地址：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05B0664D">
      <w:pPr>
        <w:spacing w:line="440" w:lineRule="exact"/>
        <w:rPr>
          <w:rFonts w:hint="eastAsia" w:ascii="宋体"/>
          <w:color w:val="auto"/>
          <w:sz w:val="24"/>
          <w:highlight w:val="none"/>
        </w:rPr>
      </w:pPr>
      <w:r>
        <w:rPr>
          <w:rFonts w:hint="eastAsia" w:ascii="宋体"/>
          <w:color w:val="auto"/>
          <w:sz w:val="24"/>
          <w:highlight w:val="none"/>
        </w:rPr>
        <w:t> </w:t>
      </w:r>
    </w:p>
    <w:p w14:paraId="7B105019">
      <w:pPr>
        <w:spacing w:line="440" w:lineRule="exact"/>
        <w:rPr>
          <w:rFonts w:hint="eastAsia" w:ascii="宋体"/>
          <w:color w:val="auto"/>
          <w:sz w:val="24"/>
          <w:highlight w:val="none"/>
        </w:rPr>
      </w:pPr>
    </w:p>
    <w:p w14:paraId="4B1AD082">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3299D3FC">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730476D7">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2BBA1D05">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C05209A">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72591FD6">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462BBD4">
      <w:pPr>
        <w:spacing w:line="360" w:lineRule="exact"/>
        <w:rPr>
          <w:rFonts w:hint="eastAsia" w:ascii="宋体"/>
          <w:b/>
          <w:color w:val="auto"/>
          <w:sz w:val="28"/>
          <w:szCs w:val="28"/>
          <w:highlight w:val="none"/>
        </w:rPr>
      </w:pPr>
    </w:p>
    <w:p w14:paraId="15D7A257">
      <w:pPr>
        <w:rPr>
          <w:rFonts w:hint="eastAsia" w:ascii="宋体"/>
          <w:b/>
          <w:color w:val="auto"/>
          <w:sz w:val="32"/>
          <w:szCs w:val="32"/>
          <w:highlight w:val="none"/>
        </w:rPr>
      </w:pPr>
      <w:r>
        <w:rPr>
          <w:rFonts w:hint="eastAsia" w:ascii="宋体"/>
          <w:b/>
          <w:color w:val="auto"/>
          <w:sz w:val="32"/>
          <w:szCs w:val="32"/>
          <w:highlight w:val="none"/>
        </w:rPr>
        <w:br w:type="page"/>
      </w:r>
    </w:p>
    <w:p w14:paraId="3648DADC">
      <w:pPr>
        <w:spacing w:line="360" w:lineRule="exact"/>
        <w:ind w:firstLine="443" w:firstLineChars="147"/>
        <w:rPr>
          <w:rFonts w:hint="eastAsia" w:ascii="宋体" w:hAnsi="宋体"/>
          <w:b/>
          <w:color w:val="auto"/>
          <w:sz w:val="30"/>
          <w:szCs w:val="30"/>
          <w:highlight w:val="none"/>
        </w:rPr>
        <w:sectPr>
          <w:headerReference r:id="rId12" w:type="default"/>
          <w:footerReference r:id="rId13" w:type="default"/>
          <w:pgSz w:w="11906" w:h="16838"/>
          <w:pgMar w:top="1440" w:right="1800" w:bottom="1440" w:left="1600" w:header="851" w:footer="992" w:gutter="0"/>
          <w:pgNumType w:fmt="decimal"/>
          <w:cols w:space="720" w:num="1"/>
          <w:docGrid w:type="lines" w:linePitch="312" w:charSpace="0"/>
        </w:sectPr>
      </w:pPr>
    </w:p>
    <w:bookmarkEnd w:id="71"/>
    <w:bookmarkEnd w:id="72"/>
    <w:p w14:paraId="59C5F8C7">
      <w:pPr>
        <w:spacing w:line="440" w:lineRule="exact"/>
        <w:jc w:val="center"/>
        <w:outlineLvl w:val="0"/>
        <w:rPr>
          <w:rFonts w:hint="eastAsia" w:ascii="宋体"/>
          <w:b/>
          <w:color w:val="auto"/>
          <w:sz w:val="32"/>
          <w:szCs w:val="32"/>
          <w:highlight w:val="none"/>
        </w:rPr>
      </w:pPr>
      <w:bookmarkStart w:id="307" w:name="_Toc58430333"/>
      <w:bookmarkStart w:id="308" w:name="_Toc449028957"/>
      <w:bookmarkStart w:id="309" w:name="_Toc13076"/>
      <w:r>
        <w:rPr>
          <w:rFonts w:hint="eastAsia" w:ascii="宋体"/>
          <w:b/>
          <w:color w:val="auto"/>
          <w:sz w:val="32"/>
          <w:szCs w:val="32"/>
          <w:highlight w:val="none"/>
          <w:lang w:val="en-US" w:eastAsia="zh-CN"/>
        </w:rPr>
        <w:t>第六章  招标人</w:t>
      </w:r>
      <w:r>
        <w:rPr>
          <w:rFonts w:hint="eastAsia" w:ascii="宋体"/>
          <w:b/>
          <w:color w:val="auto"/>
          <w:sz w:val="32"/>
          <w:szCs w:val="32"/>
          <w:highlight w:val="none"/>
        </w:rPr>
        <w:t>、</w:t>
      </w: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代理机构对本招标文件的确认</w:t>
      </w:r>
      <w:bookmarkEnd w:id="307"/>
      <w:bookmarkEnd w:id="308"/>
      <w:bookmarkEnd w:id="309"/>
    </w:p>
    <w:p w14:paraId="4A117D56">
      <w:pPr>
        <w:spacing w:line="440" w:lineRule="exact"/>
        <w:rPr>
          <w:rFonts w:hint="eastAsia" w:ascii="宋体"/>
          <w:color w:val="auto"/>
          <w:sz w:val="24"/>
          <w:highlight w:val="none"/>
          <w:u w:val="single"/>
        </w:rPr>
      </w:pPr>
    </w:p>
    <w:tbl>
      <w:tblPr>
        <w:tblStyle w:val="35"/>
        <w:tblW w:w="0" w:type="auto"/>
        <w:jc w:val="center"/>
        <w:tblLayout w:type="fixed"/>
        <w:tblCellMar>
          <w:top w:w="0" w:type="dxa"/>
          <w:left w:w="108" w:type="dxa"/>
          <w:bottom w:w="0" w:type="dxa"/>
          <w:right w:w="108" w:type="dxa"/>
        </w:tblCellMar>
      </w:tblPr>
      <w:tblGrid>
        <w:gridCol w:w="9374"/>
      </w:tblGrid>
      <w:tr w14:paraId="1EC1C46D">
        <w:tblPrEx>
          <w:tblCellMar>
            <w:top w:w="0" w:type="dxa"/>
            <w:left w:w="108" w:type="dxa"/>
            <w:bottom w:w="0" w:type="dxa"/>
            <w:right w:w="108" w:type="dxa"/>
          </w:tblCellMar>
        </w:tblPrEx>
        <w:trPr>
          <w:trHeight w:val="547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009B1F59">
            <w:pPr>
              <w:spacing w:line="440" w:lineRule="exact"/>
              <w:ind w:firstLine="560" w:firstLineChars="200"/>
              <w:rPr>
                <w:rFonts w:hint="eastAsia" w:ascii="宋体" w:cs="宋体"/>
                <w:color w:val="auto"/>
                <w:sz w:val="28"/>
                <w:szCs w:val="28"/>
                <w:highlight w:val="none"/>
              </w:rPr>
            </w:pPr>
          </w:p>
          <w:p w14:paraId="2559CCFF">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val="en-US" w:eastAsia="zh-CN"/>
              </w:rPr>
              <w:t xml:space="preserve"> </w:t>
            </w:r>
            <w:r>
              <w:rPr>
                <w:rFonts w:hint="eastAsia" w:ascii="宋体" w:cs="宋体"/>
                <w:color w:val="auto"/>
                <w:sz w:val="28"/>
                <w:szCs w:val="28"/>
                <w:highlight w:val="none"/>
                <w:u w:val="single"/>
                <w:lang w:eastAsia="zh-CN"/>
              </w:rPr>
              <w:t>北门游客中心“六一书苑”场馆提升项目工程量清单及最高投标限价编制</w:t>
            </w:r>
            <w:r>
              <w:rPr>
                <w:rFonts w:hint="eastAsia" w:ascii="宋体" w:cs="宋体"/>
                <w:color w:val="auto"/>
                <w:sz w:val="28"/>
                <w:szCs w:val="28"/>
                <w:highlight w:val="none"/>
                <w:u w:val="single"/>
                <w:lang w:val="en-US" w:eastAsia="zh-CN"/>
              </w:rPr>
              <w:t xml:space="preserve"> </w:t>
            </w:r>
            <w:r>
              <w:rPr>
                <w:rFonts w:hint="eastAsia" w:ascii="宋体" w:cs="宋体"/>
                <w:color w:val="auto"/>
                <w:sz w:val="28"/>
                <w:szCs w:val="28"/>
                <w:highlight w:val="none"/>
              </w:rPr>
              <w:t>的招标文件进行确认。</w:t>
            </w:r>
          </w:p>
          <w:p w14:paraId="01C28100">
            <w:pPr>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招标单位：</w:t>
            </w:r>
            <w:r>
              <w:rPr>
                <w:rFonts w:hint="eastAsia" w:ascii="宋体" w:hAnsi="宋体" w:cs="宋体"/>
                <w:color w:val="auto"/>
                <w:sz w:val="28"/>
                <w:szCs w:val="28"/>
                <w:highlight w:val="none"/>
                <w:lang w:eastAsia="zh-CN"/>
              </w:rPr>
              <w:t xml:space="preserve">安徽省琅琊山旅游发展有限公司 </w:t>
            </w:r>
          </w:p>
          <w:p w14:paraId="282E17BC">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代工</w:t>
            </w:r>
          </w:p>
          <w:p w14:paraId="03FA0A4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0550-3525595</w:t>
            </w:r>
          </w:p>
          <w:p w14:paraId="08C7D105">
            <w:pPr>
              <w:spacing w:line="540" w:lineRule="exact"/>
              <w:ind w:firstLine="7140" w:firstLineChars="2550"/>
              <w:rPr>
                <w:rFonts w:hint="eastAsia" w:ascii="宋体" w:cs="宋体"/>
                <w:color w:val="auto"/>
                <w:sz w:val="28"/>
                <w:szCs w:val="28"/>
                <w:highlight w:val="none"/>
              </w:rPr>
            </w:pPr>
          </w:p>
          <w:p w14:paraId="4B439C7A">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E60DF71">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r w14:paraId="25ABA1CD">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A946AEB">
            <w:pPr>
              <w:spacing w:line="440" w:lineRule="exact"/>
              <w:rPr>
                <w:rFonts w:hint="eastAsia" w:ascii="宋体" w:cs="宋体"/>
                <w:color w:val="auto"/>
                <w:sz w:val="28"/>
                <w:szCs w:val="28"/>
                <w:highlight w:val="none"/>
              </w:rPr>
            </w:pPr>
          </w:p>
          <w:p w14:paraId="19E5576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E53E8F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经</w:t>
            </w:r>
            <w:r>
              <w:rPr>
                <w:rFonts w:hint="eastAsia" w:ascii="宋体" w:cs="宋体"/>
                <w:color w:val="auto"/>
                <w:sz w:val="28"/>
                <w:szCs w:val="28"/>
                <w:highlight w:val="none"/>
                <w:lang w:val="en-US" w:eastAsia="zh-CN"/>
              </w:rPr>
              <w:t xml:space="preserve"> </w:t>
            </w:r>
            <w:r>
              <w:rPr>
                <w:rFonts w:hint="eastAsia" w:ascii="宋体" w:cs="宋体"/>
                <w:color w:val="auto"/>
                <w:sz w:val="28"/>
                <w:szCs w:val="28"/>
                <w:highlight w:val="none"/>
              </w:rPr>
              <w:t>办</w:t>
            </w:r>
            <w:r>
              <w:rPr>
                <w:rFonts w:hint="eastAsia" w:ascii="宋体" w:cs="宋体"/>
                <w:color w:val="auto"/>
                <w:sz w:val="28"/>
                <w:szCs w:val="28"/>
                <w:highlight w:val="none"/>
                <w:lang w:val="en-US" w:eastAsia="zh-CN"/>
              </w:rPr>
              <w:t xml:space="preserve"> </w:t>
            </w:r>
            <w:r>
              <w:rPr>
                <w:rFonts w:hint="eastAsia" w:ascii="宋体" w:cs="宋体"/>
                <w:color w:val="auto"/>
                <w:sz w:val="28"/>
                <w:szCs w:val="28"/>
                <w:highlight w:val="none"/>
              </w:rPr>
              <w:t>人：</w:t>
            </w:r>
            <w:r>
              <w:rPr>
                <w:rFonts w:hint="eastAsia" w:ascii="宋体" w:cs="宋体"/>
                <w:color w:val="auto"/>
                <w:sz w:val="28"/>
                <w:szCs w:val="28"/>
                <w:highlight w:val="none"/>
                <w:lang w:eastAsia="zh-CN"/>
              </w:rPr>
              <w:t>胡国庆</w:t>
            </w:r>
          </w:p>
          <w:p w14:paraId="033529C4">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联系电话：</w:t>
            </w:r>
            <w:r>
              <w:rPr>
                <w:rFonts w:hint="eastAsia" w:ascii="宋体" w:cs="宋体"/>
                <w:color w:val="auto"/>
                <w:sz w:val="28"/>
                <w:szCs w:val="28"/>
                <w:highlight w:val="none"/>
                <w:lang w:eastAsia="zh-CN"/>
              </w:rPr>
              <w:t>0550-3519517、18005500950</w:t>
            </w:r>
          </w:p>
          <w:p w14:paraId="2348145A">
            <w:pPr>
              <w:spacing w:line="520" w:lineRule="exact"/>
              <w:ind w:firstLine="6300" w:firstLineChars="2250"/>
              <w:rPr>
                <w:rFonts w:hint="eastAsia" w:ascii="宋体" w:cs="宋体"/>
                <w:color w:val="auto"/>
                <w:sz w:val="28"/>
                <w:szCs w:val="28"/>
                <w:highlight w:val="none"/>
              </w:rPr>
            </w:pPr>
          </w:p>
          <w:p w14:paraId="0F0721F1">
            <w:pPr>
              <w:pStyle w:val="34"/>
              <w:rPr>
                <w:rFonts w:hint="eastAsia"/>
                <w:color w:val="auto"/>
                <w:highlight w:val="none"/>
              </w:rPr>
            </w:pPr>
          </w:p>
          <w:p w14:paraId="6927545C">
            <w:pPr>
              <w:spacing w:line="520" w:lineRule="exact"/>
              <w:ind w:firstLine="6580" w:firstLineChars="2350"/>
              <w:rPr>
                <w:rFonts w:hint="eastAsia" w:ascii="宋体" w:cs="宋体"/>
                <w:color w:val="auto"/>
                <w:sz w:val="28"/>
                <w:szCs w:val="28"/>
                <w:highlight w:val="none"/>
              </w:rPr>
            </w:pPr>
          </w:p>
          <w:p w14:paraId="60BFBA44">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65E5BB42">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bookmarkEnd w:id="0"/>
    </w:tbl>
    <w:p w14:paraId="122B3745">
      <w:pPr>
        <w:rPr>
          <w:color w:val="auto"/>
          <w:highlight w:val="none"/>
        </w:rPr>
      </w:pPr>
    </w:p>
    <w:sectPr>
      <w:pgSz w:w="11906" w:h="16838"/>
      <w:pgMar w:top="1440" w:right="1800" w:bottom="1440" w:left="16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font>
  <w:font w:name="Times">
    <w:altName w:val="Times New Roman"/>
    <w:panose1 w:val="02020603050405020304"/>
    <w:charset w:val="00"/>
    <w:family w:val="roman"/>
    <w:pitch w:val="default"/>
    <w:sig w:usb0="00000000" w:usb1="00000000" w:usb2="00000009" w:usb3="00000000" w:csb0="000001FF" w:csb1="00000000"/>
  </w:font>
  <w:font w:name="宋体-18030">
    <w:altName w:val="宋体"/>
    <w:panose1 w:val="02010609060101010101"/>
    <w:charset w:val="86"/>
    <w:family w:val="modern"/>
    <w:pitch w:val="default"/>
    <w:sig w:usb0="00000000" w:usb1="00000000" w:usb2="000A005E"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1052">
    <w:pPr>
      <w:pStyle w:val="22"/>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DF4">
    <w:pPr>
      <w:pStyle w:val="22"/>
      <w:framePr w:wrap="around" w:vAnchor="text" w:hAnchor="margin" w:xAlign="center" w:y="1"/>
      <w:tabs>
        <w:tab w:val="clear" w:pos="4153"/>
        <w:tab w:val="clear" w:pos="8306"/>
      </w:tabs>
      <w:rPr>
        <w:rStyle w:val="39"/>
      </w:rPr>
    </w:pPr>
    <w:r>
      <w:fldChar w:fldCharType="begin"/>
    </w:r>
    <w:r>
      <w:rPr>
        <w:rStyle w:val="39"/>
      </w:rPr>
      <w:instrText xml:space="preserve">PAGE  </w:instrText>
    </w:r>
    <w:r>
      <w:fldChar w:fldCharType="separate"/>
    </w:r>
    <w:r>
      <w:t xml:space="preserve"> </w:t>
    </w:r>
    <w:r>
      <w:fldChar w:fldCharType="end"/>
    </w:r>
  </w:p>
  <w:p w14:paraId="324148DB">
    <w:pPr>
      <w:pStyle w:val="22"/>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1C08">
    <w:pPr>
      <w:pStyle w:val="22"/>
      <w:framePr w:wrap="around" w:vAnchor="text" w:hAnchor="margin" w:xAlign="center" w:y="1"/>
      <w:tabs>
        <w:tab w:val="clear" w:pos="4153"/>
        <w:tab w:val="clear" w:pos="8306"/>
      </w:tabs>
      <w:rPr>
        <w:rStyle w:val="39"/>
        <w:rFonts w:hint="eastAsia"/>
      </w:rPr>
    </w:pPr>
  </w:p>
  <w:p w14:paraId="7F1FF381">
    <w:pPr>
      <w:pStyle w:val="22"/>
      <w:tabs>
        <w:tab w:val="clear" w:pos="4153"/>
        <w:tab w:val="clear" w:pos="8306"/>
      </w:tabs>
      <w:rPr>
        <w:rFonts w:hint="eastAsia"/>
        <w:szCs w:val="21"/>
      </w:rPr>
    </w:pPr>
  </w:p>
  <w:p w14:paraId="56EDCA8C">
    <w:pPr>
      <w:pStyle w:val="22"/>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22"/>
      <w:tabs>
        <w:tab w:val="clear" w:pos="4153"/>
        <w:tab w:val="clear" w:pos="8306"/>
      </w:tabs>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49F1">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3049F1">
                    <w:pPr>
                      <w:pStyle w:val="2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2EF9">
    <w:pPr>
      <w:pStyle w:val="22"/>
      <w:rPr>
        <w:rStyle w:val="39"/>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8131E">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68131E">
                    <w:pPr>
                      <w:pStyle w:val="22"/>
                    </w:pPr>
                    <w:r>
                      <w:fldChar w:fldCharType="begin"/>
                    </w:r>
                    <w:r>
                      <w:instrText xml:space="preserve"> PAGE  \* MERGEFORMAT </w:instrText>
                    </w:r>
                    <w:r>
                      <w:fldChar w:fldCharType="separate"/>
                    </w:r>
                    <w:r>
                      <w:t>1</w:t>
                    </w:r>
                    <w:r>
                      <w:fldChar w:fldCharType="end"/>
                    </w:r>
                  </w:p>
                </w:txbxContent>
              </v:textbox>
            </v:shape>
          </w:pict>
        </mc:Fallback>
      </mc:AlternateContent>
    </w:r>
  </w:p>
  <w:p w14:paraId="7BCCB1CB">
    <w:pPr>
      <w:pStyle w:val="22"/>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9C866FC"/>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59C866FC"/>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8F8E">
    <w:pPr>
      <w:pStyle w:val="22"/>
      <w:tabs>
        <w:tab w:val="clear" w:pos="4153"/>
        <w:tab w:val="clear" w:pos="8306"/>
      </w:tabs>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A7C8C">
                          <w:pPr>
                            <w:pStyle w:val="22"/>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A7C8C">
                    <w:pPr>
                      <w:pStyle w:val="22"/>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2A2F">
    <w:pPr>
      <w:pStyle w:val="22"/>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5D17E">
                          <w:pPr>
                            <w:pStyle w:val="2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05D17E">
                    <w:pPr>
                      <w:pStyle w:val="2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742E">
    <w:pPr>
      <w:pStyle w:val="23"/>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928">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7927">
    <w:pPr>
      <w:pStyle w:val="23"/>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0A64">
    <w:pPr>
      <w:pStyle w:val="23"/>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7"/>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2"/>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0"/>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0"/>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5"/>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7"/>
  <w:displayHorizontalDrawingGridEvery w:val="1"/>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ZGRkMjg0ZWRjZjM1MTM4OGNiMGViY2YyN2VjZj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07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267"/>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4F42"/>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2C7F"/>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5BC8"/>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80A12"/>
    <w:rsid w:val="01111B7C"/>
    <w:rsid w:val="0123584C"/>
    <w:rsid w:val="01317BAC"/>
    <w:rsid w:val="0156352C"/>
    <w:rsid w:val="0160078A"/>
    <w:rsid w:val="016025FC"/>
    <w:rsid w:val="016A6FD7"/>
    <w:rsid w:val="01727AD4"/>
    <w:rsid w:val="018C519F"/>
    <w:rsid w:val="01910A08"/>
    <w:rsid w:val="01A56261"/>
    <w:rsid w:val="01CE57B8"/>
    <w:rsid w:val="01E00D2D"/>
    <w:rsid w:val="01F30A1B"/>
    <w:rsid w:val="02136A35"/>
    <w:rsid w:val="02263E9A"/>
    <w:rsid w:val="02276CDB"/>
    <w:rsid w:val="02510197"/>
    <w:rsid w:val="02602E58"/>
    <w:rsid w:val="026A14A8"/>
    <w:rsid w:val="0284108D"/>
    <w:rsid w:val="02846ED2"/>
    <w:rsid w:val="029F0F02"/>
    <w:rsid w:val="02AB3F80"/>
    <w:rsid w:val="02CD5A6F"/>
    <w:rsid w:val="02D50DC8"/>
    <w:rsid w:val="02F92D08"/>
    <w:rsid w:val="02FF011F"/>
    <w:rsid w:val="0306625F"/>
    <w:rsid w:val="0314369E"/>
    <w:rsid w:val="032B6C3A"/>
    <w:rsid w:val="03433F84"/>
    <w:rsid w:val="034D095E"/>
    <w:rsid w:val="034D4E02"/>
    <w:rsid w:val="03636F78"/>
    <w:rsid w:val="038E49F0"/>
    <w:rsid w:val="038F7198"/>
    <w:rsid w:val="03905CE5"/>
    <w:rsid w:val="03925EFB"/>
    <w:rsid w:val="03960557"/>
    <w:rsid w:val="03AC7D7B"/>
    <w:rsid w:val="03B41164"/>
    <w:rsid w:val="03B659B7"/>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6416"/>
    <w:rsid w:val="05072DB3"/>
    <w:rsid w:val="051D0A23"/>
    <w:rsid w:val="05584639"/>
    <w:rsid w:val="057013EC"/>
    <w:rsid w:val="05713E65"/>
    <w:rsid w:val="05777F14"/>
    <w:rsid w:val="057F7413"/>
    <w:rsid w:val="059302F0"/>
    <w:rsid w:val="05B55DC4"/>
    <w:rsid w:val="05C56ED2"/>
    <w:rsid w:val="05EB7E30"/>
    <w:rsid w:val="0600615C"/>
    <w:rsid w:val="0619721E"/>
    <w:rsid w:val="061F375B"/>
    <w:rsid w:val="06235109"/>
    <w:rsid w:val="062459A5"/>
    <w:rsid w:val="062478E7"/>
    <w:rsid w:val="062B6848"/>
    <w:rsid w:val="06304C93"/>
    <w:rsid w:val="064510DB"/>
    <w:rsid w:val="06581AF4"/>
    <w:rsid w:val="06620B3A"/>
    <w:rsid w:val="066E7569"/>
    <w:rsid w:val="06954AF6"/>
    <w:rsid w:val="069717B9"/>
    <w:rsid w:val="06D0451E"/>
    <w:rsid w:val="06DA6FC6"/>
    <w:rsid w:val="06EB6E0C"/>
    <w:rsid w:val="06F03B29"/>
    <w:rsid w:val="06F10417"/>
    <w:rsid w:val="06F34B4B"/>
    <w:rsid w:val="06FF299A"/>
    <w:rsid w:val="070A729C"/>
    <w:rsid w:val="07342561"/>
    <w:rsid w:val="073C599D"/>
    <w:rsid w:val="073E5575"/>
    <w:rsid w:val="074128B0"/>
    <w:rsid w:val="074A10F8"/>
    <w:rsid w:val="074D3623"/>
    <w:rsid w:val="0761194E"/>
    <w:rsid w:val="076432D3"/>
    <w:rsid w:val="0781151E"/>
    <w:rsid w:val="078D1C71"/>
    <w:rsid w:val="079269DC"/>
    <w:rsid w:val="07987BFE"/>
    <w:rsid w:val="07B54D24"/>
    <w:rsid w:val="07B63215"/>
    <w:rsid w:val="07B77A9C"/>
    <w:rsid w:val="07BC624E"/>
    <w:rsid w:val="07D63618"/>
    <w:rsid w:val="07DC7A53"/>
    <w:rsid w:val="08000695"/>
    <w:rsid w:val="08081FA5"/>
    <w:rsid w:val="080B7557"/>
    <w:rsid w:val="08181E21"/>
    <w:rsid w:val="08184EC7"/>
    <w:rsid w:val="081C0B89"/>
    <w:rsid w:val="082B48A9"/>
    <w:rsid w:val="082D6348"/>
    <w:rsid w:val="084F5179"/>
    <w:rsid w:val="085264A2"/>
    <w:rsid w:val="0858227F"/>
    <w:rsid w:val="085D7896"/>
    <w:rsid w:val="08684A24"/>
    <w:rsid w:val="0878647D"/>
    <w:rsid w:val="08924472"/>
    <w:rsid w:val="08A62997"/>
    <w:rsid w:val="08A969C4"/>
    <w:rsid w:val="08AA2A59"/>
    <w:rsid w:val="08AF6108"/>
    <w:rsid w:val="08B001C4"/>
    <w:rsid w:val="08D00FFA"/>
    <w:rsid w:val="08EF5F46"/>
    <w:rsid w:val="08FF094D"/>
    <w:rsid w:val="090441B5"/>
    <w:rsid w:val="09086D86"/>
    <w:rsid w:val="090F12E9"/>
    <w:rsid w:val="09367BAA"/>
    <w:rsid w:val="09381D73"/>
    <w:rsid w:val="09473B2C"/>
    <w:rsid w:val="096A3477"/>
    <w:rsid w:val="097C361B"/>
    <w:rsid w:val="09866978"/>
    <w:rsid w:val="099B68C7"/>
    <w:rsid w:val="09AB5942"/>
    <w:rsid w:val="09B064D1"/>
    <w:rsid w:val="09BF2ED7"/>
    <w:rsid w:val="09BF7674"/>
    <w:rsid w:val="09F45FD8"/>
    <w:rsid w:val="09F806A3"/>
    <w:rsid w:val="0A0B50CF"/>
    <w:rsid w:val="0A0D1190"/>
    <w:rsid w:val="0A164D7F"/>
    <w:rsid w:val="0A2456C5"/>
    <w:rsid w:val="0A2543E3"/>
    <w:rsid w:val="0A474057"/>
    <w:rsid w:val="0A53598C"/>
    <w:rsid w:val="0A5D6F88"/>
    <w:rsid w:val="0A641E3D"/>
    <w:rsid w:val="0AA34B1B"/>
    <w:rsid w:val="0AAD7CD9"/>
    <w:rsid w:val="0AB6328D"/>
    <w:rsid w:val="0ABD15CE"/>
    <w:rsid w:val="0ABF263A"/>
    <w:rsid w:val="0AD12B8F"/>
    <w:rsid w:val="0AE0387E"/>
    <w:rsid w:val="0AF618DB"/>
    <w:rsid w:val="0B0A6314"/>
    <w:rsid w:val="0B183F48"/>
    <w:rsid w:val="0B330D82"/>
    <w:rsid w:val="0B335CF7"/>
    <w:rsid w:val="0B470389"/>
    <w:rsid w:val="0B5C5BE2"/>
    <w:rsid w:val="0B6B051B"/>
    <w:rsid w:val="0B6E6353"/>
    <w:rsid w:val="0B7B2E88"/>
    <w:rsid w:val="0B8415DD"/>
    <w:rsid w:val="0B842ECF"/>
    <w:rsid w:val="0BA53A0C"/>
    <w:rsid w:val="0BA8462C"/>
    <w:rsid w:val="0BB772BD"/>
    <w:rsid w:val="0BD10EF4"/>
    <w:rsid w:val="0BEC0639"/>
    <w:rsid w:val="0BED19DF"/>
    <w:rsid w:val="0C087B18"/>
    <w:rsid w:val="0C130BB2"/>
    <w:rsid w:val="0C193B8E"/>
    <w:rsid w:val="0C1C4E30"/>
    <w:rsid w:val="0C2653A0"/>
    <w:rsid w:val="0C271088"/>
    <w:rsid w:val="0C392862"/>
    <w:rsid w:val="0C403BDE"/>
    <w:rsid w:val="0C447B66"/>
    <w:rsid w:val="0C4B726D"/>
    <w:rsid w:val="0C563442"/>
    <w:rsid w:val="0C56723C"/>
    <w:rsid w:val="0C6172A8"/>
    <w:rsid w:val="0C64762A"/>
    <w:rsid w:val="0C782EF0"/>
    <w:rsid w:val="0C7B0EF4"/>
    <w:rsid w:val="0C825B1D"/>
    <w:rsid w:val="0C8E44C1"/>
    <w:rsid w:val="0C9C7EE1"/>
    <w:rsid w:val="0C9F66CF"/>
    <w:rsid w:val="0CA20839"/>
    <w:rsid w:val="0CA21D1B"/>
    <w:rsid w:val="0CB14648"/>
    <w:rsid w:val="0CB21A52"/>
    <w:rsid w:val="0CB63A18"/>
    <w:rsid w:val="0CBD3A66"/>
    <w:rsid w:val="0CD72DE2"/>
    <w:rsid w:val="0CEA36C2"/>
    <w:rsid w:val="0CED2FC7"/>
    <w:rsid w:val="0CF1374F"/>
    <w:rsid w:val="0D0429D6"/>
    <w:rsid w:val="0D0B3D64"/>
    <w:rsid w:val="0D126D3D"/>
    <w:rsid w:val="0D194DAA"/>
    <w:rsid w:val="0D3D634E"/>
    <w:rsid w:val="0D4472E3"/>
    <w:rsid w:val="0D5374B9"/>
    <w:rsid w:val="0D56790F"/>
    <w:rsid w:val="0D622EB4"/>
    <w:rsid w:val="0D63594E"/>
    <w:rsid w:val="0D83708C"/>
    <w:rsid w:val="0D854328"/>
    <w:rsid w:val="0DDB1F25"/>
    <w:rsid w:val="0DE34346"/>
    <w:rsid w:val="0DF465A6"/>
    <w:rsid w:val="0DFC545B"/>
    <w:rsid w:val="0E004116"/>
    <w:rsid w:val="0E077E36"/>
    <w:rsid w:val="0E0E22E1"/>
    <w:rsid w:val="0E110D22"/>
    <w:rsid w:val="0E193424"/>
    <w:rsid w:val="0E554C8F"/>
    <w:rsid w:val="0E574D87"/>
    <w:rsid w:val="0E5A2C39"/>
    <w:rsid w:val="0E736B11"/>
    <w:rsid w:val="0E7F3562"/>
    <w:rsid w:val="0E8E126E"/>
    <w:rsid w:val="0E9E6512"/>
    <w:rsid w:val="0EAC6E81"/>
    <w:rsid w:val="0EBD2885"/>
    <w:rsid w:val="0EC34B2B"/>
    <w:rsid w:val="0ECA6B2D"/>
    <w:rsid w:val="0ECB5D10"/>
    <w:rsid w:val="0ECC1E18"/>
    <w:rsid w:val="0EE11257"/>
    <w:rsid w:val="0EE35EF2"/>
    <w:rsid w:val="0EEC4C7F"/>
    <w:rsid w:val="0EEE7499"/>
    <w:rsid w:val="0EFA5849"/>
    <w:rsid w:val="0F16254C"/>
    <w:rsid w:val="0F1E6594"/>
    <w:rsid w:val="0F295746"/>
    <w:rsid w:val="0F2B6888"/>
    <w:rsid w:val="0F4F5F19"/>
    <w:rsid w:val="0F547B71"/>
    <w:rsid w:val="0F590199"/>
    <w:rsid w:val="0F721F8C"/>
    <w:rsid w:val="0F7936CC"/>
    <w:rsid w:val="0F882744"/>
    <w:rsid w:val="0F8F3081"/>
    <w:rsid w:val="0FA5195F"/>
    <w:rsid w:val="0FAD4701"/>
    <w:rsid w:val="0FBB0301"/>
    <w:rsid w:val="0FC621C4"/>
    <w:rsid w:val="0FE825FD"/>
    <w:rsid w:val="0FF61E2B"/>
    <w:rsid w:val="10260FB8"/>
    <w:rsid w:val="10280789"/>
    <w:rsid w:val="104D6442"/>
    <w:rsid w:val="106F4618"/>
    <w:rsid w:val="10735462"/>
    <w:rsid w:val="10760938"/>
    <w:rsid w:val="10771710"/>
    <w:rsid w:val="107A6B0B"/>
    <w:rsid w:val="10934AB9"/>
    <w:rsid w:val="109E4EEF"/>
    <w:rsid w:val="10B64B12"/>
    <w:rsid w:val="10B7072A"/>
    <w:rsid w:val="10B93AD7"/>
    <w:rsid w:val="10C04E65"/>
    <w:rsid w:val="10C34956"/>
    <w:rsid w:val="10D57578"/>
    <w:rsid w:val="10D73F5D"/>
    <w:rsid w:val="10E83584"/>
    <w:rsid w:val="10F245C8"/>
    <w:rsid w:val="10FD18AA"/>
    <w:rsid w:val="11136BE5"/>
    <w:rsid w:val="112244C7"/>
    <w:rsid w:val="1136016F"/>
    <w:rsid w:val="113E38BD"/>
    <w:rsid w:val="114E06C3"/>
    <w:rsid w:val="11531836"/>
    <w:rsid w:val="11633A20"/>
    <w:rsid w:val="11700B96"/>
    <w:rsid w:val="117A7D9D"/>
    <w:rsid w:val="117B6FDE"/>
    <w:rsid w:val="117D1895"/>
    <w:rsid w:val="1189681F"/>
    <w:rsid w:val="118D065E"/>
    <w:rsid w:val="119111DD"/>
    <w:rsid w:val="119D0D92"/>
    <w:rsid w:val="11B01C7F"/>
    <w:rsid w:val="11B132D8"/>
    <w:rsid w:val="11C049F1"/>
    <w:rsid w:val="11C72224"/>
    <w:rsid w:val="11D16BFE"/>
    <w:rsid w:val="11E20E0C"/>
    <w:rsid w:val="11EB5F12"/>
    <w:rsid w:val="11F63B39"/>
    <w:rsid w:val="11F811A4"/>
    <w:rsid w:val="121534BC"/>
    <w:rsid w:val="12303925"/>
    <w:rsid w:val="12321755"/>
    <w:rsid w:val="12392DC6"/>
    <w:rsid w:val="123A0C48"/>
    <w:rsid w:val="125735A8"/>
    <w:rsid w:val="125C6E10"/>
    <w:rsid w:val="125E4649"/>
    <w:rsid w:val="12653E6A"/>
    <w:rsid w:val="127658D7"/>
    <w:rsid w:val="12864FA7"/>
    <w:rsid w:val="12957C2C"/>
    <w:rsid w:val="12CC7D65"/>
    <w:rsid w:val="12F466E5"/>
    <w:rsid w:val="12FB3F33"/>
    <w:rsid w:val="12FC7CAB"/>
    <w:rsid w:val="130D010A"/>
    <w:rsid w:val="130E5DFE"/>
    <w:rsid w:val="1318492B"/>
    <w:rsid w:val="13195D86"/>
    <w:rsid w:val="133415D2"/>
    <w:rsid w:val="13390EFF"/>
    <w:rsid w:val="134659BB"/>
    <w:rsid w:val="13534D6F"/>
    <w:rsid w:val="135D699C"/>
    <w:rsid w:val="1362355A"/>
    <w:rsid w:val="136B46BF"/>
    <w:rsid w:val="13860D94"/>
    <w:rsid w:val="13863BCF"/>
    <w:rsid w:val="13873911"/>
    <w:rsid w:val="138A779A"/>
    <w:rsid w:val="138D2BCA"/>
    <w:rsid w:val="139879D4"/>
    <w:rsid w:val="13A12FBB"/>
    <w:rsid w:val="13C44C6D"/>
    <w:rsid w:val="13E9022F"/>
    <w:rsid w:val="13EB044B"/>
    <w:rsid w:val="13F53078"/>
    <w:rsid w:val="13FD017F"/>
    <w:rsid w:val="1400703C"/>
    <w:rsid w:val="14024E31"/>
    <w:rsid w:val="14033D19"/>
    <w:rsid w:val="142F0857"/>
    <w:rsid w:val="1436652A"/>
    <w:rsid w:val="1437543F"/>
    <w:rsid w:val="1444680B"/>
    <w:rsid w:val="14473B09"/>
    <w:rsid w:val="14526E7B"/>
    <w:rsid w:val="145853B5"/>
    <w:rsid w:val="147246C9"/>
    <w:rsid w:val="14834C84"/>
    <w:rsid w:val="14840D97"/>
    <w:rsid w:val="14861F22"/>
    <w:rsid w:val="148D4AEF"/>
    <w:rsid w:val="1493647B"/>
    <w:rsid w:val="14A32AD4"/>
    <w:rsid w:val="14CA62B3"/>
    <w:rsid w:val="14CF3D47"/>
    <w:rsid w:val="14D94AE9"/>
    <w:rsid w:val="14EB2AE0"/>
    <w:rsid w:val="14F50E56"/>
    <w:rsid w:val="14F7288F"/>
    <w:rsid w:val="14F751FA"/>
    <w:rsid w:val="14FC59FF"/>
    <w:rsid w:val="15063688"/>
    <w:rsid w:val="151E65FF"/>
    <w:rsid w:val="15336151"/>
    <w:rsid w:val="155251A4"/>
    <w:rsid w:val="156275CE"/>
    <w:rsid w:val="156F3D9C"/>
    <w:rsid w:val="15724254"/>
    <w:rsid w:val="157952EA"/>
    <w:rsid w:val="157B75AD"/>
    <w:rsid w:val="15876E40"/>
    <w:rsid w:val="158C2DC7"/>
    <w:rsid w:val="15A718D7"/>
    <w:rsid w:val="15BF001A"/>
    <w:rsid w:val="15BF64B6"/>
    <w:rsid w:val="15D373E9"/>
    <w:rsid w:val="15D975F0"/>
    <w:rsid w:val="15EC6D9F"/>
    <w:rsid w:val="15F64207"/>
    <w:rsid w:val="15FB6C69"/>
    <w:rsid w:val="16016360"/>
    <w:rsid w:val="160B3752"/>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B26FFE"/>
    <w:rsid w:val="16B86283"/>
    <w:rsid w:val="16BB08D6"/>
    <w:rsid w:val="16C33CD0"/>
    <w:rsid w:val="16C86EEE"/>
    <w:rsid w:val="16CF74AC"/>
    <w:rsid w:val="16D62899"/>
    <w:rsid w:val="16D86AD9"/>
    <w:rsid w:val="16DC407B"/>
    <w:rsid w:val="16E24DAF"/>
    <w:rsid w:val="16E478E9"/>
    <w:rsid w:val="16E86EC4"/>
    <w:rsid w:val="16F21AF1"/>
    <w:rsid w:val="16F45869"/>
    <w:rsid w:val="17025136"/>
    <w:rsid w:val="17080CB3"/>
    <w:rsid w:val="17104E33"/>
    <w:rsid w:val="172779EC"/>
    <w:rsid w:val="172C5003"/>
    <w:rsid w:val="17435B9A"/>
    <w:rsid w:val="17481711"/>
    <w:rsid w:val="17530278"/>
    <w:rsid w:val="1770488D"/>
    <w:rsid w:val="177251DB"/>
    <w:rsid w:val="179F403B"/>
    <w:rsid w:val="17A04DF8"/>
    <w:rsid w:val="17B46DA6"/>
    <w:rsid w:val="17E07B23"/>
    <w:rsid w:val="17F04282"/>
    <w:rsid w:val="181D21AB"/>
    <w:rsid w:val="18241EFA"/>
    <w:rsid w:val="182551D2"/>
    <w:rsid w:val="18302625"/>
    <w:rsid w:val="183C5221"/>
    <w:rsid w:val="184B770B"/>
    <w:rsid w:val="18553B5A"/>
    <w:rsid w:val="188056B2"/>
    <w:rsid w:val="1887731B"/>
    <w:rsid w:val="18A312F5"/>
    <w:rsid w:val="18A71570"/>
    <w:rsid w:val="18AF5EEB"/>
    <w:rsid w:val="18B06992"/>
    <w:rsid w:val="18BF29A5"/>
    <w:rsid w:val="18C43019"/>
    <w:rsid w:val="18D07C10"/>
    <w:rsid w:val="18D95C4B"/>
    <w:rsid w:val="18E33521"/>
    <w:rsid w:val="18EB67F8"/>
    <w:rsid w:val="18FA4C8D"/>
    <w:rsid w:val="18FF7748"/>
    <w:rsid w:val="19133920"/>
    <w:rsid w:val="19296091"/>
    <w:rsid w:val="193C34F7"/>
    <w:rsid w:val="19526877"/>
    <w:rsid w:val="196C36C2"/>
    <w:rsid w:val="19733208"/>
    <w:rsid w:val="1978271D"/>
    <w:rsid w:val="197E7B00"/>
    <w:rsid w:val="19933B34"/>
    <w:rsid w:val="19C96DDB"/>
    <w:rsid w:val="19CD084B"/>
    <w:rsid w:val="19CF01B9"/>
    <w:rsid w:val="19DC46F7"/>
    <w:rsid w:val="19DE34A8"/>
    <w:rsid w:val="19E52623"/>
    <w:rsid w:val="19EF2318"/>
    <w:rsid w:val="19FA6457"/>
    <w:rsid w:val="19FB3754"/>
    <w:rsid w:val="1A09162B"/>
    <w:rsid w:val="1A0B2274"/>
    <w:rsid w:val="1A187AC0"/>
    <w:rsid w:val="1A393B90"/>
    <w:rsid w:val="1A4E703E"/>
    <w:rsid w:val="1A535B25"/>
    <w:rsid w:val="1A7208D9"/>
    <w:rsid w:val="1A764FB0"/>
    <w:rsid w:val="1A767F97"/>
    <w:rsid w:val="1A8C60A2"/>
    <w:rsid w:val="1A932C82"/>
    <w:rsid w:val="1A9D1D74"/>
    <w:rsid w:val="1A9F789A"/>
    <w:rsid w:val="1AA37850"/>
    <w:rsid w:val="1AA650CC"/>
    <w:rsid w:val="1AA864FA"/>
    <w:rsid w:val="1AB97B24"/>
    <w:rsid w:val="1AC90DBB"/>
    <w:rsid w:val="1AD930B1"/>
    <w:rsid w:val="1AF10480"/>
    <w:rsid w:val="1AFA71C6"/>
    <w:rsid w:val="1B1E5236"/>
    <w:rsid w:val="1B267FBB"/>
    <w:rsid w:val="1B3C77DE"/>
    <w:rsid w:val="1B3E1360"/>
    <w:rsid w:val="1B453F87"/>
    <w:rsid w:val="1B4A02FA"/>
    <w:rsid w:val="1B6D0A69"/>
    <w:rsid w:val="1B7D2468"/>
    <w:rsid w:val="1B886580"/>
    <w:rsid w:val="1BAB30F2"/>
    <w:rsid w:val="1BB64807"/>
    <w:rsid w:val="1BC45815"/>
    <w:rsid w:val="1BCA6B98"/>
    <w:rsid w:val="1BE06AEA"/>
    <w:rsid w:val="1BEC2FB3"/>
    <w:rsid w:val="1BEE345E"/>
    <w:rsid w:val="1BF209FD"/>
    <w:rsid w:val="1BF530EC"/>
    <w:rsid w:val="1BFD529F"/>
    <w:rsid w:val="1C044843"/>
    <w:rsid w:val="1C165429"/>
    <w:rsid w:val="1C4C7B54"/>
    <w:rsid w:val="1C6D30D8"/>
    <w:rsid w:val="1C7911F1"/>
    <w:rsid w:val="1C7B60E4"/>
    <w:rsid w:val="1CAA7140"/>
    <w:rsid w:val="1CCB47C0"/>
    <w:rsid w:val="1CE27F12"/>
    <w:rsid w:val="1CF3330B"/>
    <w:rsid w:val="1D0B3F40"/>
    <w:rsid w:val="1D0C2883"/>
    <w:rsid w:val="1D1F4CC2"/>
    <w:rsid w:val="1D3B1144"/>
    <w:rsid w:val="1D436C7E"/>
    <w:rsid w:val="1D44297A"/>
    <w:rsid w:val="1D4E4561"/>
    <w:rsid w:val="1D703128"/>
    <w:rsid w:val="1D7C5FBA"/>
    <w:rsid w:val="1D81336E"/>
    <w:rsid w:val="1D8B67FB"/>
    <w:rsid w:val="1D9F19C4"/>
    <w:rsid w:val="1DA575B0"/>
    <w:rsid w:val="1DAF24EA"/>
    <w:rsid w:val="1DB375C5"/>
    <w:rsid w:val="1DB46449"/>
    <w:rsid w:val="1DBC69B5"/>
    <w:rsid w:val="1DC332DD"/>
    <w:rsid w:val="1DDB0E18"/>
    <w:rsid w:val="1DE80C95"/>
    <w:rsid w:val="1DEF6D8A"/>
    <w:rsid w:val="1E061E25"/>
    <w:rsid w:val="1E226345"/>
    <w:rsid w:val="1E37428D"/>
    <w:rsid w:val="1E384EE7"/>
    <w:rsid w:val="1E3A6C06"/>
    <w:rsid w:val="1E424E8A"/>
    <w:rsid w:val="1E57483D"/>
    <w:rsid w:val="1E6C5E06"/>
    <w:rsid w:val="1E736290"/>
    <w:rsid w:val="1E8C6387"/>
    <w:rsid w:val="1E8F5E77"/>
    <w:rsid w:val="1E9A6CF6"/>
    <w:rsid w:val="1EAA4A5F"/>
    <w:rsid w:val="1EB06519"/>
    <w:rsid w:val="1EB458DE"/>
    <w:rsid w:val="1EC00497"/>
    <w:rsid w:val="1EDA07E2"/>
    <w:rsid w:val="1EDA5344"/>
    <w:rsid w:val="1EE613D0"/>
    <w:rsid w:val="1EF1268E"/>
    <w:rsid w:val="1EF21855"/>
    <w:rsid w:val="1EF501D6"/>
    <w:rsid w:val="1EF80AEE"/>
    <w:rsid w:val="1F1830CB"/>
    <w:rsid w:val="1F1D4CEA"/>
    <w:rsid w:val="1F3431EF"/>
    <w:rsid w:val="1F412ACD"/>
    <w:rsid w:val="1F703EFB"/>
    <w:rsid w:val="1F717B90"/>
    <w:rsid w:val="1F896D6A"/>
    <w:rsid w:val="1F8F25D3"/>
    <w:rsid w:val="1FA51C58"/>
    <w:rsid w:val="1FA7649E"/>
    <w:rsid w:val="1FBE7B22"/>
    <w:rsid w:val="1FCD4EA9"/>
    <w:rsid w:val="1FF02C39"/>
    <w:rsid w:val="20061562"/>
    <w:rsid w:val="200A7EAB"/>
    <w:rsid w:val="2014753F"/>
    <w:rsid w:val="2017317A"/>
    <w:rsid w:val="201D0468"/>
    <w:rsid w:val="202857A9"/>
    <w:rsid w:val="202D76F6"/>
    <w:rsid w:val="203D7B26"/>
    <w:rsid w:val="20A749AE"/>
    <w:rsid w:val="20B10327"/>
    <w:rsid w:val="20B15A28"/>
    <w:rsid w:val="20C655D1"/>
    <w:rsid w:val="20C77B4A"/>
    <w:rsid w:val="20C92795"/>
    <w:rsid w:val="20D65FDF"/>
    <w:rsid w:val="20DB0CE4"/>
    <w:rsid w:val="20E961FA"/>
    <w:rsid w:val="20EE6F43"/>
    <w:rsid w:val="211A14D6"/>
    <w:rsid w:val="211F34E2"/>
    <w:rsid w:val="2132735C"/>
    <w:rsid w:val="21564CC5"/>
    <w:rsid w:val="21725E20"/>
    <w:rsid w:val="217F21D3"/>
    <w:rsid w:val="21894835"/>
    <w:rsid w:val="219F6403"/>
    <w:rsid w:val="21A148C9"/>
    <w:rsid w:val="21A84B20"/>
    <w:rsid w:val="21A97250"/>
    <w:rsid w:val="21C347B6"/>
    <w:rsid w:val="21D06ED2"/>
    <w:rsid w:val="21D547D9"/>
    <w:rsid w:val="21E36C06"/>
    <w:rsid w:val="21F841CB"/>
    <w:rsid w:val="22094970"/>
    <w:rsid w:val="220A4192"/>
    <w:rsid w:val="2224426F"/>
    <w:rsid w:val="224551CB"/>
    <w:rsid w:val="224C10D0"/>
    <w:rsid w:val="225222AD"/>
    <w:rsid w:val="22541289"/>
    <w:rsid w:val="22560474"/>
    <w:rsid w:val="225C24EF"/>
    <w:rsid w:val="226433E0"/>
    <w:rsid w:val="22685BE4"/>
    <w:rsid w:val="22786DC6"/>
    <w:rsid w:val="228F018F"/>
    <w:rsid w:val="22951269"/>
    <w:rsid w:val="22952C4B"/>
    <w:rsid w:val="22A07A2E"/>
    <w:rsid w:val="22AE1FD7"/>
    <w:rsid w:val="22B00DA9"/>
    <w:rsid w:val="22B1460E"/>
    <w:rsid w:val="22B81E40"/>
    <w:rsid w:val="22DF73CD"/>
    <w:rsid w:val="22F10EAE"/>
    <w:rsid w:val="2305495A"/>
    <w:rsid w:val="230D3F37"/>
    <w:rsid w:val="231128EB"/>
    <w:rsid w:val="23130BB1"/>
    <w:rsid w:val="23151041"/>
    <w:rsid w:val="23307C29"/>
    <w:rsid w:val="233415C5"/>
    <w:rsid w:val="234C07DB"/>
    <w:rsid w:val="23566F63"/>
    <w:rsid w:val="2362143C"/>
    <w:rsid w:val="23645B24"/>
    <w:rsid w:val="236C75A7"/>
    <w:rsid w:val="23887A65"/>
    <w:rsid w:val="238E2BA1"/>
    <w:rsid w:val="239A6033"/>
    <w:rsid w:val="23A418A2"/>
    <w:rsid w:val="23AD1279"/>
    <w:rsid w:val="23AE1EA3"/>
    <w:rsid w:val="23C40371"/>
    <w:rsid w:val="23D11B74"/>
    <w:rsid w:val="23D5432C"/>
    <w:rsid w:val="23EE71CC"/>
    <w:rsid w:val="2404346B"/>
    <w:rsid w:val="24172B97"/>
    <w:rsid w:val="24292475"/>
    <w:rsid w:val="242977C5"/>
    <w:rsid w:val="24351601"/>
    <w:rsid w:val="24375486"/>
    <w:rsid w:val="24390A60"/>
    <w:rsid w:val="243E33BC"/>
    <w:rsid w:val="246F7026"/>
    <w:rsid w:val="2495534F"/>
    <w:rsid w:val="24A773D3"/>
    <w:rsid w:val="24B65FDB"/>
    <w:rsid w:val="24C364CA"/>
    <w:rsid w:val="24DB6D9D"/>
    <w:rsid w:val="24F904EE"/>
    <w:rsid w:val="25237319"/>
    <w:rsid w:val="25276E09"/>
    <w:rsid w:val="253311F6"/>
    <w:rsid w:val="253661A1"/>
    <w:rsid w:val="253B3193"/>
    <w:rsid w:val="25552E9E"/>
    <w:rsid w:val="255866F6"/>
    <w:rsid w:val="25654FC9"/>
    <w:rsid w:val="25851E17"/>
    <w:rsid w:val="2586379D"/>
    <w:rsid w:val="25A91F14"/>
    <w:rsid w:val="25C10491"/>
    <w:rsid w:val="25DF1492"/>
    <w:rsid w:val="25EB1207"/>
    <w:rsid w:val="25F723E2"/>
    <w:rsid w:val="26377520"/>
    <w:rsid w:val="263C274B"/>
    <w:rsid w:val="264B7744"/>
    <w:rsid w:val="2651082C"/>
    <w:rsid w:val="26690388"/>
    <w:rsid w:val="267E7EE2"/>
    <w:rsid w:val="26A804CA"/>
    <w:rsid w:val="26C66AA9"/>
    <w:rsid w:val="26CD578F"/>
    <w:rsid w:val="26CF59AB"/>
    <w:rsid w:val="26DB434F"/>
    <w:rsid w:val="26DD1E76"/>
    <w:rsid w:val="26F64CE5"/>
    <w:rsid w:val="26F87EF2"/>
    <w:rsid w:val="26FB22FC"/>
    <w:rsid w:val="271138CD"/>
    <w:rsid w:val="271703C5"/>
    <w:rsid w:val="27221F7E"/>
    <w:rsid w:val="27351CB2"/>
    <w:rsid w:val="27361586"/>
    <w:rsid w:val="27392E24"/>
    <w:rsid w:val="27483067"/>
    <w:rsid w:val="275163C0"/>
    <w:rsid w:val="2753038A"/>
    <w:rsid w:val="275B5309"/>
    <w:rsid w:val="27675BE3"/>
    <w:rsid w:val="277D1B2D"/>
    <w:rsid w:val="27835FFC"/>
    <w:rsid w:val="27914A0E"/>
    <w:rsid w:val="2794279E"/>
    <w:rsid w:val="279E7050"/>
    <w:rsid w:val="27A466B8"/>
    <w:rsid w:val="27AF6D80"/>
    <w:rsid w:val="27B0198F"/>
    <w:rsid w:val="27B92AB7"/>
    <w:rsid w:val="27D43FB1"/>
    <w:rsid w:val="27DE552A"/>
    <w:rsid w:val="27E022D4"/>
    <w:rsid w:val="27F84A8D"/>
    <w:rsid w:val="27FC3AE4"/>
    <w:rsid w:val="2800288E"/>
    <w:rsid w:val="28065AFB"/>
    <w:rsid w:val="280C4E96"/>
    <w:rsid w:val="281B7D88"/>
    <w:rsid w:val="282E4FCE"/>
    <w:rsid w:val="28342B35"/>
    <w:rsid w:val="2834568E"/>
    <w:rsid w:val="283F0442"/>
    <w:rsid w:val="28497097"/>
    <w:rsid w:val="284E32AF"/>
    <w:rsid w:val="286D1F27"/>
    <w:rsid w:val="287E1436"/>
    <w:rsid w:val="28924EE2"/>
    <w:rsid w:val="28975940"/>
    <w:rsid w:val="28A2738B"/>
    <w:rsid w:val="28A86838"/>
    <w:rsid w:val="28AE1756"/>
    <w:rsid w:val="28C4031B"/>
    <w:rsid w:val="28CB6760"/>
    <w:rsid w:val="28DA7C9C"/>
    <w:rsid w:val="28E3573D"/>
    <w:rsid w:val="28EC71CA"/>
    <w:rsid w:val="290B259E"/>
    <w:rsid w:val="291D0C4F"/>
    <w:rsid w:val="2924258A"/>
    <w:rsid w:val="29274E04"/>
    <w:rsid w:val="292E22E0"/>
    <w:rsid w:val="293F46A3"/>
    <w:rsid w:val="296D1EE4"/>
    <w:rsid w:val="297E7214"/>
    <w:rsid w:val="298B44EB"/>
    <w:rsid w:val="29944EB8"/>
    <w:rsid w:val="299C4433"/>
    <w:rsid w:val="29DB4666"/>
    <w:rsid w:val="29E4351B"/>
    <w:rsid w:val="29E736D3"/>
    <w:rsid w:val="29EC0622"/>
    <w:rsid w:val="29FB1FE8"/>
    <w:rsid w:val="29FE68AE"/>
    <w:rsid w:val="2A031B89"/>
    <w:rsid w:val="2A070C32"/>
    <w:rsid w:val="2A0B0AA8"/>
    <w:rsid w:val="2A1C2CB5"/>
    <w:rsid w:val="2A1F6D8E"/>
    <w:rsid w:val="2A32072A"/>
    <w:rsid w:val="2A3C5105"/>
    <w:rsid w:val="2A444271"/>
    <w:rsid w:val="2A491993"/>
    <w:rsid w:val="2A567D20"/>
    <w:rsid w:val="2A6F4131"/>
    <w:rsid w:val="2A782154"/>
    <w:rsid w:val="2A821832"/>
    <w:rsid w:val="2A8C2357"/>
    <w:rsid w:val="2A8E16D9"/>
    <w:rsid w:val="2AA77572"/>
    <w:rsid w:val="2ABC3312"/>
    <w:rsid w:val="2AC50660"/>
    <w:rsid w:val="2ACE42A1"/>
    <w:rsid w:val="2AD156A5"/>
    <w:rsid w:val="2AD73080"/>
    <w:rsid w:val="2AE44BDB"/>
    <w:rsid w:val="2AFA0B1C"/>
    <w:rsid w:val="2B0E5D23"/>
    <w:rsid w:val="2B1334DC"/>
    <w:rsid w:val="2B1505A0"/>
    <w:rsid w:val="2B165951"/>
    <w:rsid w:val="2B165956"/>
    <w:rsid w:val="2B214434"/>
    <w:rsid w:val="2B2F4C6A"/>
    <w:rsid w:val="2B3559A3"/>
    <w:rsid w:val="2B3B716B"/>
    <w:rsid w:val="2B471B7C"/>
    <w:rsid w:val="2B4E474F"/>
    <w:rsid w:val="2B553EE9"/>
    <w:rsid w:val="2B605F51"/>
    <w:rsid w:val="2B674404"/>
    <w:rsid w:val="2B6E1B3C"/>
    <w:rsid w:val="2B801021"/>
    <w:rsid w:val="2B91322F"/>
    <w:rsid w:val="2B9A7696"/>
    <w:rsid w:val="2B9C153F"/>
    <w:rsid w:val="2BA56CDA"/>
    <w:rsid w:val="2BB255CF"/>
    <w:rsid w:val="2BBE3714"/>
    <w:rsid w:val="2BD24D2D"/>
    <w:rsid w:val="2BD27F42"/>
    <w:rsid w:val="2BDE71AB"/>
    <w:rsid w:val="2BEE51CA"/>
    <w:rsid w:val="2BF8505C"/>
    <w:rsid w:val="2C1529D1"/>
    <w:rsid w:val="2C3B319A"/>
    <w:rsid w:val="2C3C1A6A"/>
    <w:rsid w:val="2C540D91"/>
    <w:rsid w:val="2C6537E2"/>
    <w:rsid w:val="2C6C7279"/>
    <w:rsid w:val="2C8965FC"/>
    <w:rsid w:val="2C903C46"/>
    <w:rsid w:val="2CA14AE9"/>
    <w:rsid w:val="2CAB6572"/>
    <w:rsid w:val="2CAC2D20"/>
    <w:rsid w:val="2CBC42DB"/>
    <w:rsid w:val="2CC10625"/>
    <w:rsid w:val="2CC47634"/>
    <w:rsid w:val="2CD326FB"/>
    <w:rsid w:val="2CD33D72"/>
    <w:rsid w:val="2CDD2170"/>
    <w:rsid w:val="2CEA7FC6"/>
    <w:rsid w:val="2CEF46B1"/>
    <w:rsid w:val="2CF220D0"/>
    <w:rsid w:val="2CF241A1"/>
    <w:rsid w:val="2D032370"/>
    <w:rsid w:val="2D056154"/>
    <w:rsid w:val="2D085772"/>
    <w:rsid w:val="2D094BEA"/>
    <w:rsid w:val="2D2A52C6"/>
    <w:rsid w:val="2D4D7629"/>
    <w:rsid w:val="2D880661"/>
    <w:rsid w:val="2D8F1DD6"/>
    <w:rsid w:val="2D915A33"/>
    <w:rsid w:val="2D954534"/>
    <w:rsid w:val="2D9800A5"/>
    <w:rsid w:val="2DC24F16"/>
    <w:rsid w:val="2DC3712A"/>
    <w:rsid w:val="2DE171DF"/>
    <w:rsid w:val="2DEF1551"/>
    <w:rsid w:val="2E0200C9"/>
    <w:rsid w:val="2E3507E9"/>
    <w:rsid w:val="2E3C6ABB"/>
    <w:rsid w:val="2E4345B4"/>
    <w:rsid w:val="2E5A3DAC"/>
    <w:rsid w:val="2E5D53FD"/>
    <w:rsid w:val="2E61599C"/>
    <w:rsid w:val="2E6332CF"/>
    <w:rsid w:val="2E6E7857"/>
    <w:rsid w:val="2E743721"/>
    <w:rsid w:val="2E76670C"/>
    <w:rsid w:val="2E7D7A9A"/>
    <w:rsid w:val="2EA63495"/>
    <w:rsid w:val="2EBA0298"/>
    <w:rsid w:val="2EBF09B3"/>
    <w:rsid w:val="2ED22F7C"/>
    <w:rsid w:val="2ED73784"/>
    <w:rsid w:val="2EDF3673"/>
    <w:rsid w:val="2EE213C2"/>
    <w:rsid w:val="2EEB2B34"/>
    <w:rsid w:val="2EFC30B5"/>
    <w:rsid w:val="2F0529C7"/>
    <w:rsid w:val="2F486989"/>
    <w:rsid w:val="2F4C403D"/>
    <w:rsid w:val="2F653004"/>
    <w:rsid w:val="2F684953"/>
    <w:rsid w:val="2F8135BA"/>
    <w:rsid w:val="2F8D622E"/>
    <w:rsid w:val="2F9037FD"/>
    <w:rsid w:val="2F917CA1"/>
    <w:rsid w:val="2F982E42"/>
    <w:rsid w:val="2FAD4BB7"/>
    <w:rsid w:val="2FBC4D4D"/>
    <w:rsid w:val="2FCB7EDC"/>
    <w:rsid w:val="2FD951A4"/>
    <w:rsid w:val="2FDB7940"/>
    <w:rsid w:val="2FE60F0B"/>
    <w:rsid w:val="2FFE3400"/>
    <w:rsid w:val="300541EB"/>
    <w:rsid w:val="301B0290"/>
    <w:rsid w:val="303C4D07"/>
    <w:rsid w:val="306461F7"/>
    <w:rsid w:val="30647164"/>
    <w:rsid w:val="306C01D9"/>
    <w:rsid w:val="306C3ED5"/>
    <w:rsid w:val="306C6C6A"/>
    <w:rsid w:val="306D3F93"/>
    <w:rsid w:val="30711C4D"/>
    <w:rsid w:val="30801AC4"/>
    <w:rsid w:val="308A649E"/>
    <w:rsid w:val="308E5A68"/>
    <w:rsid w:val="30A2226B"/>
    <w:rsid w:val="30BB2AFC"/>
    <w:rsid w:val="30C22649"/>
    <w:rsid w:val="30DC08E6"/>
    <w:rsid w:val="30E81B43"/>
    <w:rsid w:val="30E97669"/>
    <w:rsid w:val="312E022B"/>
    <w:rsid w:val="314221E6"/>
    <w:rsid w:val="314A45AB"/>
    <w:rsid w:val="314D7BF8"/>
    <w:rsid w:val="31534D0D"/>
    <w:rsid w:val="317118EE"/>
    <w:rsid w:val="318555E4"/>
    <w:rsid w:val="318A3760"/>
    <w:rsid w:val="31C64FD5"/>
    <w:rsid w:val="31C84C92"/>
    <w:rsid w:val="31D163B5"/>
    <w:rsid w:val="31D976DD"/>
    <w:rsid w:val="31DE4220"/>
    <w:rsid w:val="3201528F"/>
    <w:rsid w:val="320E382B"/>
    <w:rsid w:val="322F3FB8"/>
    <w:rsid w:val="32391589"/>
    <w:rsid w:val="32454D73"/>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D5A24"/>
    <w:rsid w:val="32F966F8"/>
    <w:rsid w:val="33010C9A"/>
    <w:rsid w:val="330429F1"/>
    <w:rsid w:val="33171483"/>
    <w:rsid w:val="332C4891"/>
    <w:rsid w:val="332E38A7"/>
    <w:rsid w:val="332F3D9F"/>
    <w:rsid w:val="33380434"/>
    <w:rsid w:val="334703EE"/>
    <w:rsid w:val="33482D6D"/>
    <w:rsid w:val="335E1849"/>
    <w:rsid w:val="335F4F26"/>
    <w:rsid w:val="33625BED"/>
    <w:rsid w:val="337F6063"/>
    <w:rsid w:val="3380392C"/>
    <w:rsid w:val="3381627F"/>
    <w:rsid w:val="339935C8"/>
    <w:rsid w:val="33A37FA3"/>
    <w:rsid w:val="33B73A4E"/>
    <w:rsid w:val="33B946F2"/>
    <w:rsid w:val="33B95A18"/>
    <w:rsid w:val="33D4718D"/>
    <w:rsid w:val="33DC0716"/>
    <w:rsid w:val="33E54418"/>
    <w:rsid w:val="33F07509"/>
    <w:rsid w:val="33F627C9"/>
    <w:rsid w:val="340C0FA6"/>
    <w:rsid w:val="341A5E10"/>
    <w:rsid w:val="34272982"/>
    <w:rsid w:val="342804A8"/>
    <w:rsid w:val="343C7EFD"/>
    <w:rsid w:val="34472085"/>
    <w:rsid w:val="34572B3B"/>
    <w:rsid w:val="346D0033"/>
    <w:rsid w:val="3474193F"/>
    <w:rsid w:val="347A4AA6"/>
    <w:rsid w:val="347C3D10"/>
    <w:rsid w:val="34BA5036"/>
    <w:rsid w:val="34BC5AFA"/>
    <w:rsid w:val="34C91AA1"/>
    <w:rsid w:val="34D337DA"/>
    <w:rsid w:val="34D6600F"/>
    <w:rsid w:val="34EE34A0"/>
    <w:rsid w:val="34FA7F15"/>
    <w:rsid w:val="34FB24F0"/>
    <w:rsid w:val="35262C3A"/>
    <w:rsid w:val="352930DB"/>
    <w:rsid w:val="353B59DD"/>
    <w:rsid w:val="354750FB"/>
    <w:rsid w:val="35534E88"/>
    <w:rsid w:val="355A32BB"/>
    <w:rsid w:val="35633752"/>
    <w:rsid w:val="3569521C"/>
    <w:rsid w:val="357C6CFE"/>
    <w:rsid w:val="35823489"/>
    <w:rsid w:val="35897E8C"/>
    <w:rsid w:val="35953A4C"/>
    <w:rsid w:val="35A66D4C"/>
    <w:rsid w:val="35B53FBD"/>
    <w:rsid w:val="35B5404A"/>
    <w:rsid w:val="35CA6610"/>
    <w:rsid w:val="35CA6E6E"/>
    <w:rsid w:val="35F950CF"/>
    <w:rsid w:val="35FA1CB2"/>
    <w:rsid w:val="36050AA1"/>
    <w:rsid w:val="360B0081"/>
    <w:rsid w:val="361E1B63"/>
    <w:rsid w:val="361E6D32"/>
    <w:rsid w:val="36301896"/>
    <w:rsid w:val="36320657"/>
    <w:rsid w:val="36321AB2"/>
    <w:rsid w:val="365C2A91"/>
    <w:rsid w:val="36673AC2"/>
    <w:rsid w:val="367E2EED"/>
    <w:rsid w:val="3683401A"/>
    <w:rsid w:val="369D7707"/>
    <w:rsid w:val="36AB2FBA"/>
    <w:rsid w:val="36B139FE"/>
    <w:rsid w:val="36C3270A"/>
    <w:rsid w:val="3701395E"/>
    <w:rsid w:val="371448CE"/>
    <w:rsid w:val="371D2877"/>
    <w:rsid w:val="372A0A3B"/>
    <w:rsid w:val="372A4537"/>
    <w:rsid w:val="373C4996"/>
    <w:rsid w:val="374309BB"/>
    <w:rsid w:val="374A1E98"/>
    <w:rsid w:val="37533C0B"/>
    <w:rsid w:val="375F68D7"/>
    <w:rsid w:val="37794D4F"/>
    <w:rsid w:val="37A02925"/>
    <w:rsid w:val="37B3277F"/>
    <w:rsid w:val="37B34CA4"/>
    <w:rsid w:val="37BD7469"/>
    <w:rsid w:val="37BE35FD"/>
    <w:rsid w:val="37D9327F"/>
    <w:rsid w:val="37E93A81"/>
    <w:rsid w:val="37F75EE1"/>
    <w:rsid w:val="37F92167"/>
    <w:rsid w:val="38172D0E"/>
    <w:rsid w:val="38317A04"/>
    <w:rsid w:val="38430BE0"/>
    <w:rsid w:val="384B5B0E"/>
    <w:rsid w:val="38591578"/>
    <w:rsid w:val="385B0E4C"/>
    <w:rsid w:val="385C66C2"/>
    <w:rsid w:val="38645F08"/>
    <w:rsid w:val="38697E97"/>
    <w:rsid w:val="387168C2"/>
    <w:rsid w:val="3888121E"/>
    <w:rsid w:val="389B1BDF"/>
    <w:rsid w:val="38A1659F"/>
    <w:rsid w:val="38AF2F46"/>
    <w:rsid w:val="38B16CBE"/>
    <w:rsid w:val="38C95821"/>
    <w:rsid w:val="38D35964"/>
    <w:rsid w:val="38F02478"/>
    <w:rsid w:val="390239BE"/>
    <w:rsid w:val="39180C1C"/>
    <w:rsid w:val="392A1B36"/>
    <w:rsid w:val="392A34F7"/>
    <w:rsid w:val="392A4E38"/>
    <w:rsid w:val="393A6E69"/>
    <w:rsid w:val="39675500"/>
    <w:rsid w:val="396B1563"/>
    <w:rsid w:val="39754190"/>
    <w:rsid w:val="399B0348"/>
    <w:rsid w:val="39BF57BB"/>
    <w:rsid w:val="39C60050"/>
    <w:rsid w:val="39CD2DB0"/>
    <w:rsid w:val="39D92970"/>
    <w:rsid w:val="39DB0D6F"/>
    <w:rsid w:val="39FE7012"/>
    <w:rsid w:val="3A0D5454"/>
    <w:rsid w:val="3A1172F4"/>
    <w:rsid w:val="3A23599A"/>
    <w:rsid w:val="3A255086"/>
    <w:rsid w:val="3A2E4C8D"/>
    <w:rsid w:val="3A35147E"/>
    <w:rsid w:val="3A377636"/>
    <w:rsid w:val="3A446EBF"/>
    <w:rsid w:val="3A4B4EF0"/>
    <w:rsid w:val="3A514258"/>
    <w:rsid w:val="3A6802CC"/>
    <w:rsid w:val="3A684F47"/>
    <w:rsid w:val="3A6A4A9F"/>
    <w:rsid w:val="3A7D77A0"/>
    <w:rsid w:val="3A810023"/>
    <w:rsid w:val="3A816B64"/>
    <w:rsid w:val="3A860F49"/>
    <w:rsid w:val="3A9D05C4"/>
    <w:rsid w:val="3AA1177A"/>
    <w:rsid w:val="3ABC194A"/>
    <w:rsid w:val="3AC708A8"/>
    <w:rsid w:val="3AD2116E"/>
    <w:rsid w:val="3AF37A62"/>
    <w:rsid w:val="3AF61300"/>
    <w:rsid w:val="3AFB6916"/>
    <w:rsid w:val="3AFD73E8"/>
    <w:rsid w:val="3B381919"/>
    <w:rsid w:val="3B615DAA"/>
    <w:rsid w:val="3B944458"/>
    <w:rsid w:val="3B954675"/>
    <w:rsid w:val="3B9823B7"/>
    <w:rsid w:val="3BAF7463"/>
    <w:rsid w:val="3BB271C7"/>
    <w:rsid w:val="3BB557AB"/>
    <w:rsid w:val="3BBF5B96"/>
    <w:rsid w:val="3BC744EA"/>
    <w:rsid w:val="3BCE135D"/>
    <w:rsid w:val="3BD60968"/>
    <w:rsid w:val="3BFA4E77"/>
    <w:rsid w:val="3C1C08F2"/>
    <w:rsid w:val="3C4414D2"/>
    <w:rsid w:val="3C595B04"/>
    <w:rsid w:val="3C5C17D2"/>
    <w:rsid w:val="3C5F42F8"/>
    <w:rsid w:val="3C6C0F9B"/>
    <w:rsid w:val="3C7301F1"/>
    <w:rsid w:val="3C7356FA"/>
    <w:rsid w:val="3C860462"/>
    <w:rsid w:val="3CA1704A"/>
    <w:rsid w:val="3CC86CCC"/>
    <w:rsid w:val="3CD4741F"/>
    <w:rsid w:val="3CFB3A43"/>
    <w:rsid w:val="3CFB661F"/>
    <w:rsid w:val="3D0B626C"/>
    <w:rsid w:val="3D0F4D1C"/>
    <w:rsid w:val="3D167A38"/>
    <w:rsid w:val="3D487A50"/>
    <w:rsid w:val="3D5139EC"/>
    <w:rsid w:val="3D687B67"/>
    <w:rsid w:val="3D7A6218"/>
    <w:rsid w:val="3D7C3859"/>
    <w:rsid w:val="3D8552FA"/>
    <w:rsid w:val="3D8C367A"/>
    <w:rsid w:val="3DA908AC"/>
    <w:rsid w:val="3DB039E8"/>
    <w:rsid w:val="3DCF2188"/>
    <w:rsid w:val="3DD1570D"/>
    <w:rsid w:val="3DDE7492"/>
    <w:rsid w:val="3DF2026B"/>
    <w:rsid w:val="3DF80EEB"/>
    <w:rsid w:val="3DFA1107"/>
    <w:rsid w:val="3DFF04CC"/>
    <w:rsid w:val="3E0E6961"/>
    <w:rsid w:val="3E1321C9"/>
    <w:rsid w:val="3E24689A"/>
    <w:rsid w:val="3E557A55"/>
    <w:rsid w:val="3E5D2794"/>
    <w:rsid w:val="3E612F34"/>
    <w:rsid w:val="3E8134BC"/>
    <w:rsid w:val="3E864749"/>
    <w:rsid w:val="3E8D1F7B"/>
    <w:rsid w:val="3E9073D3"/>
    <w:rsid w:val="3EAC582F"/>
    <w:rsid w:val="3EC80F65"/>
    <w:rsid w:val="3ED35D96"/>
    <w:rsid w:val="3EE0310F"/>
    <w:rsid w:val="3F192FDE"/>
    <w:rsid w:val="3F21764F"/>
    <w:rsid w:val="3F270382"/>
    <w:rsid w:val="3F4D34B9"/>
    <w:rsid w:val="3F5C61BC"/>
    <w:rsid w:val="3F7E18C4"/>
    <w:rsid w:val="3F821E5A"/>
    <w:rsid w:val="3F826617"/>
    <w:rsid w:val="3F882148"/>
    <w:rsid w:val="3FAD5B09"/>
    <w:rsid w:val="3FAF5707"/>
    <w:rsid w:val="3FD61700"/>
    <w:rsid w:val="3FD85683"/>
    <w:rsid w:val="3FF130F6"/>
    <w:rsid w:val="3FF878C8"/>
    <w:rsid w:val="3FFA5B87"/>
    <w:rsid w:val="3FFF6096"/>
    <w:rsid w:val="40044B90"/>
    <w:rsid w:val="40153FD6"/>
    <w:rsid w:val="402042D4"/>
    <w:rsid w:val="40273D0A"/>
    <w:rsid w:val="40310071"/>
    <w:rsid w:val="403542CB"/>
    <w:rsid w:val="4045485F"/>
    <w:rsid w:val="405640FA"/>
    <w:rsid w:val="4081166C"/>
    <w:rsid w:val="40975D69"/>
    <w:rsid w:val="409E221E"/>
    <w:rsid w:val="40A01D3A"/>
    <w:rsid w:val="40A54574"/>
    <w:rsid w:val="40C652D1"/>
    <w:rsid w:val="40C92CD2"/>
    <w:rsid w:val="40E56385"/>
    <w:rsid w:val="40EE1315"/>
    <w:rsid w:val="410B7187"/>
    <w:rsid w:val="411249BA"/>
    <w:rsid w:val="41166258"/>
    <w:rsid w:val="414172BF"/>
    <w:rsid w:val="416A190F"/>
    <w:rsid w:val="416E7E42"/>
    <w:rsid w:val="416F3BBA"/>
    <w:rsid w:val="418770B8"/>
    <w:rsid w:val="41B6712E"/>
    <w:rsid w:val="41BA6A45"/>
    <w:rsid w:val="41C85859"/>
    <w:rsid w:val="41CA339C"/>
    <w:rsid w:val="41D103D1"/>
    <w:rsid w:val="41D758D6"/>
    <w:rsid w:val="41DF2F7B"/>
    <w:rsid w:val="41E27935"/>
    <w:rsid w:val="41F63994"/>
    <w:rsid w:val="42277327"/>
    <w:rsid w:val="422F448D"/>
    <w:rsid w:val="42312C1E"/>
    <w:rsid w:val="42366258"/>
    <w:rsid w:val="424514EC"/>
    <w:rsid w:val="424B0183"/>
    <w:rsid w:val="424C228D"/>
    <w:rsid w:val="424E40FE"/>
    <w:rsid w:val="427E4A81"/>
    <w:rsid w:val="428C524B"/>
    <w:rsid w:val="42927D62"/>
    <w:rsid w:val="429B3874"/>
    <w:rsid w:val="429F5DD9"/>
    <w:rsid w:val="42AD499A"/>
    <w:rsid w:val="42B61086"/>
    <w:rsid w:val="42C26869"/>
    <w:rsid w:val="42DD6902"/>
    <w:rsid w:val="42E3216A"/>
    <w:rsid w:val="42ED02B3"/>
    <w:rsid w:val="42FE6FA4"/>
    <w:rsid w:val="43040332"/>
    <w:rsid w:val="430F518E"/>
    <w:rsid w:val="43152860"/>
    <w:rsid w:val="43162488"/>
    <w:rsid w:val="431762B8"/>
    <w:rsid w:val="431A4176"/>
    <w:rsid w:val="431B17D2"/>
    <w:rsid w:val="434370AD"/>
    <w:rsid w:val="434A043B"/>
    <w:rsid w:val="434D3A87"/>
    <w:rsid w:val="43560B8E"/>
    <w:rsid w:val="43607C5E"/>
    <w:rsid w:val="436F7EA2"/>
    <w:rsid w:val="43772A58"/>
    <w:rsid w:val="438761B4"/>
    <w:rsid w:val="4389474A"/>
    <w:rsid w:val="438F3327"/>
    <w:rsid w:val="43923B90"/>
    <w:rsid w:val="43A4707C"/>
    <w:rsid w:val="43D67B4D"/>
    <w:rsid w:val="43DF0926"/>
    <w:rsid w:val="43F15324"/>
    <w:rsid w:val="440B706C"/>
    <w:rsid w:val="44110F59"/>
    <w:rsid w:val="441A605F"/>
    <w:rsid w:val="441D70DF"/>
    <w:rsid w:val="441E176A"/>
    <w:rsid w:val="441F5424"/>
    <w:rsid w:val="44292D63"/>
    <w:rsid w:val="443037FA"/>
    <w:rsid w:val="443B0E5E"/>
    <w:rsid w:val="44426C0E"/>
    <w:rsid w:val="4445330B"/>
    <w:rsid w:val="44484B78"/>
    <w:rsid w:val="44550816"/>
    <w:rsid w:val="445826E4"/>
    <w:rsid w:val="44592AFA"/>
    <w:rsid w:val="445C06B9"/>
    <w:rsid w:val="445F3A72"/>
    <w:rsid w:val="446077EA"/>
    <w:rsid w:val="44665E49"/>
    <w:rsid w:val="446C618F"/>
    <w:rsid w:val="448E3562"/>
    <w:rsid w:val="448F024A"/>
    <w:rsid w:val="44B26298"/>
    <w:rsid w:val="44BE2E8F"/>
    <w:rsid w:val="44C86593"/>
    <w:rsid w:val="44CF7202"/>
    <w:rsid w:val="44D02189"/>
    <w:rsid w:val="44D73F50"/>
    <w:rsid w:val="44FC1D24"/>
    <w:rsid w:val="44FE1514"/>
    <w:rsid w:val="451008C2"/>
    <w:rsid w:val="451277B0"/>
    <w:rsid w:val="45246F22"/>
    <w:rsid w:val="452470E5"/>
    <w:rsid w:val="45280308"/>
    <w:rsid w:val="45435142"/>
    <w:rsid w:val="45464C32"/>
    <w:rsid w:val="45492AC0"/>
    <w:rsid w:val="4550785F"/>
    <w:rsid w:val="45513D03"/>
    <w:rsid w:val="45675331"/>
    <w:rsid w:val="456D0411"/>
    <w:rsid w:val="45801494"/>
    <w:rsid w:val="458021A9"/>
    <w:rsid w:val="45834749"/>
    <w:rsid w:val="458D7ACD"/>
    <w:rsid w:val="45AB63C3"/>
    <w:rsid w:val="45CD7101"/>
    <w:rsid w:val="45D73ADC"/>
    <w:rsid w:val="45D93CF8"/>
    <w:rsid w:val="45DB537A"/>
    <w:rsid w:val="45F20395"/>
    <w:rsid w:val="45F27684"/>
    <w:rsid w:val="45FE72BB"/>
    <w:rsid w:val="45FE7CC8"/>
    <w:rsid w:val="46053A9B"/>
    <w:rsid w:val="460A3EB2"/>
    <w:rsid w:val="46121C64"/>
    <w:rsid w:val="46162856"/>
    <w:rsid w:val="46226EB0"/>
    <w:rsid w:val="462C207A"/>
    <w:rsid w:val="4658671E"/>
    <w:rsid w:val="465C2A22"/>
    <w:rsid w:val="466E205D"/>
    <w:rsid w:val="467632F5"/>
    <w:rsid w:val="467911B3"/>
    <w:rsid w:val="46812B8D"/>
    <w:rsid w:val="46832413"/>
    <w:rsid w:val="46885E2A"/>
    <w:rsid w:val="469F2601"/>
    <w:rsid w:val="46A82FBF"/>
    <w:rsid w:val="46AB40C3"/>
    <w:rsid w:val="46AC31BB"/>
    <w:rsid w:val="46BA58D8"/>
    <w:rsid w:val="46BB6321"/>
    <w:rsid w:val="46C439A8"/>
    <w:rsid w:val="46CE7995"/>
    <w:rsid w:val="46D7323F"/>
    <w:rsid w:val="46E0501A"/>
    <w:rsid w:val="46FC1214"/>
    <w:rsid w:val="47021DBA"/>
    <w:rsid w:val="471F2FD5"/>
    <w:rsid w:val="47484C91"/>
    <w:rsid w:val="475278BE"/>
    <w:rsid w:val="475D3DAD"/>
    <w:rsid w:val="47705F96"/>
    <w:rsid w:val="479C5383"/>
    <w:rsid w:val="479F646B"/>
    <w:rsid w:val="47A3636C"/>
    <w:rsid w:val="47A56FB4"/>
    <w:rsid w:val="47AD7CF1"/>
    <w:rsid w:val="47B9547A"/>
    <w:rsid w:val="47D67F88"/>
    <w:rsid w:val="47DB48C2"/>
    <w:rsid w:val="47F20CC9"/>
    <w:rsid w:val="4803505C"/>
    <w:rsid w:val="480831B5"/>
    <w:rsid w:val="480D66CD"/>
    <w:rsid w:val="480F105A"/>
    <w:rsid w:val="48194880"/>
    <w:rsid w:val="481A5421"/>
    <w:rsid w:val="482849BA"/>
    <w:rsid w:val="48286871"/>
    <w:rsid w:val="483D056E"/>
    <w:rsid w:val="483F2BC9"/>
    <w:rsid w:val="485A1120"/>
    <w:rsid w:val="48A7549C"/>
    <w:rsid w:val="48B545A9"/>
    <w:rsid w:val="48BA15B1"/>
    <w:rsid w:val="48D273AC"/>
    <w:rsid w:val="48D76D49"/>
    <w:rsid w:val="48E97759"/>
    <w:rsid w:val="491F1E48"/>
    <w:rsid w:val="492139EC"/>
    <w:rsid w:val="492B3567"/>
    <w:rsid w:val="492D5815"/>
    <w:rsid w:val="49337978"/>
    <w:rsid w:val="493E4BFE"/>
    <w:rsid w:val="494E0559"/>
    <w:rsid w:val="495D26EB"/>
    <w:rsid w:val="49600707"/>
    <w:rsid w:val="49656EDC"/>
    <w:rsid w:val="49793828"/>
    <w:rsid w:val="4987138C"/>
    <w:rsid w:val="49883A6B"/>
    <w:rsid w:val="49B91793"/>
    <w:rsid w:val="49C37596"/>
    <w:rsid w:val="49CD147E"/>
    <w:rsid w:val="49CF169A"/>
    <w:rsid w:val="49D348F2"/>
    <w:rsid w:val="49E204D8"/>
    <w:rsid w:val="49FA66B9"/>
    <w:rsid w:val="4A0D3F70"/>
    <w:rsid w:val="4A103FF4"/>
    <w:rsid w:val="4A1277D9"/>
    <w:rsid w:val="4A2F2139"/>
    <w:rsid w:val="4A5D0A54"/>
    <w:rsid w:val="4A6643F5"/>
    <w:rsid w:val="4A666565"/>
    <w:rsid w:val="4A7B66E4"/>
    <w:rsid w:val="4A7D5113"/>
    <w:rsid w:val="4A7F4FCB"/>
    <w:rsid w:val="4A812A30"/>
    <w:rsid w:val="4A89523C"/>
    <w:rsid w:val="4AAA6714"/>
    <w:rsid w:val="4AB019AF"/>
    <w:rsid w:val="4AB60164"/>
    <w:rsid w:val="4ABB442C"/>
    <w:rsid w:val="4AC54E91"/>
    <w:rsid w:val="4AD5154D"/>
    <w:rsid w:val="4AE01685"/>
    <w:rsid w:val="4AEA3364"/>
    <w:rsid w:val="4AF73617"/>
    <w:rsid w:val="4B101F6A"/>
    <w:rsid w:val="4B257098"/>
    <w:rsid w:val="4B593BC4"/>
    <w:rsid w:val="4B6A463C"/>
    <w:rsid w:val="4B902FB1"/>
    <w:rsid w:val="4B9E0E3F"/>
    <w:rsid w:val="4BB63B5B"/>
    <w:rsid w:val="4BB9615E"/>
    <w:rsid w:val="4BCC283D"/>
    <w:rsid w:val="4BD35E6D"/>
    <w:rsid w:val="4BDC1E4C"/>
    <w:rsid w:val="4BE1231B"/>
    <w:rsid w:val="4BFF5353"/>
    <w:rsid w:val="4C177328"/>
    <w:rsid w:val="4C1F6EFC"/>
    <w:rsid w:val="4C2F265F"/>
    <w:rsid w:val="4C475A00"/>
    <w:rsid w:val="4C5B5DF1"/>
    <w:rsid w:val="4C6D6DCE"/>
    <w:rsid w:val="4C752052"/>
    <w:rsid w:val="4C7D3694"/>
    <w:rsid w:val="4C9F27AB"/>
    <w:rsid w:val="4CBD2C33"/>
    <w:rsid w:val="4CBD4A44"/>
    <w:rsid w:val="4CD40D75"/>
    <w:rsid w:val="4CDE3815"/>
    <w:rsid w:val="4CED2983"/>
    <w:rsid w:val="4D0A58BA"/>
    <w:rsid w:val="4D0D2958"/>
    <w:rsid w:val="4D145493"/>
    <w:rsid w:val="4D16313C"/>
    <w:rsid w:val="4D2D4855"/>
    <w:rsid w:val="4D393332"/>
    <w:rsid w:val="4D3B01A7"/>
    <w:rsid w:val="4D4746C5"/>
    <w:rsid w:val="4D4C64AE"/>
    <w:rsid w:val="4D4D1254"/>
    <w:rsid w:val="4D5A127B"/>
    <w:rsid w:val="4D5A74CD"/>
    <w:rsid w:val="4D6759FB"/>
    <w:rsid w:val="4D6E3517"/>
    <w:rsid w:val="4DB14B03"/>
    <w:rsid w:val="4DB639B0"/>
    <w:rsid w:val="4DB7491F"/>
    <w:rsid w:val="4DC95151"/>
    <w:rsid w:val="4DE70682"/>
    <w:rsid w:val="4DF53699"/>
    <w:rsid w:val="4DFD50C1"/>
    <w:rsid w:val="4E2B70BB"/>
    <w:rsid w:val="4E4645AE"/>
    <w:rsid w:val="4E467A51"/>
    <w:rsid w:val="4E496865"/>
    <w:rsid w:val="4E58321E"/>
    <w:rsid w:val="4E66521C"/>
    <w:rsid w:val="4E6B2193"/>
    <w:rsid w:val="4E9B1B4B"/>
    <w:rsid w:val="4EB91CD7"/>
    <w:rsid w:val="4EDE7C89"/>
    <w:rsid w:val="4EE72FE2"/>
    <w:rsid w:val="4EFF135C"/>
    <w:rsid w:val="4F035942"/>
    <w:rsid w:val="4F0E00E7"/>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50055E16"/>
    <w:rsid w:val="501C4F0D"/>
    <w:rsid w:val="502B7CA9"/>
    <w:rsid w:val="503046E2"/>
    <w:rsid w:val="5038679F"/>
    <w:rsid w:val="50414974"/>
    <w:rsid w:val="50463D38"/>
    <w:rsid w:val="5047222E"/>
    <w:rsid w:val="505A4AE2"/>
    <w:rsid w:val="50670571"/>
    <w:rsid w:val="50970476"/>
    <w:rsid w:val="509B0528"/>
    <w:rsid w:val="50B95E75"/>
    <w:rsid w:val="50C54952"/>
    <w:rsid w:val="50CA6916"/>
    <w:rsid w:val="50CD6207"/>
    <w:rsid w:val="50DF4455"/>
    <w:rsid w:val="51015649"/>
    <w:rsid w:val="51034416"/>
    <w:rsid w:val="510A745C"/>
    <w:rsid w:val="512151F2"/>
    <w:rsid w:val="512656C9"/>
    <w:rsid w:val="5139564B"/>
    <w:rsid w:val="5148683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DD06CC"/>
    <w:rsid w:val="51E77F87"/>
    <w:rsid w:val="51EA372D"/>
    <w:rsid w:val="51EE696A"/>
    <w:rsid w:val="51F15F26"/>
    <w:rsid w:val="51F37EF0"/>
    <w:rsid w:val="51F6353C"/>
    <w:rsid w:val="51F87B88"/>
    <w:rsid w:val="520B6FE7"/>
    <w:rsid w:val="520D0FB1"/>
    <w:rsid w:val="521142C4"/>
    <w:rsid w:val="5224097B"/>
    <w:rsid w:val="522508B8"/>
    <w:rsid w:val="5238556C"/>
    <w:rsid w:val="523E1BC7"/>
    <w:rsid w:val="523F6E00"/>
    <w:rsid w:val="524B22B7"/>
    <w:rsid w:val="52692D61"/>
    <w:rsid w:val="527728CF"/>
    <w:rsid w:val="528172AA"/>
    <w:rsid w:val="52A636F2"/>
    <w:rsid w:val="52B8492E"/>
    <w:rsid w:val="52CD201A"/>
    <w:rsid w:val="52DB316A"/>
    <w:rsid w:val="52DF5523"/>
    <w:rsid w:val="52F1442F"/>
    <w:rsid w:val="530C01BA"/>
    <w:rsid w:val="530F02BC"/>
    <w:rsid w:val="53130F14"/>
    <w:rsid w:val="531C6A38"/>
    <w:rsid w:val="53430A03"/>
    <w:rsid w:val="534972AB"/>
    <w:rsid w:val="5373169B"/>
    <w:rsid w:val="53747D16"/>
    <w:rsid w:val="5378497F"/>
    <w:rsid w:val="53895AE9"/>
    <w:rsid w:val="53C6061F"/>
    <w:rsid w:val="53E544DB"/>
    <w:rsid w:val="53F046E7"/>
    <w:rsid w:val="53F82EC8"/>
    <w:rsid w:val="54063F0A"/>
    <w:rsid w:val="540B1521"/>
    <w:rsid w:val="5415227F"/>
    <w:rsid w:val="542258CB"/>
    <w:rsid w:val="542D741B"/>
    <w:rsid w:val="543211F5"/>
    <w:rsid w:val="54330AC6"/>
    <w:rsid w:val="543547EF"/>
    <w:rsid w:val="543640C4"/>
    <w:rsid w:val="544B4013"/>
    <w:rsid w:val="544D7D8B"/>
    <w:rsid w:val="5456472A"/>
    <w:rsid w:val="54667951"/>
    <w:rsid w:val="548C1FAB"/>
    <w:rsid w:val="549E4143"/>
    <w:rsid w:val="54A656ED"/>
    <w:rsid w:val="54B5148C"/>
    <w:rsid w:val="54D51FDC"/>
    <w:rsid w:val="54DB146B"/>
    <w:rsid w:val="54E63064"/>
    <w:rsid w:val="54F41028"/>
    <w:rsid w:val="54F75F49"/>
    <w:rsid w:val="54FE72D7"/>
    <w:rsid w:val="550F5D8E"/>
    <w:rsid w:val="552F326D"/>
    <w:rsid w:val="553D5D3A"/>
    <w:rsid w:val="554D7917"/>
    <w:rsid w:val="55663533"/>
    <w:rsid w:val="556F6CD4"/>
    <w:rsid w:val="5577790D"/>
    <w:rsid w:val="558B0806"/>
    <w:rsid w:val="55944949"/>
    <w:rsid w:val="559C154A"/>
    <w:rsid w:val="55A21094"/>
    <w:rsid w:val="55A25260"/>
    <w:rsid w:val="55B24181"/>
    <w:rsid w:val="55B96238"/>
    <w:rsid w:val="560501F2"/>
    <w:rsid w:val="560B3A5A"/>
    <w:rsid w:val="561548D9"/>
    <w:rsid w:val="564447FE"/>
    <w:rsid w:val="56466840"/>
    <w:rsid w:val="565467A5"/>
    <w:rsid w:val="56644224"/>
    <w:rsid w:val="566559D7"/>
    <w:rsid w:val="5666680E"/>
    <w:rsid w:val="5669634B"/>
    <w:rsid w:val="56735DD8"/>
    <w:rsid w:val="567A473C"/>
    <w:rsid w:val="5685797A"/>
    <w:rsid w:val="568C1A21"/>
    <w:rsid w:val="569F4D37"/>
    <w:rsid w:val="56AB2F3F"/>
    <w:rsid w:val="56C42FEC"/>
    <w:rsid w:val="56EA73AE"/>
    <w:rsid w:val="56F0657B"/>
    <w:rsid w:val="56F20621"/>
    <w:rsid w:val="56F20776"/>
    <w:rsid w:val="56F37AB8"/>
    <w:rsid w:val="56FC15F5"/>
    <w:rsid w:val="57122BC6"/>
    <w:rsid w:val="571E156B"/>
    <w:rsid w:val="572D6623"/>
    <w:rsid w:val="57364C46"/>
    <w:rsid w:val="575A47E7"/>
    <w:rsid w:val="575C02E5"/>
    <w:rsid w:val="577473DD"/>
    <w:rsid w:val="57911484"/>
    <w:rsid w:val="57B40121"/>
    <w:rsid w:val="57BE00CF"/>
    <w:rsid w:val="57C33EC0"/>
    <w:rsid w:val="57CF104F"/>
    <w:rsid w:val="57CF47C9"/>
    <w:rsid w:val="57D939CD"/>
    <w:rsid w:val="57FF0946"/>
    <w:rsid w:val="58075B26"/>
    <w:rsid w:val="580A355F"/>
    <w:rsid w:val="58127ED2"/>
    <w:rsid w:val="58172F6B"/>
    <w:rsid w:val="58281E5B"/>
    <w:rsid w:val="582C247D"/>
    <w:rsid w:val="583D29A8"/>
    <w:rsid w:val="58406187"/>
    <w:rsid w:val="584E614D"/>
    <w:rsid w:val="58537A63"/>
    <w:rsid w:val="58643CC2"/>
    <w:rsid w:val="588075E9"/>
    <w:rsid w:val="58882F6E"/>
    <w:rsid w:val="588C2AEC"/>
    <w:rsid w:val="58975A79"/>
    <w:rsid w:val="589D2963"/>
    <w:rsid w:val="58A81A34"/>
    <w:rsid w:val="58CA7BFC"/>
    <w:rsid w:val="58CF5213"/>
    <w:rsid w:val="58E42340"/>
    <w:rsid w:val="58E83887"/>
    <w:rsid w:val="58F90DE0"/>
    <w:rsid w:val="58FC5B3E"/>
    <w:rsid w:val="59044790"/>
    <w:rsid w:val="59106321"/>
    <w:rsid w:val="59140C82"/>
    <w:rsid w:val="59202A8D"/>
    <w:rsid w:val="59372DB8"/>
    <w:rsid w:val="593B01E1"/>
    <w:rsid w:val="59493F76"/>
    <w:rsid w:val="59550FA6"/>
    <w:rsid w:val="595650B7"/>
    <w:rsid w:val="59576FB6"/>
    <w:rsid w:val="596005C1"/>
    <w:rsid w:val="59622FBF"/>
    <w:rsid w:val="59651728"/>
    <w:rsid w:val="5978642A"/>
    <w:rsid w:val="597C6A1D"/>
    <w:rsid w:val="597F1341"/>
    <w:rsid w:val="599057E7"/>
    <w:rsid w:val="599F4CD5"/>
    <w:rsid w:val="59A27420"/>
    <w:rsid w:val="59AD1F85"/>
    <w:rsid w:val="59D654A8"/>
    <w:rsid w:val="59D80CBB"/>
    <w:rsid w:val="5A011459"/>
    <w:rsid w:val="5A013CE4"/>
    <w:rsid w:val="5A0141A4"/>
    <w:rsid w:val="5A053904"/>
    <w:rsid w:val="5A196B54"/>
    <w:rsid w:val="5A1E47AC"/>
    <w:rsid w:val="5A2A57A8"/>
    <w:rsid w:val="5A3D61AC"/>
    <w:rsid w:val="5A447687"/>
    <w:rsid w:val="5A4C2893"/>
    <w:rsid w:val="5A603305"/>
    <w:rsid w:val="5A701838"/>
    <w:rsid w:val="5A706581"/>
    <w:rsid w:val="5A8156DE"/>
    <w:rsid w:val="5A955FE8"/>
    <w:rsid w:val="5AAD1584"/>
    <w:rsid w:val="5ADF3707"/>
    <w:rsid w:val="5AE3249E"/>
    <w:rsid w:val="5AE56545"/>
    <w:rsid w:val="5AE92129"/>
    <w:rsid w:val="5AF102AB"/>
    <w:rsid w:val="5B163201"/>
    <w:rsid w:val="5B1A473F"/>
    <w:rsid w:val="5B2E3D47"/>
    <w:rsid w:val="5B37709F"/>
    <w:rsid w:val="5B6149A2"/>
    <w:rsid w:val="5B636D7E"/>
    <w:rsid w:val="5B7A6DEA"/>
    <w:rsid w:val="5B7E6A7C"/>
    <w:rsid w:val="5BA20303"/>
    <w:rsid w:val="5BB26726"/>
    <w:rsid w:val="5BB701E0"/>
    <w:rsid w:val="5BB926FC"/>
    <w:rsid w:val="5BF54320"/>
    <w:rsid w:val="5C1633F6"/>
    <w:rsid w:val="5C246971"/>
    <w:rsid w:val="5C4867F4"/>
    <w:rsid w:val="5C49715E"/>
    <w:rsid w:val="5C6737F1"/>
    <w:rsid w:val="5C853E3A"/>
    <w:rsid w:val="5C8F5ED1"/>
    <w:rsid w:val="5C9C18B0"/>
    <w:rsid w:val="5C9E7970"/>
    <w:rsid w:val="5CBD1826"/>
    <w:rsid w:val="5CC37F37"/>
    <w:rsid w:val="5CE943C9"/>
    <w:rsid w:val="5CF96FBB"/>
    <w:rsid w:val="5CFD1C22"/>
    <w:rsid w:val="5D044DFB"/>
    <w:rsid w:val="5D0E2082"/>
    <w:rsid w:val="5D2A3C5C"/>
    <w:rsid w:val="5D2E4206"/>
    <w:rsid w:val="5D3B5F6E"/>
    <w:rsid w:val="5D42012A"/>
    <w:rsid w:val="5D55380D"/>
    <w:rsid w:val="5D6F2B20"/>
    <w:rsid w:val="5D8B5480"/>
    <w:rsid w:val="5DA21809"/>
    <w:rsid w:val="5DAB5B22"/>
    <w:rsid w:val="5DC32E6C"/>
    <w:rsid w:val="5DD0374A"/>
    <w:rsid w:val="5DD064FA"/>
    <w:rsid w:val="5DDA30BD"/>
    <w:rsid w:val="5DDC7EB6"/>
    <w:rsid w:val="5DE057CC"/>
    <w:rsid w:val="5DE33611"/>
    <w:rsid w:val="5DE50E0B"/>
    <w:rsid w:val="5DEA03F9"/>
    <w:rsid w:val="5DEB5F1F"/>
    <w:rsid w:val="5DEB608F"/>
    <w:rsid w:val="5E0266B8"/>
    <w:rsid w:val="5E211941"/>
    <w:rsid w:val="5E2719AF"/>
    <w:rsid w:val="5E2C7B5F"/>
    <w:rsid w:val="5E324CBD"/>
    <w:rsid w:val="5E37388C"/>
    <w:rsid w:val="5E386485"/>
    <w:rsid w:val="5E49652D"/>
    <w:rsid w:val="5E55621E"/>
    <w:rsid w:val="5E556A51"/>
    <w:rsid w:val="5E6C7060"/>
    <w:rsid w:val="5E8F699E"/>
    <w:rsid w:val="5EA7453C"/>
    <w:rsid w:val="5EAE0F71"/>
    <w:rsid w:val="5ED27BE1"/>
    <w:rsid w:val="5ED35BB4"/>
    <w:rsid w:val="5ED75612"/>
    <w:rsid w:val="5F1E2A19"/>
    <w:rsid w:val="5F1F1B33"/>
    <w:rsid w:val="5F2136D8"/>
    <w:rsid w:val="5F2D0AE0"/>
    <w:rsid w:val="5F432EF8"/>
    <w:rsid w:val="5F47659C"/>
    <w:rsid w:val="5F4D7ADC"/>
    <w:rsid w:val="5F526256"/>
    <w:rsid w:val="5F555D46"/>
    <w:rsid w:val="5F5B16CF"/>
    <w:rsid w:val="5F765539"/>
    <w:rsid w:val="5F7E529D"/>
    <w:rsid w:val="5FB40CBE"/>
    <w:rsid w:val="5FC2239B"/>
    <w:rsid w:val="5FCA04E2"/>
    <w:rsid w:val="5FD255E8"/>
    <w:rsid w:val="5FDF1F8A"/>
    <w:rsid w:val="5FE356A8"/>
    <w:rsid w:val="5FF40024"/>
    <w:rsid w:val="602676E1"/>
    <w:rsid w:val="602E4F74"/>
    <w:rsid w:val="603418A5"/>
    <w:rsid w:val="60366D51"/>
    <w:rsid w:val="604D4C6F"/>
    <w:rsid w:val="606002D2"/>
    <w:rsid w:val="60936B26"/>
    <w:rsid w:val="60A457EB"/>
    <w:rsid w:val="60A74497"/>
    <w:rsid w:val="60B61030"/>
    <w:rsid w:val="60BE1C9B"/>
    <w:rsid w:val="60C356C4"/>
    <w:rsid w:val="60C75253"/>
    <w:rsid w:val="60E92BEA"/>
    <w:rsid w:val="60FF41BB"/>
    <w:rsid w:val="61020C7F"/>
    <w:rsid w:val="611759A9"/>
    <w:rsid w:val="612B3202"/>
    <w:rsid w:val="612C0D28"/>
    <w:rsid w:val="61406582"/>
    <w:rsid w:val="61543299"/>
    <w:rsid w:val="6154367A"/>
    <w:rsid w:val="61592960"/>
    <w:rsid w:val="615A5A4D"/>
    <w:rsid w:val="6166248C"/>
    <w:rsid w:val="61706E67"/>
    <w:rsid w:val="61AC41D6"/>
    <w:rsid w:val="61D70DF9"/>
    <w:rsid w:val="61D77A00"/>
    <w:rsid w:val="61EE148D"/>
    <w:rsid w:val="621041A6"/>
    <w:rsid w:val="621B3277"/>
    <w:rsid w:val="6228211F"/>
    <w:rsid w:val="6229771A"/>
    <w:rsid w:val="622C555D"/>
    <w:rsid w:val="623B7475"/>
    <w:rsid w:val="624D53FA"/>
    <w:rsid w:val="625E7607"/>
    <w:rsid w:val="626478C2"/>
    <w:rsid w:val="626529F4"/>
    <w:rsid w:val="626C4988"/>
    <w:rsid w:val="62854B94"/>
    <w:rsid w:val="62922E0D"/>
    <w:rsid w:val="62C610B8"/>
    <w:rsid w:val="62C6262C"/>
    <w:rsid w:val="62E224E8"/>
    <w:rsid w:val="62F13FD7"/>
    <w:rsid w:val="62FE497B"/>
    <w:rsid w:val="62FF03D9"/>
    <w:rsid w:val="62FF64C2"/>
    <w:rsid w:val="630E4B89"/>
    <w:rsid w:val="633345F0"/>
    <w:rsid w:val="63352116"/>
    <w:rsid w:val="63377DE5"/>
    <w:rsid w:val="633B5253"/>
    <w:rsid w:val="633C769A"/>
    <w:rsid w:val="63452A53"/>
    <w:rsid w:val="63485127"/>
    <w:rsid w:val="635B58F5"/>
    <w:rsid w:val="637531A0"/>
    <w:rsid w:val="63966FB4"/>
    <w:rsid w:val="63973036"/>
    <w:rsid w:val="639B6291"/>
    <w:rsid w:val="639C2D33"/>
    <w:rsid w:val="63A105E6"/>
    <w:rsid w:val="63AD6150"/>
    <w:rsid w:val="63C416EC"/>
    <w:rsid w:val="63C96D02"/>
    <w:rsid w:val="63D36046"/>
    <w:rsid w:val="63D6255C"/>
    <w:rsid w:val="63E61F5F"/>
    <w:rsid w:val="63F00811"/>
    <w:rsid w:val="63F657AA"/>
    <w:rsid w:val="64065861"/>
    <w:rsid w:val="64144421"/>
    <w:rsid w:val="64315E63"/>
    <w:rsid w:val="643A7DF2"/>
    <w:rsid w:val="644B7717"/>
    <w:rsid w:val="644D7933"/>
    <w:rsid w:val="645152C2"/>
    <w:rsid w:val="6455489E"/>
    <w:rsid w:val="64607667"/>
    <w:rsid w:val="64800394"/>
    <w:rsid w:val="648814BB"/>
    <w:rsid w:val="64975171"/>
    <w:rsid w:val="649D3FE5"/>
    <w:rsid w:val="64A15589"/>
    <w:rsid w:val="64AA0614"/>
    <w:rsid w:val="64AB4ABB"/>
    <w:rsid w:val="64BE5FF1"/>
    <w:rsid w:val="64C549E2"/>
    <w:rsid w:val="64D4770D"/>
    <w:rsid w:val="64E831B8"/>
    <w:rsid w:val="64EA2425"/>
    <w:rsid w:val="64F1206D"/>
    <w:rsid w:val="65031DA0"/>
    <w:rsid w:val="65220A06"/>
    <w:rsid w:val="65384140"/>
    <w:rsid w:val="653A1C66"/>
    <w:rsid w:val="65426D6C"/>
    <w:rsid w:val="65540C76"/>
    <w:rsid w:val="65635F1D"/>
    <w:rsid w:val="656E7B61"/>
    <w:rsid w:val="657753A5"/>
    <w:rsid w:val="657A5833"/>
    <w:rsid w:val="65812DF0"/>
    <w:rsid w:val="65841133"/>
    <w:rsid w:val="65842EE1"/>
    <w:rsid w:val="658630FD"/>
    <w:rsid w:val="659B022A"/>
    <w:rsid w:val="65A767B0"/>
    <w:rsid w:val="65AE3104"/>
    <w:rsid w:val="65B838A4"/>
    <w:rsid w:val="65C94D98"/>
    <w:rsid w:val="65CB4FB4"/>
    <w:rsid w:val="65D96BC2"/>
    <w:rsid w:val="65E6594A"/>
    <w:rsid w:val="6602534E"/>
    <w:rsid w:val="66065FEC"/>
    <w:rsid w:val="660A5F17"/>
    <w:rsid w:val="66332DC3"/>
    <w:rsid w:val="66373CE0"/>
    <w:rsid w:val="6639006E"/>
    <w:rsid w:val="663C7C5F"/>
    <w:rsid w:val="663F7785"/>
    <w:rsid w:val="664804B3"/>
    <w:rsid w:val="665E7BD6"/>
    <w:rsid w:val="66632EA0"/>
    <w:rsid w:val="66633E9A"/>
    <w:rsid w:val="66651C8A"/>
    <w:rsid w:val="66656C51"/>
    <w:rsid w:val="66664CDC"/>
    <w:rsid w:val="668D3AA7"/>
    <w:rsid w:val="668D6304"/>
    <w:rsid w:val="669C6028"/>
    <w:rsid w:val="669F0689"/>
    <w:rsid w:val="66A87A0F"/>
    <w:rsid w:val="66B20509"/>
    <w:rsid w:val="66C50541"/>
    <w:rsid w:val="66C509D5"/>
    <w:rsid w:val="66DA2CB3"/>
    <w:rsid w:val="66F40793"/>
    <w:rsid w:val="6717038D"/>
    <w:rsid w:val="671706D3"/>
    <w:rsid w:val="67286A44"/>
    <w:rsid w:val="672F48CC"/>
    <w:rsid w:val="6730396A"/>
    <w:rsid w:val="67346B89"/>
    <w:rsid w:val="6739419F"/>
    <w:rsid w:val="6751773B"/>
    <w:rsid w:val="6760797E"/>
    <w:rsid w:val="67801EB9"/>
    <w:rsid w:val="67A71109"/>
    <w:rsid w:val="67C76B2D"/>
    <w:rsid w:val="67CE0D8B"/>
    <w:rsid w:val="67EE2A60"/>
    <w:rsid w:val="68036CFD"/>
    <w:rsid w:val="681A38D9"/>
    <w:rsid w:val="68324E76"/>
    <w:rsid w:val="6839795B"/>
    <w:rsid w:val="683E5252"/>
    <w:rsid w:val="68456C28"/>
    <w:rsid w:val="684C67E9"/>
    <w:rsid w:val="685118DE"/>
    <w:rsid w:val="685E101E"/>
    <w:rsid w:val="68702AEA"/>
    <w:rsid w:val="688233FF"/>
    <w:rsid w:val="68883E6D"/>
    <w:rsid w:val="68AD6BF3"/>
    <w:rsid w:val="68B7537B"/>
    <w:rsid w:val="68D56A00"/>
    <w:rsid w:val="68DA1F54"/>
    <w:rsid w:val="68EB078F"/>
    <w:rsid w:val="691D1B71"/>
    <w:rsid w:val="69280C5E"/>
    <w:rsid w:val="693115D2"/>
    <w:rsid w:val="69385DFB"/>
    <w:rsid w:val="693A3226"/>
    <w:rsid w:val="693E4935"/>
    <w:rsid w:val="694D54E1"/>
    <w:rsid w:val="699944EC"/>
    <w:rsid w:val="69995724"/>
    <w:rsid w:val="69B31FE7"/>
    <w:rsid w:val="69B47EE5"/>
    <w:rsid w:val="69C4686C"/>
    <w:rsid w:val="69CE0ADD"/>
    <w:rsid w:val="6A176F2F"/>
    <w:rsid w:val="6A23687A"/>
    <w:rsid w:val="6A240036"/>
    <w:rsid w:val="6A372756"/>
    <w:rsid w:val="6A3749C6"/>
    <w:rsid w:val="6A3B19C7"/>
    <w:rsid w:val="6A4B20C8"/>
    <w:rsid w:val="6A4B5F33"/>
    <w:rsid w:val="6A577BBA"/>
    <w:rsid w:val="6A590439"/>
    <w:rsid w:val="6A597D4C"/>
    <w:rsid w:val="6A680FC7"/>
    <w:rsid w:val="6A880A74"/>
    <w:rsid w:val="6A942216"/>
    <w:rsid w:val="6A9B0075"/>
    <w:rsid w:val="6AB57FE0"/>
    <w:rsid w:val="6AC51D73"/>
    <w:rsid w:val="6AC82C33"/>
    <w:rsid w:val="6AD67F71"/>
    <w:rsid w:val="6AE213F9"/>
    <w:rsid w:val="6AE85CC0"/>
    <w:rsid w:val="6AF7771D"/>
    <w:rsid w:val="6B036F9E"/>
    <w:rsid w:val="6B105217"/>
    <w:rsid w:val="6B2F7A95"/>
    <w:rsid w:val="6B311795"/>
    <w:rsid w:val="6B37585F"/>
    <w:rsid w:val="6B4D0219"/>
    <w:rsid w:val="6BA17867"/>
    <w:rsid w:val="6BA570F6"/>
    <w:rsid w:val="6BA8544F"/>
    <w:rsid w:val="6BB141CE"/>
    <w:rsid w:val="6BBA58AE"/>
    <w:rsid w:val="6BBE4C73"/>
    <w:rsid w:val="6BD45513"/>
    <w:rsid w:val="6BE26DF5"/>
    <w:rsid w:val="6BEC17E0"/>
    <w:rsid w:val="6BEF0C80"/>
    <w:rsid w:val="6BF41DBA"/>
    <w:rsid w:val="6C102618"/>
    <w:rsid w:val="6C1F3963"/>
    <w:rsid w:val="6C1F5711"/>
    <w:rsid w:val="6C276CBC"/>
    <w:rsid w:val="6C2A0D97"/>
    <w:rsid w:val="6C3664AD"/>
    <w:rsid w:val="6C3D203B"/>
    <w:rsid w:val="6C3F0F20"/>
    <w:rsid w:val="6C477211"/>
    <w:rsid w:val="6C62746F"/>
    <w:rsid w:val="6C7B0D4F"/>
    <w:rsid w:val="6C7C7008"/>
    <w:rsid w:val="6C895281"/>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23012"/>
    <w:rsid w:val="6D385E21"/>
    <w:rsid w:val="6D737889"/>
    <w:rsid w:val="6D787B59"/>
    <w:rsid w:val="6D7F4662"/>
    <w:rsid w:val="6D832E39"/>
    <w:rsid w:val="6D8A7542"/>
    <w:rsid w:val="6D916E4E"/>
    <w:rsid w:val="6DA94419"/>
    <w:rsid w:val="6DB3108B"/>
    <w:rsid w:val="6DBD5004"/>
    <w:rsid w:val="6DC63E68"/>
    <w:rsid w:val="6DCF4F15"/>
    <w:rsid w:val="6DD447A6"/>
    <w:rsid w:val="6DEF4626"/>
    <w:rsid w:val="6E066FBB"/>
    <w:rsid w:val="6E1152C9"/>
    <w:rsid w:val="6E4678CD"/>
    <w:rsid w:val="6E531FEA"/>
    <w:rsid w:val="6E5C6B75"/>
    <w:rsid w:val="6E6D037E"/>
    <w:rsid w:val="6E7837FF"/>
    <w:rsid w:val="6E95214E"/>
    <w:rsid w:val="6E9B7282"/>
    <w:rsid w:val="6EA3225C"/>
    <w:rsid w:val="6EA63EC8"/>
    <w:rsid w:val="6EA84CF4"/>
    <w:rsid w:val="6EAC10F7"/>
    <w:rsid w:val="6EB135A6"/>
    <w:rsid w:val="6EBF1FE4"/>
    <w:rsid w:val="6EC5163F"/>
    <w:rsid w:val="6F003A11"/>
    <w:rsid w:val="6F0230C8"/>
    <w:rsid w:val="6F0A08FB"/>
    <w:rsid w:val="6F153111"/>
    <w:rsid w:val="6F2474E3"/>
    <w:rsid w:val="6F307EE5"/>
    <w:rsid w:val="6F3B3D99"/>
    <w:rsid w:val="6F415A91"/>
    <w:rsid w:val="6F5479EB"/>
    <w:rsid w:val="6F5558BD"/>
    <w:rsid w:val="6F5C177F"/>
    <w:rsid w:val="6F5E47A3"/>
    <w:rsid w:val="6F622446"/>
    <w:rsid w:val="6F6373A3"/>
    <w:rsid w:val="6F6723AD"/>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F6159B"/>
    <w:rsid w:val="6FF8081F"/>
    <w:rsid w:val="70032313"/>
    <w:rsid w:val="70057314"/>
    <w:rsid w:val="700A492A"/>
    <w:rsid w:val="701049D0"/>
    <w:rsid w:val="701653C9"/>
    <w:rsid w:val="70195AED"/>
    <w:rsid w:val="701E3F32"/>
    <w:rsid w:val="702F13E2"/>
    <w:rsid w:val="70335C2F"/>
    <w:rsid w:val="70476FEF"/>
    <w:rsid w:val="70493FA1"/>
    <w:rsid w:val="704C1556"/>
    <w:rsid w:val="705D5373"/>
    <w:rsid w:val="706109EE"/>
    <w:rsid w:val="707D50FC"/>
    <w:rsid w:val="707E0FD5"/>
    <w:rsid w:val="70867402"/>
    <w:rsid w:val="70A95654"/>
    <w:rsid w:val="70C312D3"/>
    <w:rsid w:val="70C66AA3"/>
    <w:rsid w:val="70D43718"/>
    <w:rsid w:val="70F73101"/>
    <w:rsid w:val="7116172E"/>
    <w:rsid w:val="71241D10"/>
    <w:rsid w:val="712437CA"/>
    <w:rsid w:val="712D0854"/>
    <w:rsid w:val="713B389B"/>
    <w:rsid w:val="7142463B"/>
    <w:rsid w:val="71910D2E"/>
    <w:rsid w:val="71A010A2"/>
    <w:rsid w:val="71AC2056"/>
    <w:rsid w:val="71C1345D"/>
    <w:rsid w:val="71C72AD3"/>
    <w:rsid w:val="71CB2462"/>
    <w:rsid w:val="71D445CE"/>
    <w:rsid w:val="71DA38CD"/>
    <w:rsid w:val="71E25B41"/>
    <w:rsid w:val="71F650B9"/>
    <w:rsid w:val="71FB277D"/>
    <w:rsid w:val="720F6001"/>
    <w:rsid w:val="72473CB6"/>
    <w:rsid w:val="72686E3D"/>
    <w:rsid w:val="727A26CE"/>
    <w:rsid w:val="729379EC"/>
    <w:rsid w:val="72964253"/>
    <w:rsid w:val="72983176"/>
    <w:rsid w:val="72AB51FE"/>
    <w:rsid w:val="72BE2D27"/>
    <w:rsid w:val="72D92A8F"/>
    <w:rsid w:val="72DA2EC0"/>
    <w:rsid w:val="72F739A7"/>
    <w:rsid w:val="73016068"/>
    <w:rsid w:val="7306762B"/>
    <w:rsid w:val="73504D4A"/>
    <w:rsid w:val="735E7467"/>
    <w:rsid w:val="7363682B"/>
    <w:rsid w:val="73816CB2"/>
    <w:rsid w:val="73893830"/>
    <w:rsid w:val="73A125FD"/>
    <w:rsid w:val="73C03C7E"/>
    <w:rsid w:val="73C81640"/>
    <w:rsid w:val="73CD6A9A"/>
    <w:rsid w:val="73D628A1"/>
    <w:rsid w:val="73DD6D17"/>
    <w:rsid w:val="73E2776E"/>
    <w:rsid w:val="73F52103"/>
    <w:rsid w:val="73FE0302"/>
    <w:rsid w:val="74022067"/>
    <w:rsid w:val="74097116"/>
    <w:rsid w:val="740A4EF9"/>
    <w:rsid w:val="740A7DB8"/>
    <w:rsid w:val="740E54D1"/>
    <w:rsid w:val="741B5358"/>
    <w:rsid w:val="742170E9"/>
    <w:rsid w:val="745B4F58"/>
    <w:rsid w:val="748527D2"/>
    <w:rsid w:val="74921493"/>
    <w:rsid w:val="74A509B1"/>
    <w:rsid w:val="74B01B4A"/>
    <w:rsid w:val="74CA3328"/>
    <w:rsid w:val="74DF4B7F"/>
    <w:rsid w:val="74DF4EF4"/>
    <w:rsid w:val="74F62CED"/>
    <w:rsid w:val="74F83595"/>
    <w:rsid w:val="75120509"/>
    <w:rsid w:val="75133BF1"/>
    <w:rsid w:val="7518727D"/>
    <w:rsid w:val="752173ED"/>
    <w:rsid w:val="7524023C"/>
    <w:rsid w:val="75355FA6"/>
    <w:rsid w:val="75370EA5"/>
    <w:rsid w:val="7538094B"/>
    <w:rsid w:val="754730F9"/>
    <w:rsid w:val="7548286D"/>
    <w:rsid w:val="754937FF"/>
    <w:rsid w:val="75502B1F"/>
    <w:rsid w:val="75544BB9"/>
    <w:rsid w:val="75752A67"/>
    <w:rsid w:val="757A53B3"/>
    <w:rsid w:val="75D35377"/>
    <w:rsid w:val="75F93477"/>
    <w:rsid w:val="76063D02"/>
    <w:rsid w:val="760B3E0F"/>
    <w:rsid w:val="7618341C"/>
    <w:rsid w:val="7631116A"/>
    <w:rsid w:val="76312C11"/>
    <w:rsid w:val="76345B3A"/>
    <w:rsid w:val="764346F2"/>
    <w:rsid w:val="76454D95"/>
    <w:rsid w:val="76697F5B"/>
    <w:rsid w:val="767317AC"/>
    <w:rsid w:val="76790114"/>
    <w:rsid w:val="7686064F"/>
    <w:rsid w:val="769474D0"/>
    <w:rsid w:val="769E4F43"/>
    <w:rsid w:val="76A95033"/>
    <w:rsid w:val="76B858B5"/>
    <w:rsid w:val="76BF021D"/>
    <w:rsid w:val="76DF0673"/>
    <w:rsid w:val="77176354"/>
    <w:rsid w:val="773310E1"/>
    <w:rsid w:val="773D3F97"/>
    <w:rsid w:val="774910E8"/>
    <w:rsid w:val="774950AA"/>
    <w:rsid w:val="774A0F8C"/>
    <w:rsid w:val="774A385E"/>
    <w:rsid w:val="77951A25"/>
    <w:rsid w:val="77960CE5"/>
    <w:rsid w:val="77996CC0"/>
    <w:rsid w:val="77AF0127"/>
    <w:rsid w:val="77B04009"/>
    <w:rsid w:val="77CB650B"/>
    <w:rsid w:val="77CC2A1C"/>
    <w:rsid w:val="77CE4490"/>
    <w:rsid w:val="77E67A2B"/>
    <w:rsid w:val="7803238B"/>
    <w:rsid w:val="78042DEB"/>
    <w:rsid w:val="78236589"/>
    <w:rsid w:val="78261305"/>
    <w:rsid w:val="784974F5"/>
    <w:rsid w:val="784B19A6"/>
    <w:rsid w:val="78540E39"/>
    <w:rsid w:val="78681083"/>
    <w:rsid w:val="786F17CF"/>
    <w:rsid w:val="78872218"/>
    <w:rsid w:val="788B24B1"/>
    <w:rsid w:val="789079E5"/>
    <w:rsid w:val="7891016B"/>
    <w:rsid w:val="789B0816"/>
    <w:rsid w:val="78A04C44"/>
    <w:rsid w:val="78C338C8"/>
    <w:rsid w:val="78E57CE3"/>
    <w:rsid w:val="78E72828"/>
    <w:rsid w:val="78EA7B9F"/>
    <w:rsid w:val="79224F56"/>
    <w:rsid w:val="79336CA0"/>
    <w:rsid w:val="793A7966"/>
    <w:rsid w:val="793B1C09"/>
    <w:rsid w:val="7947274B"/>
    <w:rsid w:val="799F7E92"/>
    <w:rsid w:val="79BA79F3"/>
    <w:rsid w:val="79BB215E"/>
    <w:rsid w:val="79CE4C1B"/>
    <w:rsid w:val="79D87646"/>
    <w:rsid w:val="79DA25B1"/>
    <w:rsid w:val="79E82BC7"/>
    <w:rsid w:val="7A1067EC"/>
    <w:rsid w:val="7A192CE7"/>
    <w:rsid w:val="7A2E2EA3"/>
    <w:rsid w:val="7A3007C8"/>
    <w:rsid w:val="7A3231AD"/>
    <w:rsid w:val="7A4A77F3"/>
    <w:rsid w:val="7A5A72EE"/>
    <w:rsid w:val="7A6169E0"/>
    <w:rsid w:val="7A844288"/>
    <w:rsid w:val="7AA02113"/>
    <w:rsid w:val="7AA82540"/>
    <w:rsid w:val="7AB931D5"/>
    <w:rsid w:val="7ADC02AF"/>
    <w:rsid w:val="7AE56AF0"/>
    <w:rsid w:val="7B002DC3"/>
    <w:rsid w:val="7B030BB8"/>
    <w:rsid w:val="7B080E99"/>
    <w:rsid w:val="7B0C23FF"/>
    <w:rsid w:val="7B110428"/>
    <w:rsid w:val="7B113011"/>
    <w:rsid w:val="7B205002"/>
    <w:rsid w:val="7B220D7A"/>
    <w:rsid w:val="7B2F5349"/>
    <w:rsid w:val="7B3C7249"/>
    <w:rsid w:val="7B5666FB"/>
    <w:rsid w:val="7B5C232E"/>
    <w:rsid w:val="7B5E12BB"/>
    <w:rsid w:val="7B637C47"/>
    <w:rsid w:val="7B780AEF"/>
    <w:rsid w:val="7B7E0D55"/>
    <w:rsid w:val="7BA43E85"/>
    <w:rsid w:val="7BAB6FC2"/>
    <w:rsid w:val="7BBF4208"/>
    <w:rsid w:val="7BC0312E"/>
    <w:rsid w:val="7BC62E25"/>
    <w:rsid w:val="7BC938EC"/>
    <w:rsid w:val="7BD02203"/>
    <w:rsid w:val="7BD22006"/>
    <w:rsid w:val="7BE269EA"/>
    <w:rsid w:val="7BE349AD"/>
    <w:rsid w:val="7BEC6B07"/>
    <w:rsid w:val="7BFC0690"/>
    <w:rsid w:val="7BFE17E7"/>
    <w:rsid w:val="7C013085"/>
    <w:rsid w:val="7C0E2B1C"/>
    <w:rsid w:val="7C0E57A2"/>
    <w:rsid w:val="7C151079"/>
    <w:rsid w:val="7C186D38"/>
    <w:rsid w:val="7C2253BC"/>
    <w:rsid w:val="7C2E374F"/>
    <w:rsid w:val="7C4756C9"/>
    <w:rsid w:val="7C582C3F"/>
    <w:rsid w:val="7C593EE8"/>
    <w:rsid w:val="7C753C13"/>
    <w:rsid w:val="7C7A6994"/>
    <w:rsid w:val="7C855A65"/>
    <w:rsid w:val="7C9932BE"/>
    <w:rsid w:val="7C9B286D"/>
    <w:rsid w:val="7C9B7FF0"/>
    <w:rsid w:val="7C9C44FE"/>
    <w:rsid w:val="7CB2612E"/>
    <w:rsid w:val="7CB53251"/>
    <w:rsid w:val="7CB62D19"/>
    <w:rsid w:val="7CD93821"/>
    <w:rsid w:val="7CD95805"/>
    <w:rsid w:val="7CF77FE5"/>
    <w:rsid w:val="7D13314E"/>
    <w:rsid w:val="7D230DDA"/>
    <w:rsid w:val="7D365DD8"/>
    <w:rsid w:val="7D3A23FC"/>
    <w:rsid w:val="7D4C0330"/>
    <w:rsid w:val="7D5072B1"/>
    <w:rsid w:val="7D625FC7"/>
    <w:rsid w:val="7D650CA3"/>
    <w:rsid w:val="7D6A0419"/>
    <w:rsid w:val="7D6B7727"/>
    <w:rsid w:val="7D7A5D33"/>
    <w:rsid w:val="7DA0242A"/>
    <w:rsid w:val="7DB12889"/>
    <w:rsid w:val="7DB52379"/>
    <w:rsid w:val="7DBC3708"/>
    <w:rsid w:val="7DD018F6"/>
    <w:rsid w:val="7DD4016C"/>
    <w:rsid w:val="7DE71E07"/>
    <w:rsid w:val="7DEE5D3D"/>
    <w:rsid w:val="7E167D92"/>
    <w:rsid w:val="7E1A50EB"/>
    <w:rsid w:val="7E1D2CB4"/>
    <w:rsid w:val="7E222BD7"/>
    <w:rsid w:val="7E2412AD"/>
    <w:rsid w:val="7E24305B"/>
    <w:rsid w:val="7E290672"/>
    <w:rsid w:val="7E385C9F"/>
    <w:rsid w:val="7E4266E2"/>
    <w:rsid w:val="7E576F8D"/>
    <w:rsid w:val="7E6C2A49"/>
    <w:rsid w:val="7E6D4A02"/>
    <w:rsid w:val="7E722A66"/>
    <w:rsid w:val="7E794FBB"/>
    <w:rsid w:val="7E806AA4"/>
    <w:rsid w:val="7E8F4979"/>
    <w:rsid w:val="7E9C305C"/>
    <w:rsid w:val="7EA06B86"/>
    <w:rsid w:val="7EA26042"/>
    <w:rsid w:val="7EAA17B2"/>
    <w:rsid w:val="7EAF6879"/>
    <w:rsid w:val="7EB45D48"/>
    <w:rsid w:val="7EBD001F"/>
    <w:rsid w:val="7EC17031"/>
    <w:rsid w:val="7ED71E7C"/>
    <w:rsid w:val="7EDE2253"/>
    <w:rsid w:val="7EEA7E01"/>
    <w:rsid w:val="7F0417A2"/>
    <w:rsid w:val="7F360FA8"/>
    <w:rsid w:val="7F3D43D5"/>
    <w:rsid w:val="7F427C3D"/>
    <w:rsid w:val="7F517E80"/>
    <w:rsid w:val="7F565496"/>
    <w:rsid w:val="7F7211CD"/>
    <w:rsid w:val="7F8B3961"/>
    <w:rsid w:val="7F8F3102"/>
    <w:rsid w:val="7F912972"/>
    <w:rsid w:val="7F9C0E05"/>
    <w:rsid w:val="7F9F140C"/>
    <w:rsid w:val="7FA76140"/>
    <w:rsid w:val="7FAE0E2E"/>
    <w:rsid w:val="7FC17096"/>
    <w:rsid w:val="7FE82E11"/>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autoRedefine/>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link w:val="55"/>
    <w:autoRedefine/>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6">
    <w:name w:val="heading 5"/>
    <w:basedOn w:val="1"/>
    <w:next w:val="1"/>
    <w:link w:val="56"/>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57"/>
    <w:autoRedefine/>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58"/>
    <w:autoRedefine/>
    <w:qFormat/>
    <w:uiPriority w:val="0"/>
    <w:pPr>
      <w:keepNext/>
      <w:keepLines/>
      <w:spacing w:before="240" w:after="64" w:line="320" w:lineRule="auto"/>
      <w:outlineLvl w:val="6"/>
    </w:pPr>
    <w:rPr>
      <w:b/>
      <w:bCs/>
      <w:sz w:val="24"/>
    </w:rPr>
  </w:style>
  <w:style w:type="character" w:default="1" w:styleId="37">
    <w:name w:val="Default Paragraph Font"/>
    <w:autoRedefine/>
    <w:semiHidden/>
    <w:qFormat/>
    <w:uiPriority w:val="0"/>
  </w:style>
  <w:style w:type="table" w:default="1" w:styleId="35">
    <w:name w:val="Normal Table"/>
    <w:autoRedefine/>
    <w:semiHidden/>
    <w:qFormat/>
    <w:uiPriority w:val="0"/>
    <w:tblPr>
      <w:tblCellMar>
        <w:top w:w="0" w:type="dxa"/>
        <w:left w:w="108" w:type="dxa"/>
        <w:bottom w:w="0" w:type="dxa"/>
        <w:right w:w="108" w:type="dxa"/>
      </w:tblCellMar>
    </w:tblPr>
  </w:style>
  <w:style w:type="paragraph" w:styleId="9">
    <w:name w:val="toc 7"/>
    <w:basedOn w:val="1"/>
    <w:next w:val="1"/>
    <w:autoRedefine/>
    <w:qFormat/>
    <w:uiPriority w:val="39"/>
    <w:pPr>
      <w:ind w:left="1260"/>
      <w:jc w:val="left"/>
    </w:pPr>
    <w:rPr>
      <w:sz w:val="18"/>
      <w:szCs w:val="18"/>
    </w:rPr>
  </w:style>
  <w:style w:type="paragraph" w:styleId="10">
    <w:name w:val="List Number 2"/>
    <w:basedOn w:val="1"/>
    <w:autoRedefine/>
    <w:qFormat/>
    <w:uiPriority w:val="0"/>
    <w:pPr>
      <w:numPr>
        <w:ilvl w:val="0"/>
        <w:numId w:val="2"/>
      </w:numPr>
      <w:tabs>
        <w:tab w:val="left" w:pos="567"/>
      </w:tabs>
      <w:adjustRightInd w:val="0"/>
      <w:spacing w:line="300" w:lineRule="auto"/>
      <w:textAlignment w:val="baseline"/>
    </w:pPr>
    <w:rPr>
      <w:kern w:val="0"/>
      <w:sz w:val="28"/>
      <w:szCs w:val="20"/>
    </w:rPr>
  </w:style>
  <w:style w:type="paragraph" w:styleId="11">
    <w:name w:val="Normal Indent"/>
    <w:basedOn w:val="1"/>
    <w:autoRedefine/>
    <w:qFormat/>
    <w:uiPriority w:val="0"/>
    <w:pPr>
      <w:adjustRightInd w:val="0"/>
      <w:spacing w:line="360" w:lineRule="atLeast"/>
      <w:ind w:firstLine="482"/>
      <w:textAlignment w:val="baseline"/>
    </w:pPr>
    <w:rPr>
      <w:kern w:val="0"/>
      <w:sz w:val="24"/>
      <w:szCs w:val="20"/>
    </w:rPr>
  </w:style>
  <w:style w:type="paragraph" w:styleId="12">
    <w:name w:val="annotation text"/>
    <w:basedOn w:val="1"/>
    <w:link w:val="59"/>
    <w:autoRedefine/>
    <w:qFormat/>
    <w:uiPriority w:val="0"/>
    <w:pPr>
      <w:jc w:val="left"/>
    </w:pPr>
  </w:style>
  <w:style w:type="paragraph" w:styleId="13">
    <w:name w:val="Body Text"/>
    <w:basedOn w:val="1"/>
    <w:next w:val="1"/>
    <w:autoRedefine/>
    <w:semiHidden/>
    <w:qFormat/>
    <w:uiPriority w:val="0"/>
    <w:pPr>
      <w:spacing w:after="120"/>
    </w:pPr>
  </w:style>
  <w:style w:type="paragraph" w:styleId="14">
    <w:name w:val="Body Text Indent"/>
    <w:basedOn w:val="1"/>
    <w:next w:val="15"/>
    <w:link w:val="52"/>
    <w:autoRedefine/>
    <w:qFormat/>
    <w:uiPriority w:val="0"/>
    <w:pPr>
      <w:spacing w:after="120"/>
      <w:ind w:left="200" w:leftChars="200"/>
    </w:pPr>
  </w:style>
  <w:style w:type="paragraph" w:styleId="15">
    <w:name w:val="envelope return"/>
    <w:basedOn w:val="1"/>
    <w:next w:val="9"/>
    <w:autoRedefine/>
    <w:qFormat/>
    <w:uiPriority w:val="0"/>
    <w:pPr>
      <w:snapToGrid w:val="0"/>
    </w:pPr>
    <w:rPr>
      <w:rFonts w:ascii="Arial" w:hAnsi="Arial"/>
    </w:rPr>
  </w:style>
  <w:style w:type="paragraph" w:styleId="16">
    <w:name w:val="toc 3"/>
    <w:basedOn w:val="1"/>
    <w:next w:val="1"/>
    <w:autoRedefine/>
    <w:qFormat/>
    <w:uiPriority w:val="39"/>
    <w:pPr>
      <w:tabs>
        <w:tab w:val="right" w:leader="dot" w:pos="9288"/>
      </w:tabs>
      <w:ind w:left="400" w:leftChars="400"/>
    </w:pPr>
    <w:rPr>
      <w:rFonts w:ascii="宋体"/>
    </w:rPr>
  </w:style>
  <w:style w:type="paragraph" w:styleId="17">
    <w:name w:val="Plain Text"/>
    <w:basedOn w:val="1"/>
    <w:next w:val="1"/>
    <w:link w:val="60"/>
    <w:autoRedefine/>
    <w:qFormat/>
    <w:uiPriority w:val="99"/>
    <w:rPr>
      <w:rFonts w:ascii="宋体"/>
      <w:color w:val="000000"/>
      <w:szCs w:val="20"/>
      <w:u w:val="none" w:color="000000"/>
    </w:rPr>
  </w:style>
  <w:style w:type="paragraph" w:styleId="18">
    <w:name w:val="Date"/>
    <w:basedOn w:val="1"/>
    <w:next w:val="1"/>
    <w:link w:val="61"/>
    <w:autoRedefine/>
    <w:qFormat/>
    <w:uiPriority w:val="0"/>
    <w:rPr>
      <w:rFonts w:ascii="Arial" w:hAnsi="Arial" w:eastAsia="仿宋_GB2312"/>
      <w:color w:val="000000"/>
      <w:sz w:val="32"/>
      <w:szCs w:val="20"/>
      <w:u w:val="none" w:color="000000"/>
    </w:rPr>
  </w:style>
  <w:style w:type="paragraph" w:styleId="19">
    <w:name w:val="Body Text Indent 2"/>
    <w:basedOn w:val="1"/>
    <w:link w:val="62"/>
    <w:autoRedefine/>
    <w:qFormat/>
    <w:uiPriority w:val="0"/>
    <w:pPr>
      <w:spacing w:after="120" w:line="480" w:lineRule="auto"/>
      <w:ind w:left="420" w:leftChars="200"/>
    </w:pPr>
  </w:style>
  <w:style w:type="paragraph" w:styleId="20">
    <w:name w:val="endnote text"/>
    <w:basedOn w:val="1"/>
    <w:autoRedefine/>
    <w:qFormat/>
    <w:uiPriority w:val="99"/>
    <w:pPr>
      <w:snapToGrid w:val="0"/>
    </w:pPr>
    <w:rPr>
      <w:rFonts w:ascii="仿宋" w:hAnsi="仿宋"/>
    </w:rPr>
  </w:style>
  <w:style w:type="paragraph" w:styleId="21">
    <w:name w:val="Balloon Text"/>
    <w:basedOn w:val="1"/>
    <w:link w:val="63"/>
    <w:autoRedefine/>
    <w:qFormat/>
    <w:uiPriority w:val="0"/>
    <w:rPr>
      <w:sz w:val="18"/>
      <w:szCs w:val="18"/>
    </w:rPr>
  </w:style>
  <w:style w:type="paragraph" w:styleId="22">
    <w:name w:val="footer"/>
    <w:basedOn w:val="1"/>
    <w:link w:val="64"/>
    <w:autoRedefine/>
    <w:qFormat/>
    <w:uiPriority w:val="0"/>
    <w:pPr>
      <w:tabs>
        <w:tab w:val="center" w:pos="4153"/>
        <w:tab w:val="right" w:pos="8306"/>
      </w:tabs>
      <w:snapToGrid w:val="0"/>
      <w:jc w:val="left"/>
    </w:pPr>
    <w:rPr>
      <w:sz w:val="18"/>
      <w:szCs w:val="18"/>
    </w:rPr>
  </w:style>
  <w:style w:type="paragraph" w:styleId="23">
    <w:name w:val="header"/>
    <w:basedOn w:val="1"/>
    <w:link w:val="65"/>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39"/>
  </w:style>
  <w:style w:type="paragraph" w:styleId="25">
    <w:name w:val="Subtitle"/>
    <w:basedOn w:val="1"/>
    <w:next w:val="1"/>
    <w:autoRedefine/>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6">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7">
    <w:name w:val="toc 2"/>
    <w:basedOn w:val="1"/>
    <w:next w:val="1"/>
    <w:autoRedefine/>
    <w:qFormat/>
    <w:uiPriority w:val="39"/>
    <w:pPr>
      <w:ind w:left="200" w:leftChars="200"/>
    </w:pPr>
  </w:style>
  <w:style w:type="paragraph" w:styleId="28">
    <w:name w:val="Body Text 2"/>
    <w:basedOn w:val="1"/>
    <w:qFormat/>
    <w:uiPriority w:val="0"/>
    <w:pPr>
      <w:spacing w:after="120" w:line="480" w:lineRule="auto"/>
    </w:pPr>
  </w:style>
  <w:style w:type="paragraph" w:styleId="29">
    <w:name w:val="Normal (Web)"/>
    <w:basedOn w:val="1"/>
    <w:next w:val="30"/>
    <w:autoRedefine/>
    <w:qFormat/>
    <w:uiPriority w:val="0"/>
    <w:pPr>
      <w:widowControl/>
      <w:spacing w:before="100" w:beforeAutospacing="1" w:after="100" w:afterAutospacing="1"/>
      <w:jc w:val="left"/>
    </w:pPr>
    <w:rPr>
      <w:rFonts w:ascii="宋体" w:hAnsi="宋体" w:cs="宋体"/>
      <w:kern w:val="0"/>
      <w:sz w:val="24"/>
    </w:rPr>
  </w:style>
  <w:style w:type="paragraph" w:customStyle="1" w:styleId="30">
    <w:name w:val="正文文字 8"/>
    <w:basedOn w:val="1"/>
    <w:next w:val="1"/>
    <w:autoRedefine/>
    <w:qFormat/>
    <w:uiPriority w:val="0"/>
    <w:pPr>
      <w:ind w:left="240"/>
    </w:pPr>
    <w:rPr>
      <w:sz w:val="16"/>
    </w:rPr>
  </w:style>
  <w:style w:type="paragraph" w:styleId="31">
    <w:name w:val="index 1"/>
    <w:basedOn w:val="1"/>
    <w:next w:val="1"/>
    <w:autoRedefine/>
    <w:qFormat/>
    <w:uiPriority w:val="0"/>
    <w:pPr>
      <w:jc w:val="center"/>
    </w:pPr>
    <w:rPr>
      <w:rFonts w:ascii="Arial" w:hAnsi="Arial" w:eastAsia="Arial" w:cs="Arial"/>
      <w:b/>
      <w:bCs/>
      <w:sz w:val="28"/>
    </w:rPr>
  </w:style>
  <w:style w:type="paragraph" w:styleId="32">
    <w:name w:val="Title"/>
    <w:basedOn w:val="1"/>
    <w:next w:val="1"/>
    <w:autoRedefine/>
    <w:qFormat/>
    <w:uiPriority w:val="0"/>
    <w:pPr>
      <w:numPr>
        <w:ilvl w:val="0"/>
        <w:numId w:val="4"/>
      </w:numPr>
      <w:spacing w:line="360" w:lineRule="auto"/>
      <w:jc w:val="left"/>
      <w:outlineLvl w:val="0"/>
    </w:pPr>
    <w:rPr>
      <w:rFonts w:ascii="Cambria" w:hAnsi="Cambria" w:cs="Times New Roman"/>
      <w:b/>
      <w:bCs/>
      <w:sz w:val="28"/>
      <w:szCs w:val="32"/>
    </w:rPr>
  </w:style>
  <w:style w:type="paragraph" w:styleId="33">
    <w:name w:val="annotation subject"/>
    <w:basedOn w:val="12"/>
    <w:next w:val="12"/>
    <w:link w:val="66"/>
    <w:autoRedefine/>
    <w:qFormat/>
    <w:uiPriority w:val="0"/>
    <w:rPr>
      <w:b/>
      <w:bCs/>
    </w:rPr>
  </w:style>
  <w:style w:type="paragraph" w:styleId="34">
    <w:name w:val="Body Text First Indent 2"/>
    <w:basedOn w:val="14"/>
    <w:next w:val="1"/>
    <w:link w:val="53"/>
    <w:autoRedefine/>
    <w:qFormat/>
    <w:uiPriority w:val="0"/>
    <w:pPr>
      <w:ind w:left="420" w:firstLine="420" w:firstLineChars="200"/>
    </w:p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basedOn w:val="37"/>
    <w:autoRedefine/>
    <w:qFormat/>
    <w:uiPriority w:val="0"/>
  </w:style>
  <w:style w:type="character" w:styleId="40">
    <w:name w:val="FollowedHyperlink"/>
    <w:autoRedefine/>
    <w:qFormat/>
    <w:uiPriority w:val="0"/>
    <w:rPr>
      <w:color w:val="333333"/>
      <w:u w:val="none"/>
    </w:rPr>
  </w:style>
  <w:style w:type="character" w:styleId="41">
    <w:name w:val="Emphasis"/>
    <w:autoRedefine/>
    <w:qFormat/>
    <w:uiPriority w:val="20"/>
    <w:rPr>
      <w:i/>
      <w:iCs/>
    </w:rPr>
  </w:style>
  <w:style w:type="character" w:styleId="42">
    <w:name w:val="HTML Definition"/>
    <w:autoRedefine/>
    <w:qFormat/>
    <w:uiPriority w:val="0"/>
  </w:style>
  <w:style w:type="character" w:styleId="43">
    <w:name w:val="HTML Typewriter"/>
    <w:autoRedefine/>
    <w:qFormat/>
    <w:uiPriority w:val="0"/>
    <w:rPr>
      <w:rFonts w:ascii="monospace" w:hAnsi="monospace" w:eastAsia="monospace" w:cs="monospace"/>
      <w:sz w:val="20"/>
    </w:rPr>
  </w:style>
  <w:style w:type="character" w:styleId="44">
    <w:name w:val="HTML Acronym"/>
    <w:autoRedefine/>
    <w:qFormat/>
    <w:uiPriority w:val="0"/>
  </w:style>
  <w:style w:type="character" w:styleId="45">
    <w:name w:val="HTML Variable"/>
    <w:autoRedefine/>
    <w:qFormat/>
    <w:uiPriority w:val="0"/>
  </w:style>
  <w:style w:type="character" w:styleId="46">
    <w:name w:val="Hyperlink"/>
    <w:autoRedefine/>
    <w:qFormat/>
    <w:uiPriority w:val="99"/>
    <w:rPr>
      <w:color w:val="333333"/>
      <w:u w:val="none"/>
    </w:rPr>
  </w:style>
  <w:style w:type="character" w:styleId="47">
    <w:name w:val="HTML Code"/>
    <w:autoRedefine/>
    <w:qFormat/>
    <w:uiPriority w:val="0"/>
    <w:rPr>
      <w:rFonts w:hint="default" w:ascii="monospace" w:hAnsi="monospace" w:eastAsia="monospace" w:cs="monospace"/>
      <w:sz w:val="20"/>
    </w:rPr>
  </w:style>
  <w:style w:type="character" w:styleId="48">
    <w:name w:val="annotation reference"/>
    <w:autoRedefine/>
    <w:qFormat/>
    <w:uiPriority w:val="0"/>
    <w:rPr>
      <w:sz w:val="21"/>
      <w:szCs w:val="21"/>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character" w:customStyle="1" w:styleId="52">
    <w:name w:val="正文文本缩进 字符"/>
    <w:link w:val="14"/>
    <w:autoRedefine/>
    <w:qFormat/>
    <w:uiPriority w:val="0"/>
    <w:rPr>
      <w:kern w:val="2"/>
      <w:sz w:val="21"/>
      <w:szCs w:val="24"/>
    </w:rPr>
  </w:style>
  <w:style w:type="character" w:customStyle="1" w:styleId="53">
    <w:name w:val="正文文本首行缩进 2 字符"/>
    <w:link w:val="34"/>
    <w:autoRedefine/>
    <w:qFormat/>
    <w:uiPriority w:val="0"/>
  </w:style>
  <w:style w:type="character" w:customStyle="1" w:styleId="54">
    <w:name w:val="标题 1 字符"/>
    <w:link w:val="2"/>
    <w:autoRedefine/>
    <w:qFormat/>
    <w:uiPriority w:val="0"/>
    <w:rPr>
      <w:b/>
      <w:bCs/>
      <w:kern w:val="44"/>
      <w:sz w:val="44"/>
      <w:szCs w:val="44"/>
    </w:rPr>
  </w:style>
  <w:style w:type="character" w:customStyle="1" w:styleId="55">
    <w:name w:val="标题 4 字符"/>
    <w:link w:val="5"/>
    <w:autoRedefine/>
    <w:qFormat/>
    <w:locked/>
    <w:uiPriority w:val="0"/>
    <w:rPr>
      <w:rFonts w:ascii="Arial" w:hAnsi="Arial" w:eastAsia="黑体"/>
      <w:b/>
      <w:bCs/>
      <w:color w:val="000000"/>
      <w:sz w:val="28"/>
      <w:szCs w:val="28"/>
      <w:u w:val="none" w:color="000000"/>
      <w:lang w:val="en-US" w:eastAsia="zh-CN" w:bidi="ar-SA"/>
    </w:rPr>
  </w:style>
  <w:style w:type="character" w:customStyle="1" w:styleId="56">
    <w:name w:val="标题 5 字符"/>
    <w:link w:val="6"/>
    <w:autoRedefine/>
    <w:semiHidden/>
    <w:qFormat/>
    <w:uiPriority w:val="0"/>
    <w:rPr>
      <w:b/>
      <w:bCs/>
      <w:kern w:val="2"/>
      <w:sz w:val="28"/>
      <w:szCs w:val="28"/>
    </w:rPr>
  </w:style>
  <w:style w:type="character" w:customStyle="1" w:styleId="57">
    <w:name w:val="标题 6 字符"/>
    <w:link w:val="7"/>
    <w:autoRedefine/>
    <w:semiHidden/>
    <w:qFormat/>
    <w:uiPriority w:val="0"/>
    <w:rPr>
      <w:rFonts w:ascii="Cambria" w:hAnsi="Cambria" w:eastAsia="宋体" w:cs="Times New Roman"/>
      <w:b/>
      <w:bCs/>
      <w:kern w:val="2"/>
      <w:sz w:val="24"/>
      <w:szCs w:val="24"/>
    </w:rPr>
  </w:style>
  <w:style w:type="character" w:customStyle="1" w:styleId="58">
    <w:name w:val="标题 7 字符"/>
    <w:link w:val="8"/>
    <w:autoRedefine/>
    <w:semiHidden/>
    <w:qFormat/>
    <w:uiPriority w:val="0"/>
    <w:rPr>
      <w:b/>
      <w:bCs/>
      <w:kern w:val="2"/>
      <w:sz w:val="24"/>
      <w:szCs w:val="24"/>
    </w:rPr>
  </w:style>
  <w:style w:type="character" w:customStyle="1" w:styleId="59">
    <w:name w:val="批注文字 字符"/>
    <w:link w:val="12"/>
    <w:autoRedefine/>
    <w:qFormat/>
    <w:uiPriority w:val="0"/>
    <w:rPr>
      <w:kern w:val="2"/>
      <w:sz w:val="21"/>
      <w:szCs w:val="24"/>
    </w:rPr>
  </w:style>
  <w:style w:type="character" w:customStyle="1" w:styleId="60">
    <w:name w:val="纯文本 字符"/>
    <w:link w:val="17"/>
    <w:autoRedefine/>
    <w:qFormat/>
    <w:uiPriority w:val="99"/>
    <w:rPr>
      <w:rFonts w:ascii="宋体" w:eastAsia="宋体"/>
      <w:color w:val="000000"/>
      <w:kern w:val="2"/>
      <w:sz w:val="21"/>
      <w:u w:val="none" w:color="000000"/>
      <w:lang w:val="en-US" w:eastAsia="zh-CN" w:bidi="ar-SA"/>
    </w:rPr>
  </w:style>
  <w:style w:type="character" w:customStyle="1" w:styleId="61">
    <w:name w:val="日期 字符"/>
    <w:link w:val="18"/>
    <w:autoRedefine/>
    <w:qFormat/>
    <w:uiPriority w:val="0"/>
    <w:rPr>
      <w:rFonts w:ascii="Arial" w:hAnsi="Arial" w:eastAsia="仿宋_GB2312"/>
      <w:color w:val="000000"/>
      <w:kern w:val="2"/>
      <w:sz w:val="32"/>
      <w:u w:val="none" w:color="000000"/>
    </w:rPr>
  </w:style>
  <w:style w:type="character" w:customStyle="1" w:styleId="62">
    <w:name w:val="正文文本缩进 2 字符"/>
    <w:link w:val="19"/>
    <w:autoRedefine/>
    <w:qFormat/>
    <w:uiPriority w:val="0"/>
    <w:rPr>
      <w:kern w:val="2"/>
      <w:sz w:val="21"/>
      <w:szCs w:val="24"/>
    </w:rPr>
  </w:style>
  <w:style w:type="character" w:customStyle="1" w:styleId="63">
    <w:name w:val="批注框文本 字符"/>
    <w:link w:val="21"/>
    <w:autoRedefine/>
    <w:qFormat/>
    <w:uiPriority w:val="0"/>
    <w:rPr>
      <w:kern w:val="2"/>
      <w:sz w:val="18"/>
      <w:szCs w:val="18"/>
    </w:rPr>
  </w:style>
  <w:style w:type="character" w:customStyle="1" w:styleId="64">
    <w:name w:val="页脚 字符"/>
    <w:link w:val="22"/>
    <w:autoRedefine/>
    <w:qFormat/>
    <w:locked/>
    <w:uiPriority w:val="0"/>
    <w:rPr>
      <w:kern w:val="2"/>
      <w:sz w:val="18"/>
      <w:szCs w:val="18"/>
    </w:rPr>
  </w:style>
  <w:style w:type="character" w:customStyle="1" w:styleId="65">
    <w:name w:val="页眉 字符"/>
    <w:link w:val="23"/>
    <w:autoRedefine/>
    <w:qFormat/>
    <w:locked/>
    <w:uiPriority w:val="0"/>
    <w:rPr>
      <w:kern w:val="2"/>
      <w:sz w:val="18"/>
      <w:szCs w:val="18"/>
    </w:rPr>
  </w:style>
  <w:style w:type="character" w:customStyle="1" w:styleId="66">
    <w:name w:val="批注主题 字符"/>
    <w:link w:val="33"/>
    <w:autoRedefine/>
    <w:qFormat/>
    <w:uiPriority w:val="0"/>
    <w:rPr>
      <w:b/>
      <w:bCs/>
      <w:kern w:val="2"/>
      <w:sz w:val="21"/>
      <w:szCs w:val="24"/>
    </w:rPr>
  </w:style>
  <w:style w:type="character" w:customStyle="1" w:styleId="67">
    <w:name w:val="font121"/>
    <w:autoRedefine/>
    <w:qFormat/>
    <w:uiPriority w:val="0"/>
    <w:rPr>
      <w:rFonts w:hint="eastAsia" w:ascii="宋体" w:hAnsi="宋体" w:eastAsia="宋体" w:cs="宋体"/>
      <w:color w:val="000000"/>
      <w:sz w:val="24"/>
      <w:szCs w:val="24"/>
      <w:u w:val="none"/>
    </w:rPr>
  </w:style>
  <w:style w:type="character" w:customStyle="1" w:styleId="68">
    <w:name w:val="font141"/>
    <w:autoRedefine/>
    <w:qFormat/>
    <w:uiPriority w:val="0"/>
    <w:rPr>
      <w:rFonts w:ascii="Arial" w:hAnsi="Arial" w:cs="Arial"/>
      <w:color w:val="000000"/>
      <w:sz w:val="24"/>
      <w:szCs w:val="24"/>
      <w:u w:val="none"/>
    </w:rPr>
  </w:style>
  <w:style w:type="character" w:customStyle="1" w:styleId="69">
    <w:name w:val="_37aak"/>
    <w:autoRedefine/>
    <w:qFormat/>
    <w:uiPriority w:val="0"/>
  </w:style>
  <w:style w:type="character" w:customStyle="1" w:styleId="70">
    <w:name w:val="图表 Char"/>
    <w:link w:val="71"/>
    <w:autoRedefine/>
    <w:qFormat/>
    <w:uiPriority w:val="0"/>
    <w:rPr>
      <w:kern w:val="2"/>
      <w:sz w:val="21"/>
      <w:szCs w:val="21"/>
    </w:rPr>
  </w:style>
  <w:style w:type="paragraph" w:customStyle="1" w:styleId="71">
    <w:name w:val="图表"/>
    <w:basedOn w:val="1"/>
    <w:next w:val="1"/>
    <w:link w:val="70"/>
    <w:autoRedefine/>
    <w:qFormat/>
    <w:uiPriority w:val="0"/>
    <w:pPr>
      <w:jc w:val="center"/>
    </w:pPr>
    <w:rPr>
      <w:szCs w:val="21"/>
    </w:rPr>
  </w:style>
  <w:style w:type="character" w:customStyle="1" w:styleId="72">
    <w:name w:val="font01"/>
    <w:basedOn w:val="37"/>
    <w:autoRedefine/>
    <w:qFormat/>
    <w:uiPriority w:val="0"/>
    <w:rPr>
      <w:rFonts w:hint="eastAsia" w:ascii="宋体" w:hAnsi="宋体" w:eastAsia="宋体" w:cs="宋体"/>
      <w:color w:val="000000"/>
      <w:sz w:val="22"/>
      <w:szCs w:val="22"/>
      <w:u w:val="none"/>
    </w:rPr>
  </w:style>
  <w:style w:type="character" w:customStyle="1" w:styleId="73">
    <w:name w:val="hover4"/>
    <w:autoRedefine/>
    <w:qFormat/>
    <w:uiPriority w:val="0"/>
    <w:rPr>
      <w:color w:val="2590EB"/>
      <w:shd w:val="clear" w:color="auto" w:fill="E9F4FD"/>
    </w:rPr>
  </w:style>
  <w:style w:type="character" w:customStyle="1" w:styleId="74">
    <w:name w:val="font101"/>
    <w:autoRedefine/>
    <w:qFormat/>
    <w:uiPriority w:val="0"/>
    <w:rPr>
      <w:rFonts w:hint="eastAsia" w:ascii="宋体" w:hAnsi="宋体" w:eastAsia="宋体" w:cs="宋体"/>
      <w:color w:val="000000"/>
      <w:sz w:val="18"/>
      <w:szCs w:val="18"/>
      <w:u w:val="none"/>
    </w:rPr>
  </w:style>
  <w:style w:type="character" w:customStyle="1" w:styleId="75">
    <w:name w:val="font161"/>
    <w:autoRedefine/>
    <w:qFormat/>
    <w:uiPriority w:val="0"/>
    <w:rPr>
      <w:rFonts w:hint="eastAsia" w:ascii="宋体" w:hAnsi="宋体" w:eastAsia="宋体" w:cs="宋体"/>
      <w:b/>
      <w:bCs/>
      <w:color w:val="333333"/>
      <w:sz w:val="27"/>
      <w:szCs w:val="27"/>
      <w:u w:val="none"/>
    </w:rPr>
  </w:style>
  <w:style w:type="character" w:customStyle="1" w:styleId="76">
    <w:name w:val="first-child"/>
    <w:autoRedefine/>
    <w:qFormat/>
    <w:uiPriority w:val="0"/>
  </w:style>
  <w:style w:type="character" w:customStyle="1" w:styleId="77">
    <w:name w:val="【正文】 Char"/>
    <w:link w:val="78"/>
    <w:autoRedefine/>
    <w:qFormat/>
    <w:uiPriority w:val="0"/>
    <w:rPr>
      <w:rFonts w:cs="DokChampa"/>
      <w:kern w:val="2"/>
      <w:sz w:val="24"/>
      <w:szCs w:val="22"/>
    </w:rPr>
  </w:style>
  <w:style w:type="paragraph" w:customStyle="1" w:styleId="78">
    <w:name w:val="【正文】"/>
    <w:basedOn w:val="1"/>
    <w:link w:val="77"/>
    <w:autoRedefine/>
    <w:qFormat/>
    <w:uiPriority w:val="0"/>
    <w:pPr>
      <w:spacing w:line="360" w:lineRule="auto"/>
      <w:ind w:firstLine="480" w:firstLineChars="200"/>
    </w:pPr>
    <w:rPr>
      <w:sz w:val="24"/>
      <w:szCs w:val="22"/>
    </w:rPr>
  </w:style>
  <w:style w:type="character" w:customStyle="1" w:styleId="79">
    <w:name w:val="font131"/>
    <w:autoRedefine/>
    <w:qFormat/>
    <w:uiPriority w:val="0"/>
    <w:rPr>
      <w:rFonts w:ascii="仿宋" w:hAnsi="仿宋" w:eastAsia="仿宋" w:cs="仿宋"/>
      <w:color w:val="000000"/>
      <w:sz w:val="24"/>
      <w:szCs w:val="24"/>
      <w:u w:val="none"/>
    </w:rPr>
  </w:style>
  <w:style w:type="character" w:customStyle="1" w:styleId="80">
    <w:name w:val="font181"/>
    <w:autoRedefine/>
    <w:qFormat/>
    <w:uiPriority w:val="0"/>
    <w:rPr>
      <w:rFonts w:hint="eastAsia" w:ascii="宋体" w:hAnsi="宋体" w:eastAsia="宋体" w:cs="宋体"/>
      <w:color w:val="1A66B3"/>
      <w:sz w:val="18"/>
      <w:szCs w:val="18"/>
      <w:u w:val="none"/>
    </w:rPr>
  </w:style>
  <w:style w:type="character" w:customStyle="1" w:styleId="81">
    <w:name w:val="hover3"/>
    <w:autoRedefine/>
    <w:qFormat/>
    <w:uiPriority w:val="0"/>
  </w:style>
  <w:style w:type="character" w:customStyle="1" w:styleId="82">
    <w:name w:val="font112"/>
    <w:autoRedefine/>
    <w:qFormat/>
    <w:uiPriority w:val="0"/>
    <w:rPr>
      <w:rFonts w:ascii="Verdana" w:hAnsi="Verdana" w:cs="Verdana"/>
      <w:color w:val="000000"/>
      <w:sz w:val="18"/>
      <w:szCs w:val="18"/>
      <w:u w:val="none"/>
    </w:rPr>
  </w:style>
  <w:style w:type="character" w:customStyle="1" w:styleId="83">
    <w:name w:val="font81"/>
    <w:autoRedefine/>
    <w:qFormat/>
    <w:uiPriority w:val="0"/>
    <w:rPr>
      <w:rFonts w:hint="default" w:ascii="Verdana" w:hAnsi="Verdana" w:cs="Verdana"/>
      <w:color w:val="000000"/>
      <w:sz w:val="18"/>
      <w:szCs w:val="18"/>
      <w:u w:val="none"/>
    </w:rPr>
  </w:style>
  <w:style w:type="character" w:customStyle="1" w:styleId="84">
    <w:name w:val="hover"/>
    <w:autoRedefine/>
    <w:qFormat/>
    <w:uiPriority w:val="0"/>
    <w:rPr>
      <w:color w:val="2590EB"/>
      <w:shd w:val="clear" w:color="auto" w:fill="E9F4FD"/>
    </w:rPr>
  </w:style>
  <w:style w:type="character" w:customStyle="1" w:styleId="85">
    <w:name w:val="font41"/>
    <w:autoRedefine/>
    <w:qFormat/>
    <w:uiPriority w:val="0"/>
    <w:rPr>
      <w:rFonts w:hint="eastAsia" w:ascii="宋体" w:hAnsi="宋体" w:eastAsia="宋体" w:cs="宋体"/>
      <w:color w:val="000000"/>
      <w:sz w:val="22"/>
      <w:szCs w:val="22"/>
      <w:u w:val="none"/>
    </w:rPr>
  </w:style>
  <w:style w:type="character" w:customStyle="1" w:styleId="86">
    <w:name w:val="hover2"/>
    <w:autoRedefine/>
    <w:qFormat/>
    <w:uiPriority w:val="0"/>
    <w:rPr>
      <w:color w:val="2590EB"/>
    </w:rPr>
  </w:style>
  <w:style w:type="character" w:customStyle="1" w:styleId="87">
    <w:name w:val="hover1"/>
    <w:autoRedefine/>
    <w:qFormat/>
    <w:uiPriority w:val="0"/>
    <w:rPr>
      <w:color w:val="2590EB"/>
    </w:rPr>
  </w:style>
  <w:style w:type="character" w:customStyle="1" w:styleId="88">
    <w:name w:val="first-child1"/>
    <w:autoRedefine/>
    <w:qFormat/>
    <w:uiPriority w:val="0"/>
  </w:style>
  <w:style w:type="character" w:customStyle="1" w:styleId="89">
    <w:name w:val="selected"/>
    <w:autoRedefine/>
    <w:qFormat/>
    <w:uiPriority w:val="0"/>
    <w:rPr>
      <w:shd w:val="clear" w:color="auto" w:fill="B00006"/>
    </w:rPr>
  </w:style>
  <w:style w:type="character" w:customStyle="1" w:styleId="90">
    <w:name w:val="gpa"/>
    <w:autoRedefine/>
    <w:qFormat/>
    <w:uiPriority w:val="0"/>
    <w:rPr>
      <w:rFonts w:ascii="Arial" w:hAnsi="Arial" w:cs="Arial"/>
      <w:sz w:val="15"/>
      <w:szCs w:val="15"/>
    </w:rPr>
  </w:style>
  <w:style w:type="character" w:customStyle="1" w:styleId="91">
    <w:name w:val="apple-converted-space"/>
    <w:autoRedefine/>
    <w:qFormat/>
    <w:uiPriority w:val="0"/>
  </w:style>
  <w:style w:type="character" w:customStyle="1" w:styleId="92">
    <w:name w:val="列出段落 Char"/>
    <w:link w:val="93"/>
    <w:autoRedefine/>
    <w:qFormat/>
    <w:locked/>
    <w:uiPriority w:val="0"/>
    <w:rPr>
      <w:rFonts w:ascii="Calibri" w:hAnsi="Calibri" w:eastAsia="宋体"/>
      <w:kern w:val="2"/>
      <w:sz w:val="21"/>
      <w:szCs w:val="22"/>
      <w:lang w:val="en-US" w:eastAsia="zh-CN" w:bidi="ar-SA"/>
    </w:rPr>
  </w:style>
  <w:style w:type="paragraph" w:customStyle="1" w:styleId="93">
    <w:name w:val="List Paragraph1"/>
    <w:basedOn w:val="1"/>
    <w:link w:val="92"/>
    <w:autoRedefine/>
    <w:qFormat/>
    <w:uiPriority w:val="0"/>
    <w:pPr>
      <w:spacing w:line="312" w:lineRule="auto"/>
      <w:ind w:firstLine="420" w:firstLineChars="200"/>
    </w:pPr>
    <w:rPr>
      <w:rFonts w:ascii="Calibri" w:hAnsi="Calibri"/>
      <w:szCs w:val="22"/>
    </w:rPr>
  </w:style>
  <w:style w:type="character" w:customStyle="1" w:styleId="94">
    <w:name w:val="displayarti"/>
    <w:autoRedefine/>
    <w:qFormat/>
    <w:uiPriority w:val="0"/>
    <w:rPr>
      <w:color w:val="FFFFFF"/>
      <w:shd w:val="clear" w:color="auto" w:fill="A00000"/>
    </w:rPr>
  </w:style>
  <w:style w:type="character" w:customStyle="1" w:styleId="95">
    <w:name w:val="正文首行缩进 2 Char1"/>
    <w:autoRedefine/>
    <w:qFormat/>
    <w:uiPriority w:val="0"/>
  </w:style>
  <w:style w:type="character" w:customStyle="1" w:styleId="96">
    <w:name w:val="layui-this"/>
    <w:autoRedefine/>
    <w:qFormat/>
    <w:uiPriority w:val="0"/>
    <w:rPr>
      <w:bdr w:val="single" w:color="EEEEEE" w:sz="6" w:space="0"/>
      <w:shd w:val="clear" w:color="auto" w:fill="FFFFFF"/>
    </w:rPr>
  </w:style>
  <w:style w:type="character" w:customStyle="1" w:styleId="97">
    <w:name w:val="font151"/>
    <w:autoRedefine/>
    <w:qFormat/>
    <w:uiPriority w:val="0"/>
    <w:rPr>
      <w:rFonts w:hint="default" w:ascii="Verdana" w:hAnsi="Verdana" w:cs="Verdana"/>
      <w:b/>
      <w:bCs/>
      <w:color w:val="333333"/>
      <w:sz w:val="27"/>
      <w:szCs w:val="27"/>
      <w:u w:val="none"/>
    </w:rPr>
  </w:style>
  <w:style w:type="character" w:customStyle="1" w:styleId="98">
    <w:name w:val="font171"/>
    <w:autoRedefine/>
    <w:qFormat/>
    <w:uiPriority w:val="0"/>
    <w:rPr>
      <w:rFonts w:hint="eastAsia" w:ascii="宋体" w:hAnsi="宋体" w:eastAsia="宋体" w:cs="宋体"/>
      <w:color w:val="646464"/>
      <w:sz w:val="18"/>
      <w:szCs w:val="18"/>
      <w:u w:val="none"/>
    </w:rPr>
  </w:style>
  <w:style w:type="character" w:customStyle="1" w:styleId="99">
    <w:name w:val="hover7"/>
    <w:autoRedefine/>
    <w:qFormat/>
    <w:uiPriority w:val="0"/>
    <w:rPr>
      <w:color w:val="315EFB"/>
    </w:rPr>
  </w:style>
  <w:style w:type="paragraph" w:customStyle="1" w:styleId="100">
    <w:name w:val="列表2"/>
    <w:basedOn w:val="1"/>
    <w:next w:val="1"/>
    <w:autoRedefine/>
    <w:qFormat/>
    <w:uiPriority w:val="0"/>
    <w:pPr>
      <w:numPr>
        <w:ilvl w:val="0"/>
        <w:numId w:val="5"/>
      </w:numPr>
      <w:spacing w:line="200" w:lineRule="atLeast"/>
    </w:pPr>
    <w:rPr>
      <w:rFonts w:eastAsia="仿宋"/>
      <w:sz w:val="28"/>
    </w:rPr>
  </w:style>
  <w:style w:type="paragraph" w:customStyle="1" w:styleId="101">
    <w:name w:val="text-tag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2">
    <w:name w:val="标题4"/>
    <w:basedOn w:val="1"/>
    <w:autoRedefine/>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3">
    <w:name w:val="Char"/>
    <w:basedOn w:val="1"/>
    <w:next w:val="1"/>
    <w:autoRedefine/>
    <w:qFormat/>
    <w:uiPriority w:val="0"/>
    <w:pPr>
      <w:widowControl/>
      <w:spacing w:line="360" w:lineRule="auto"/>
      <w:jc w:val="left"/>
    </w:pPr>
    <w:rPr>
      <w:kern w:val="0"/>
      <w:szCs w:val="20"/>
      <w:lang w:eastAsia="en-US"/>
    </w:rPr>
  </w:style>
  <w:style w:type="paragraph" w:customStyle="1" w:styleId="104">
    <w:name w:val="样式1"/>
    <w:basedOn w:val="1"/>
    <w:autoRedefine/>
    <w:qFormat/>
    <w:uiPriority w:val="0"/>
    <w:pPr>
      <w:spacing w:line="360" w:lineRule="auto"/>
      <w:jc w:val="center"/>
    </w:pPr>
    <w:rPr>
      <w:rFonts w:ascii="Times New Roman" w:hAnsi="Times New Roman" w:cs="Times New Roman"/>
      <w:b/>
      <w:sz w:val="30"/>
      <w:szCs w:val="30"/>
    </w:rPr>
  </w:style>
  <w:style w:type="paragraph" w:customStyle="1" w:styleId="105">
    <w:name w:val=" Char Char Char Char"/>
    <w:basedOn w:val="1"/>
    <w:autoRedefine/>
    <w:qFormat/>
    <w:uiPriority w:val="0"/>
    <w:rPr>
      <w:rFonts w:ascii="Tahoma" w:hAnsi="Tahoma"/>
      <w:sz w:val="24"/>
      <w:szCs w:val="20"/>
    </w:rPr>
  </w:style>
  <w:style w:type="paragraph" w:customStyle="1" w:styleId="106">
    <w:name w:val="_Style 4"/>
    <w:basedOn w:val="1"/>
    <w:autoRedefine/>
    <w:qFormat/>
    <w:uiPriority w:val="34"/>
    <w:pPr>
      <w:adjustRightInd w:val="0"/>
      <w:ind w:firstLine="420" w:firstLineChars="200"/>
      <w:jc w:val="left"/>
      <w:textAlignment w:val="baseline"/>
    </w:pPr>
    <w:rPr>
      <w:kern w:val="0"/>
      <w:szCs w:val="20"/>
    </w:rPr>
  </w:style>
  <w:style w:type="paragraph" w:customStyle="1" w:styleId="107">
    <w:name w:val="列出段落2"/>
    <w:basedOn w:val="1"/>
    <w:autoRedefine/>
    <w:qFormat/>
    <w:uiPriority w:val="0"/>
    <w:pPr>
      <w:ind w:firstLine="420" w:firstLineChars="200"/>
    </w:pPr>
    <w:rPr>
      <w:rFonts w:ascii="Calibri" w:hAnsi="Calibri"/>
      <w:szCs w:val="22"/>
    </w:rPr>
  </w:style>
  <w:style w:type="paragraph" w:customStyle="1" w:styleId="108">
    <w:name w:val="列出段落11"/>
    <w:basedOn w:val="1"/>
    <w:autoRedefine/>
    <w:qFormat/>
    <w:uiPriority w:val="0"/>
    <w:pPr>
      <w:spacing w:after="120" w:line="360" w:lineRule="auto"/>
      <w:ind w:firstLine="420" w:firstLineChars="200"/>
    </w:pPr>
    <w:rPr>
      <w:rFonts w:ascii="Calibri" w:hAnsi="Calibri"/>
      <w:szCs w:val="22"/>
    </w:rPr>
  </w:style>
  <w:style w:type="paragraph" w:customStyle="1" w:styleId="109">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0">
    <w:name w:val="_Style 108"/>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Table Paragraph"/>
    <w:basedOn w:val="1"/>
    <w:autoRedefine/>
    <w:qFormat/>
    <w:uiPriority w:val="1"/>
    <w:rPr>
      <w:rFonts w:ascii="宋体" w:hAnsi="宋体" w:eastAsia="宋体" w:cs="宋体"/>
      <w:lang w:val="zh-CN" w:eastAsia="zh-CN" w:bidi="zh-CN"/>
    </w:rPr>
  </w:style>
  <w:style w:type="paragraph" w:customStyle="1" w:styleId="112">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3">
    <w:name w:val="列出段落1"/>
    <w:basedOn w:val="1"/>
    <w:autoRedefine/>
    <w:qFormat/>
    <w:uiPriority w:val="34"/>
    <w:pPr>
      <w:ind w:firstLine="420" w:firstLineChars="200"/>
    </w:pPr>
  </w:style>
  <w:style w:type="paragraph" w:customStyle="1" w:styleId="114">
    <w:name w:val="Char Char Char Char Char Char Char1 Char"/>
    <w:basedOn w:val="1"/>
    <w:autoRedefine/>
    <w:qFormat/>
    <w:uiPriority w:val="0"/>
    <w:rPr>
      <w:rFonts w:ascii="Tahoma" w:hAnsi="Tahoma"/>
      <w:sz w:val="24"/>
      <w:szCs w:val="20"/>
    </w:rPr>
  </w:style>
  <w:style w:type="paragraph" w:styleId="115">
    <w:name w:val="List Paragraph"/>
    <w:basedOn w:val="1"/>
    <w:autoRedefine/>
    <w:qFormat/>
    <w:uiPriority w:val="0"/>
    <w:pPr>
      <w:spacing w:line="360" w:lineRule="auto"/>
      <w:ind w:firstLine="420" w:firstLineChars="200"/>
    </w:pPr>
    <w:rPr>
      <w:rFonts w:ascii="宋体" w:hAnsi="宋体" w:cs="宋体"/>
      <w:sz w:val="24"/>
    </w:rPr>
  </w:style>
  <w:style w:type="paragraph" w:customStyle="1" w:styleId="116">
    <w:name w:val="List Paragraph2"/>
    <w:basedOn w:val="1"/>
    <w:autoRedefine/>
    <w:qFormat/>
    <w:uiPriority w:val="0"/>
    <w:pPr>
      <w:spacing w:line="360" w:lineRule="auto"/>
      <w:ind w:firstLine="420"/>
    </w:pPr>
    <w:rPr>
      <w:color w:val="000000"/>
      <w:sz w:val="24"/>
      <w:szCs w:val="21"/>
    </w:rPr>
  </w:style>
  <w:style w:type="paragraph" w:customStyle="1" w:styleId="117">
    <w:name w:val="（无样式）"/>
    <w:basedOn w:val="1"/>
    <w:autoRedefine/>
    <w:qFormat/>
    <w:uiPriority w:val="0"/>
    <w:pPr>
      <w:widowControl/>
      <w:numPr>
        <w:ilvl w:val="0"/>
        <w:numId w:val="7"/>
      </w:numPr>
      <w:spacing w:line="360" w:lineRule="auto"/>
      <w:ind w:firstLine="0"/>
    </w:pPr>
    <w:rPr>
      <w:sz w:val="24"/>
      <w:szCs w:val="20"/>
    </w:rPr>
  </w:style>
  <w:style w:type="paragraph" w:customStyle="1" w:styleId="118">
    <w:name w:val="正文 New"/>
    <w:autoRedefine/>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19">
    <w:name w:val="标题3-副本"/>
    <w:basedOn w:val="25"/>
    <w:autoRedefine/>
    <w:qFormat/>
    <w:uiPriority w:val="0"/>
    <w:pPr>
      <w:numPr>
        <w:ilvl w:val="0"/>
        <w:numId w:val="0"/>
      </w:numPr>
      <w:ind w:left="840"/>
    </w:pPr>
  </w:style>
  <w:style w:type="paragraph" w:customStyle="1" w:styleId="120">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 w:type="paragraph" w:customStyle="1" w:styleId="121">
    <w:name w:val="_Style 2"/>
    <w:basedOn w:val="1"/>
    <w:autoRedefine/>
    <w:qFormat/>
    <w:uiPriority w:val="0"/>
  </w:style>
  <w:style w:type="paragraph" w:customStyle="1" w:styleId="122">
    <w:name w:val="p0"/>
    <w:basedOn w:val="1"/>
    <w:autoRedefine/>
    <w:qFormat/>
    <w:uiPriority w:val="0"/>
    <w:pPr>
      <w:widowControl/>
      <w:spacing w:line="365" w:lineRule="atLeast"/>
      <w:ind w:left="1"/>
      <w:textAlignment w:val="bottom"/>
    </w:pPr>
    <w:rPr>
      <w:rFonts w:ascii="Calibri" w:hAnsi="Calibri"/>
      <w:kern w:val="0"/>
      <w:sz w:val="20"/>
      <w:szCs w:val="22"/>
    </w:rPr>
  </w:style>
  <w:style w:type="paragraph" w:customStyle="1" w:styleId="12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24">
    <w:name w:val=" Char"/>
    <w:basedOn w:val="1"/>
    <w:autoRedefine/>
    <w:qFormat/>
    <w:uiPriority w:val="0"/>
  </w:style>
  <w:style w:type="paragraph" w:customStyle="1" w:styleId="125">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6">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27">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128">
    <w:name w:val="_Style 118"/>
    <w:basedOn w:val="1"/>
    <w:next w:val="1"/>
    <w:autoRedefine/>
    <w:qFormat/>
    <w:uiPriority w:val="0"/>
    <w:pPr>
      <w:pBdr>
        <w:top w:val="single" w:color="auto" w:sz="6" w:space="1"/>
      </w:pBdr>
      <w:jc w:val="center"/>
    </w:pPr>
    <w:rPr>
      <w:rFonts w:ascii="Arial" w:eastAsia="宋体"/>
      <w:vanish/>
      <w:sz w:val="16"/>
    </w:rPr>
  </w:style>
  <w:style w:type="character" w:customStyle="1" w:styleId="129">
    <w:name w:val="num"/>
    <w:basedOn w:val="37"/>
    <w:autoRedefine/>
    <w:qFormat/>
    <w:uiPriority w:val="0"/>
    <w:rPr>
      <w:b/>
      <w:bCs/>
      <w:color w:val="FF7800"/>
    </w:rPr>
  </w:style>
  <w:style w:type="character" w:customStyle="1" w:styleId="130">
    <w:name w:val="a-desc"/>
    <w:basedOn w:val="37"/>
    <w:autoRedefine/>
    <w:qFormat/>
    <w:uiPriority w:val="0"/>
    <w:rPr>
      <w:color w:val="315EFB"/>
    </w:rPr>
  </w:style>
  <w:style w:type="character" w:customStyle="1" w:styleId="131">
    <w:name w:val="bg"/>
    <w:basedOn w:val="37"/>
    <w:autoRedefine/>
    <w:qFormat/>
    <w:uiPriority w:val="0"/>
    <w:rPr>
      <w:shd w:val="clear" w:color="auto" w:fill="000000"/>
    </w:rPr>
  </w:style>
  <w:style w:type="character" w:customStyle="1" w:styleId="132">
    <w:name w:val="bg1"/>
    <w:basedOn w:val="37"/>
    <w:autoRedefine/>
    <w:qFormat/>
    <w:uiPriority w:val="0"/>
    <w:rPr>
      <w:shd w:val="clear" w:color="auto" w:fill="000000"/>
    </w:rPr>
  </w:style>
  <w:style w:type="character" w:customStyle="1" w:styleId="133">
    <w:name w:val="bg2"/>
    <w:basedOn w:val="37"/>
    <w:autoRedefine/>
    <w:qFormat/>
    <w:uiPriority w:val="0"/>
    <w:rPr>
      <w:shd w:val="clear" w:color="auto" w:fill="000000"/>
    </w:rPr>
  </w:style>
  <w:style w:type="character" w:customStyle="1" w:styleId="134">
    <w:name w:val="iknow-qb-ad-sou-icon"/>
    <w:basedOn w:val="37"/>
    <w:autoRedefine/>
    <w:qFormat/>
    <w:uiPriority w:val="0"/>
  </w:style>
  <w:style w:type="character" w:customStyle="1" w:styleId="135">
    <w:name w:val="del-btn"/>
    <w:basedOn w:val="37"/>
    <w:autoRedefine/>
    <w:qFormat/>
    <w:uiPriority w:val="0"/>
  </w:style>
  <w:style w:type="character" w:customStyle="1" w:styleId="136">
    <w:name w:val="del-btn1"/>
    <w:basedOn w:val="37"/>
    <w:autoRedefine/>
    <w:qFormat/>
    <w:uiPriority w:val="0"/>
  </w:style>
  <w:style w:type="character" w:customStyle="1" w:styleId="137">
    <w:name w:val="del-btn2"/>
    <w:basedOn w:val="37"/>
    <w:autoRedefine/>
    <w:qFormat/>
    <w:uiPriority w:val="0"/>
  </w:style>
  <w:style w:type="character" w:customStyle="1" w:styleId="138">
    <w:name w:val="answer-title"/>
    <w:basedOn w:val="37"/>
    <w:autoRedefine/>
    <w:qFormat/>
    <w:uiPriority w:val="0"/>
  </w:style>
  <w:style w:type="character" w:customStyle="1" w:styleId="139">
    <w:name w:val="new-icon2"/>
    <w:basedOn w:val="37"/>
    <w:autoRedefine/>
    <w:qFormat/>
    <w:uiPriority w:val="0"/>
  </w:style>
  <w:style w:type="character" w:customStyle="1" w:styleId="140">
    <w:name w:val="new-icon3"/>
    <w:basedOn w:val="37"/>
    <w:autoRedefine/>
    <w:qFormat/>
    <w:uiPriority w:val="0"/>
  </w:style>
  <w:style w:type="character" w:customStyle="1" w:styleId="141">
    <w:name w:val="green"/>
    <w:basedOn w:val="37"/>
    <w:autoRedefine/>
    <w:qFormat/>
    <w:uiPriority w:val="0"/>
    <w:rPr>
      <w:color w:val="3B6FFF"/>
    </w:rPr>
  </w:style>
  <w:style w:type="character" w:customStyle="1" w:styleId="142">
    <w:name w:val="green1"/>
    <w:basedOn w:val="37"/>
    <w:autoRedefine/>
    <w:qFormat/>
    <w:uiPriority w:val="0"/>
    <w:rPr>
      <w:color w:val="3B6FFF"/>
    </w:rPr>
  </w:style>
  <w:style w:type="character" w:customStyle="1" w:styleId="143">
    <w:name w:val="green2"/>
    <w:basedOn w:val="37"/>
    <w:autoRedefine/>
    <w:qFormat/>
    <w:uiPriority w:val="0"/>
    <w:rPr>
      <w:color w:val="4DC86F"/>
    </w:rPr>
  </w:style>
  <w:style w:type="character" w:customStyle="1" w:styleId="144">
    <w:name w:val="green3"/>
    <w:basedOn w:val="37"/>
    <w:autoRedefine/>
    <w:qFormat/>
    <w:uiPriority w:val="0"/>
    <w:rPr>
      <w:color w:val="4DC86F"/>
    </w:rPr>
  </w:style>
  <w:style w:type="character" w:customStyle="1" w:styleId="145">
    <w:name w:val="answer-title2"/>
    <w:basedOn w:val="37"/>
    <w:autoRedefine/>
    <w:qFormat/>
    <w:uiPriority w:val="0"/>
  </w:style>
  <w:style w:type="character" w:customStyle="1" w:styleId="146">
    <w:name w:val="new-icon"/>
    <w:basedOn w:val="37"/>
    <w:autoRedefine/>
    <w:qFormat/>
    <w:uiPriority w:val="0"/>
  </w:style>
  <w:style w:type="character" w:customStyle="1" w:styleId="147">
    <w:name w:val="new-icon1"/>
    <w:basedOn w:val="37"/>
    <w:autoRedefine/>
    <w:qFormat/>
    <w:uiPriority w:val="0"/>
  </w:style>
  <w:style w:type="character" w:customStyle="1" w:styleId="148">
    <w:name w:val="font31"/>
    <w:basedOn w:val="37"/>
    <w:autoRedefine/>
    <w:qFormat/>
    <w:uiPriority w:val="0"/>
    <w:rPr>
      <w:rFonts w:hint="eastAsia" w:ascii="宋体" w:hAnsi="宋体" w:eastAsia="宋体" w:cs="宋体"/>
      <w:color w:val="000000"/>
      <w:sz w:val="21"/>
      <w:szCs w:val="21"/>
      <w:u w:val="none"/>
    </w:rPr>
  </w:style>
  <w:style w:type="character" w:customStyle="1" w:styleId="149">
    <w:name w:val="font51"/>
    <w:basedOn w:val="37"/>
    <w:autoRedefine/>
    <w:qFormat/>
    <w:uiPriority w:val="0"/>
    <w:rPr>
      <w:rFonts w:hint="default" w:ascii="Times New Roman" w:hAnsi="Times New Roman" w:cs="Times New Roman"/>
      <w:color w:val="000000"/>
      <w:sz w:val="21"/>
      <w:szCs w:val="21"/>
      <w:u w:val="none"/>
    </w:rPr>
  </w:style>
  <w:style w:type="paragraph" w:customStyle="1" w:styleId="150">
    <w:name w:val="无列表1"/>
    <w:autoRedefine/>
    <w:semiHidden/>
    <w:qFormat/>
    <w:uiPriority w:val="0"/>
    <w:rPr>
      <w:rFonts w:ascii="Times New Roman" w:hAnsi="Times New Roman" w:eastAsia="宋体" w:cs="Times New Roman"/>
      <w:sz w:val="21"/>
      <w:szCs w:val="22"/>
      <w:lang w:val="en-US" w:eastAsia="zh-CN" w:bidi="ar-SA"/>
    </w:rPr>
  </w:style>
  <w:style w:type="paragraph" w:customStyle="1" w:styleId="1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53</Pages>
  <Words>18129</Words>
  <Characters>19897</Characters>
  <Lines>358</Lines>
  <Paragraphs>100</Paragraphs>
  <TotalTime>69</TotalTime>
  <ScaleCrop>false</ScaleCrop>
  <LinksUpToDate>false</LinksUpToDate>
  <CharactersWithSpaces>20882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这不科学</cp:lastModifiedBy>
  <cp:lastPrinted>2026-07-03T09:03:00Z</cp:lastPrinted>
  <dcterms:modified xsi:type="dcterms:W3CDTF">2026-10-19T12:03:26Z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9DE97A078242434B8B3280E52CDBE9A2_13</vt:lpwstr>
  </property>
  <property fmtid="{D5CDD505-2E9C-101B-9397-08002B2CF9AE}" pid="4" name="KSOTemplateDocerSaveRecord">
    <vt:lpwstr>eyJoZGlkIjoiZmI5ZDY5ZDNjMmE2ZDcxYTFkMDY0Zjg5Mjg3YTE0YTgiLCJ1c2VySWQiOiI1MDM3MjkwOTMifQ==</vt:lpwstr>
  </property>
</Properties>
</file>