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6E337A0F">
      <w:pPr>
        <w:keepNext w:val="0"/>
        <w:keepLines w:val="0"/>
        <w:pageBreakBefore w:val="0"/>
        <w:widowControl w:val="0"/>
        <w:kinsoku/>
        <w:wordWrap/>
        <w:overflowPunct/>
        <w:topLinePunct w:val="0"/>
        <w:autoSpaceDE/>
        <w:autoSpaceDN/>
        <w:bidi w:val="0"/>
        <w:adjustRightInd/>
        <w:snapToGrid/>
        <w:spacing w:line="920" w:lineRule="exact"/>
        <w:ind w:left="0" w:leftChars="0" w:right="0"/>
        <w:jc w:val="center"/>
        <w:textAlignment w:val="auto"/>
        <w:rPr>
          <w:rFonts w:hint="eastAsia"/>
          <w:color w:val="auto"/>
          <w:sz w:val="24"/>
          <w:highlight w:val="none"/>
        </w:rPr>
      </w:pPr>
      <w:r>
        <w:rPr>
          <w:rFonts w:hint="eastAsia" w:ascii="宋体" w:hAnsi="宋体" w:cs="宋体"/>
          <w:b/>
          <w:bCs/>
          <w:color w:val="auto"/>
          <w:w w:val="85"/>
          <w:sz w:val="48"/>
          <w:szCs w:val="48"/>
          <w:highlight w:val="none"/>
          <w:lang w:eastAsia="zh-CN"/>
        </w:rPr>
        <w:t>北门游客中心“六一书苑”场馆提升项目审计</w:t>
      </w:r>
    </w:p>
    <w:p w14:paraId="7989B961">
      <w:pPr>
        <w:rPr>
          <w:rFonts w:hint="eastAsia" w:ascii="宋体"/>
          <w:bCs/>
          <w:color w:val="auto"/>
          <w:szCs w:val="21"/>
          <w:highlight w:val="none"/>
          <w:lang w:eastAsia="zh-CN"/>
        </w:rPr>
      </w:pPr>
    </w:p>
    <w:p w14:paraId="670E3191">
      <w:pPr>
        <w:rPr>
          <w:rFonts w:hint="eastAsia" w:ascii="宋体"/>
          <w:bCs/>
          <w:color w:val="auto"/>
          <w:szCs w:val="21"/>
          <w:highlight w:val="none"/>
          <w:lang w:eastAsia="zh-CN"/>
        </w:rPr>
      </w:pPr>
    </w:p>
    <w:p w14:paraId="3CB434C2">
      <w:pPr>
        <w:rPr>
          <w:rFonts w:hint="eastAsia" w:ascii="宋体"/>
          <w:bCs/>
          <w:color w:val="auto"/>
          <w:szCs w:val="21"/>
          <w:highlight w:val="none"/>
          <w:lang w:eastAsia="zh-CN"/>
        </w:rPr>
      </w:pPr>
    </w:p>
    <w:p w14:paraId="7AD5EE92">
      <w:pPr>
        <w:rPr>
          <w:rFonts w:hint="eastAsia" w:ascii="宋体" w:eastAsia="宋体"/>
          <w:bCs/>
          <w:color w:val="auto"/>
          <w:szCs w:val="21"/>
          <w:highlight w:val="none"/>
          <w:lang w:eastAsia="zh-CN"/>
        </w:rPr>
      </w:pPr>
    </w:p>
    <w:p w14:paraId="0CDC5DC4">
      <w:pPr>
        <w:rPr>
          <w:rFonts w:hint="eastAsia" w:ascii="宋体"/>
          <w:bCs/>
          <w:color w:val="auto"/>
          <w:szCs w:val="21"/>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jc w:val="center"/>
        <w:rPr>
          <w:rFonts w:hint="eastAsia" w:ascii="宋体"/>
          <w:color w:val="auto"/>
          <w:sz w:val="28"/>
          <w:szCs w:val="28"/>
          <w:highlight w:val="none"/>
        </w:rPr>
      </w:pPr>
      <w:r>
        <w:rPr>
          <w:rFonts w:hint="eastAsia" w:ascii="宋体"/>
          <w:color w:val="auto"/>
          <w:sz w:val="28"/>
          <w:szCs w:val="28"/>
          <w:highlight w:val="none"/>
        </w:rPr>
        <w:t>项目编号：HXJY1110001065264001</w:t>
      </w:r>
      <w:bookmarkStart w:id="83" w:name="_GoBack"/>
      <w:bookmarkEnd w:id="83"/>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标</w:t>
      </w:r>
      <w:r>
        <w:rPr>
          <w:rFonts w:hint="eastAsia" w:ascii="宋体"/>
          <w:b/>
          <w:color w:val="auto"/>
          <w:sz w:val="32"/>
          <w:szCs w:val="32"/>
          <w:highlight w:val="none"/>
        </w:rPr>
        <w:t xml:space="preserve"> 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安徽省琅琊山旅游发展有限公司</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 xml:space="preserve"> </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rPr>
        <w:t>代理机构：</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 xml:space="preserve">10 </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16FB58A1">
      <w:pPr>
        <w:pStyle w:val="24"/>
        <w:tabs>
          <w:tab w:val="right" w:leader="dot" w:pos="8620"/>
        </w:tabs>
        <w:rPr>
          <w:rFonts w:hint="eastAsia" w:ascii="宋体" w:hAnsi="宋体" w:eastAsia="宋体" w:cs="宋体"/>
          <w:color w:val="auto"/>
          <w:sz w:val="28"/>
          <w:szCs w:val="28"/>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_Toc4483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val="en-US" w:eastAsia="zh-CN"/>
        </w:rPr>
        <w:t>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_Toc4483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1DC2904">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_Toc30272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第二章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_Toc30272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1FC2605">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_Toc16145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第三章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_Toc16145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69A76C6">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_Toc8910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第四章  合同格式（参考）</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_Toc8910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2CE0DA5">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_Toc23341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_Toc23341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212FFF4">
      <w:pPr>
        <w:pStyle w:val="24"/>
        <w:tabs>
          <w:tab w:val="right" w:leader="dot" w:pos="8620"/>
        </w:tabs>
        <w:rPr>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_Toc13076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第六章  招标人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代理机构对本招标文件的确认</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_Toc13076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64B1684">
      <w:pPr>
        <w:pStyle w:val="24"/>
        <w:tabs>
          <w:tab w:val="right" w:leader="dot" w:pos="8296"/>
        </w:tabs>
        <w:adjustRightInd w:val="0"/>
        <w:snapToGrid w:val="0"/>
        <w:spacing w:before="156" w:beforeLines="50" w:after="156" w:afterLines="50" w:line="500" w:lineRule="exact"/>
        <w:ind w:left="120" w:hanging="105" w:hangingChars="50"/>
        <w:jc w:val="center"/>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cs="宋体"/>
          <w:color w:val="auto"/>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4483"/>
      <w:r>
        <w:rPr>
          <w:rFonts w:hint="eastAsia" w:ascii="宋体"/>
          <w:b/>
          <w:color w:val="auto"/>
          <w:sz w:val="32"/>
          <w:szCs w:val="32"/>
          <w:highlight w:val="none"/>
        </w:rPr>
        <w:t xml:space="preserve">第一章  </w:t>
      </w:r>
      <w:r>
        <w:rPr>
          <w:rFonts w:hint="eastAsia" w:ascii="宋体"/>
          <w:b/>
          <w:color w:val="auto"/>
          <w:sz w:val="32"/>
          <w:szCs w:val="32"/>
          <w:highlight w:val="none"/>
          <w:lang w:val="en-US" w:eastAsia="zh-CN"/>
        </w:rPr>
        <w:t>招标公告</w:t>
      </w:r>
      <w:bookmarkEnd w:id="1"/>
    </w:p>
    <w:p w14:paraId="45ED2E4C">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25017AAD">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北门游客中心“六一书苑”场馆提升项目审计</w:t>
      </w:r>
      <w:r>
        <w:rPr>
          <w:rFonts w:hint="eastAsia" w:ascii="宋体" w:hAnsi="宋体" w:eastAsia="宋体" w:cs="宋体"/>
          <w:color w:val="auto"/>
          <w:sz w:val="21"/>
          <w:szCs w:val="21"/>
          <w:highlight w:val="none"/>
        </w:rPr>
        <w:t>的潜在投标人应在</w:t>
      </w:r>
      <w:r>
        <w:rPr>
          <w:rFonts w:hint="eastAsia" w:ascii="宋体" w:hAnsi="宋体" w:cs="宋体"/>
          <w:color w:val="auto"/>
          <w:sz w:val="21"/>
          <w:szCs w:val="21"/>
          <w:highlight w:val="none"/>
          <w:u w:val="single"/>
          <w:lang w:val="en-US" w:eastAsia="zh-CN"/>
        </w:rPr>
        <w:t>安徽省琅琊山旅游发展有限公司</w:t>
      </w:r>
      <w:r>
        <w:rPr>
          <w:rFonts w:hint="eastAsia" w:ascii="宋体" w:hAnsi="宋体" w:eastAsia="宋体" w:cs="宋体"/>
          <w:color w:val="auto"/>
          <w:sz w:val="21"/>
          <w:szCs w:val="21"/>
          <w:highlight w:val="none"/>
          <w:u w:val="single"/>
          <w:lang w:val="en-US" w:eastAsia="zh-CN"/>
        </w:rPr>
        <w:t>（</w:t>
      </w:r>
      <w:r>
        <w:rPr>
          <w:rFonts w:hint="eastAsia" w:ascii="宋体" w:hAnsi="宋体" w:cs="宋体"/>
          <w:color w:val="auto"/>
          <w:sz w:val="21"/>
          <w:szCs w:val="21"/>
          <w:highlight w:val="none"/>
          <w:u w:val="single"/>
          <w:lang w:val="en-US" w:eastAsia="zh-CN"/>
        </w:rPr>
        <w:t>https://www.lysfjq.cn/</w:t>
      </w:r>
      <w:r>
        <w:rPr>
          <w:rFonts w:hint="eastAsia" w:ascii="宋体" w:hAnsi="宋体" w:eastAsia="宋体" w:cs="宋体"/>
          <w:color w:val="auto"/>
          <w:sz w:val="21"/>
          <w:szCs w:val="21"/>
          <w:highlight w:val="none"/>
          <w:u w:val="single"/>
          <w:lang w:val="en-US" w:eastAsia="zh-CN"/>
        </w:rPr>
        <w:t>）</w:t>
      </w:r>
      <w:r>
        <w:rPr>
          <w:rFonts w:hint="eastAsia" w:ascii="宋体" w:hAnsi="宋体" w:cs="宋体"/>
          <w:color w:val="auto"/>
          <w:sz w:val="21"/>
          <w:szCs w:val="21"/>
          <w:highlight w:val="none"/>
          <w:u w:val="single"/>
          <w:lang w:val="en-US" w:eastAsia="zh-CN"/>
        </w:rPr>
        <w:t>或</w:t>
      </w:r>
      <w:r>
        <w:rPr>
          <w:rFonts w:hint="eastAsia" w:ascii="宋体" w:hAnsi="宋体" w:eastAsia="宋体" w:cs="宋体"/>
          <w:color w:val="auto"/>
          <w:sz w:val="21"/>
          <w:szCs w:val="21"/>
          <w:highlight w:val="none"/>
          <w:u w:val="single"/>
          <w:lang w:val="en-US" w:eastAsia="zh-CN"/>
        </w:rPr>
        <w:t>滁州市城投工程咨询管理有限公司（https://www.czctgczx.com/）网站</w:t>
      </w:r>
      <w:r>
        <w:rPr>
          <w:rFonts w:hint="eastAsia" w:ascii="宋体" w:hAnsi="宋体" w:eastAsia="宋体" w:cs="宋体"/>
          <w:color w:val="auto"/>
          <w:sz w:val="21"/>
          <w:szCs w:val="21"/>
          <w:highlight w:val="none"/>
        </w:rPr>
        <w:t>获取招标文件，并于</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28</w:t>
      </w:r>
      <w:r>
        <w:rPr>
          <w:rFonts w:hint="eastAsia" w:ascii="宋体" w:hAnsi="宋体" w:eastAsia="宋体" w:cs="宋体"/>
          <w:color w:val="auto"/>
          <w:sz w:val="21"/>
          <w:szCs w:val="21"/>
          <w:highlight w:val="none"/>
          <w:u w:val="single"/>
        </w:rPr>
        <w:t>日</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点</w:t>
      </w:r>
      <w:r>
        <w:rPr>
          <w:rFonts w:hint="eastAsia" w:ascii="宋体" w:hAnsi="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分</w:t>
      </w:r>
      <w:r>
        <w:rPr>
          <w:rFonts w:hint="eastAsia" w:ascii="宋体" w:hAnsi="宋体" w:eastAsia="宋体" w:cs="宋体"/>
          <w:color w:val="auto"/>
          <w:sz w:val="21"/>
          <w:szCs w:val="21"/>
          <w:highlight w:val="none"/>
        </w:rPr>
        <w:t>（北京时间）前递交投标文件。</w:t>
      </w:r>
    </w:p>
    <w:p w14:paraId="02EEB9A9">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55384E43">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项目编号：HXJY1110001065264001</w:t>
      </w:r>
    </w:p>
    <w:p w14:paraId="12BE7AB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项目名称：</w:t>
      </w:r>
      <w:r>
        <w:rPr>
          <w:rFonts w:hint="eastAsia" w:ascii="宋体" w:hAnsi="宋体" w:cs="宋体"/>
          <w:color w:val="auto"/>
          <w:sz w:val="21"/>
          <w:szCs w:val="21"/>
          <w:highlight w:val="none"/>
          <w:shd w:val="clear" w:color="auto" w:fill="auto"/>
          <w:lang w:eastAsia="zh-CN"/>
        </w:rPr>
        <w:t>北门游客中心“六一书苑”场馆提升项目审计</w:t>
      </w:r>
      <w:r>
        <w:rPr>
          <w:rFonts w:hint="eastAsia" w:ascii="宋体" w:hAnsi="宋体" w:eastAsia="宋体" w:cs="宋体"/>
          <w:color w:val="auto"/>
          <w:sz w:val="21"/>
          <w:szCs w:val="21"/>
          <w:highlight w:val="none"/>
          <w:shd w:val="clear" w:color="auto" w:fill="auto"/>
          <w:lang w:val="en-US" w:eastAsia="zh-CN"/>
        </w:rPr>
        <w:t xml:space="preserve"> </w:t>
      </w:r>
    </w:p>
    <w:p w14:paraId="4ADFF288">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预算金额：</w:t>
      </w:r>
      <w:r>
        <w:rPr>
          <w:rFonts w:hint="eastAsia" w:ascii="宋体" w:hAnsi="宋体" w:eastAsia="宋体" w:cs="宋体"/>
          <w:color w:val="auto"/>
          <w:sz w:val="21"/>
          <w:szCs w:val="21"/>
          <w:highlight w:val="none"/>
          <w:shd w:val="clear" w:color="auto" w:fill="auto"/>
          <w:lang w:val="en-US" w:eastAsia="zh-CN"/>
        </w:rPr>
        <w:t>本项目</w:t>
      </w:r>
      <w:r>
        <w:rPr>
          <w:rFonts w:hint="eastAsia" w:ascii="宋体" w:hAnsi="宋体" w:cs="宋体"/>
          <w:color w:val="auto"/>
          <w:sz w:val="21"/>
          <w:szCs w:val="21"/>
          <w:highlight w:val="none"/>
          <w:shd w:val="clear" w:color="auto" w:fill="auto"/>
          <w:lang w:val="en-US" w:eastAsia="zh-CN"/>
        </w:rPr>
        <w:t>投资额</w:t>
      </w:r>
      <w:r>
        <w:rPr>
          <w:rFonts w:hint="eastAsia" w:ascii="宋体" w:hAnsi="宋体" w:eastAsia="宋体" w:cs="宋体"/>
          <w:color w:val="auto"/>
          <w:sz w:val="21"/>
          <w:szCs w:val="21"/>
          <w:highlight w:val="none"/>
          <w:shd w:val="clear" w:color="auto" w:fill="auto"/>
          <w:lang w:val="en-US" w:eastAsia="zh-CN"/>
        </w:rPr>
        <w:t>约</w:t>
      </w:r>
      <w:r>
        <w:rPr>
          <w:rFonts w:hint="eastAsia" w:ascii="宋体" w:hAnsi="宋体" w:cs="宋体"/>
          <w:color w:val="auto"/>
          <w:sz w:val="21"/>
          <w:szCs w:val="21"/>
          <w:highlight w:val="none"/>
          <w:shd w:val="clear" w:color="auto" w:fill="auto"/>
          <w:lang w:val="en-US" w:eastAsia="zh-CN"/>
        </w:rPr>
        <w:t>190万元</w:t>
      </w:r>
      <w:r>
        <w:rPr>
          <w:rFonts w:hint="eastAsia" w:ascii="宋体" w:hAnsi="宋体" w:eastAsia="宋体" w:cs="宋体"/>
          <w:color w:val="auto"/>
          <w:sz w:val="21"/>
          <w:szCs w:val="21"/>
          <w:highlight w:val="none"/>
          <w:shd w:val="clear" w:color="auto" w:fill="auto"/>
          <w:lang w:val="en-US" w:eastAsia="zh-CN"/>
        </w:rPr>
        <w:t>，</w:t>
      </w:r>
      <w:r>
        <w:rPr>
          <w:rFonts w:hint="eastAsia" w:ascii="宋体" w:hAnsi="宋体" w:cs="宋体"/>
          <w:color w:val="auto"/>
          <w:sz w:val="21"/>
          <w:szCs w:val="21"/>
          <w:highlight w:val="none"/>
          <w:shd w:val="clear" w:color="auto" w:fill="auto"/>
          <w:lang w:val="en-US" w:eastAsia="zh-CN"/>
        </w:rPr>
        <w:t>本项目基本费率为3‰、审核成果费率为1.5%，服务费约1万元</w:t>
      </w:r>
    </w:p>
    <w:p w14:paraId="45F5CEE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最高限价：</w:t>
      </w:r>
      <w:r>
        <w:rPr>
          <w:rFonts w:hint="eastAsia" w:ascii="宋体" w:hAnsi="宋体" w:cs="宋体"/>
          <w:color w:val="auto"/>
          <w:sz w:val="21"/>
          <w:szCs w:val="21"/>
          <w:highlight w:val="none"/>
          <w:shd w:val="clear" w:color="auto" w:fill="auto"/>
          <w:lang w:val="en-US" w:eastAsia="zh-CN"/>
        </w:rPr>
        <w:t>本项目投标报价采用百分比费率报价，最高限价为100.00%（百分数小数点后最多保留两位小数，否则第三位将四舍五入），投标报价（费率）不得高于最高限价，否则，按无效标处理</w:t>
      </w:r>
    </w:p>
    <w:p w14:paraId="364BA877">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采购需求：</w:t>
      </w:r>
      <w:r>
        <w:rPr>
          <w:rFonts w:hint="eastAsia" w:ascii="宋体" w:hAnsi="宋体" w:eastAsia="宋体" w:cs="宋体"/>
          <w:color w:val="auto"/>
          <w:sz w:val="21"/>
          <w:szCs w:val="21"/>
          <w:highlight w:val="none"/>
          <w:shd w:val="clear" w:color="auto" w:fill="auto"/>
          <w:lang w:val="en-US" w:eastAsia="zh-CN"/>
        </w:rPr>
        <w:t>跟踪（结算）审计服务</w:t>
      </w:r>
    </w:p>
    <w:p w14:paraId="7428063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合同履行期限：</w:t>
      </w:r>
      <w:r>
        <w:rPr>
          <w:rFonts w:hint="eastAsia" w:ascii="宋体" w:hAnsi="宋体" w:cs="宋体"/>
          <w:color w:val="auto"/>
          <w:sz w:val="21"/>
          <w:szCs w:val="21"/>
          <w:highlight w:val="none"/>
          <w:shd w:val="clear" w:color="auto" w:fill="auto"/>
          <w:lang w:eastAsia="zh-CN"/>
        </w:rPr>
        <w:t>自签订合同之日起至完成结算审核报告</w:t>
      </w:r>
      <w:r>
        <w:rPr>
          <w:rFonts w:hint="eastAsia" w:ascii="宋体" w:hAnsi="宋体" w:eastAsia="宋体" w:cs="宋体"/>
          <w:color w:val="auto"/>
          <w:sz w:val="21"/>
          <w:szCs w:val="21"/>
          <w:highlight w:val="none"/>
          <w:shd w:val="clear" w:color="auto" w:fill="auto"/>
        </w:rPr>
        <w:t>。</w:t>
      </w:r>
    </w:p>
    <w:p w14:paraId="022551F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w:t>
      </w:r>
      <w:r>
        <w:rPr>
          <w:rFonts w:hint="eastAsia" w:ascii="宋体" w:hAnsi="宋体" w:eastAsia="宋体" w:cs="宋体"/>
          <w:color w:val="auto"/>
          <w:sz w:val="21"/>
          <w:szCs w:val="21"/>
          <w:highlight w:val="none"/>
          <w:shd w:val="clear" w:color="auto" w:fill="auto"/>
          <w:lang w:val="en-US" w:eastAsia="zh-CN"/>
        </w:rPr>
        <w:t>不</w:t>
      </w:r>
      <w:r>
        <w:rPr>
          <w:rFonts w:hint="eastAsia" w:ascii="宋体" w:hAnsi="宋体" w:eastAsia="宋体" w:cs="宋体"/>
          <w:color w:val="auto"/>
          <w:sz w:val="21"/>
          <w:szCs w:val="21"/>
          <w:highlight w:val="none"/>
          <w:shd w:val="clear" w:color="auto" w:fill="auto"/>
        </w:rPr>
        <w:t>接受联合体投标</w:t>
      </w:r>
      <w:r>
        <w:rPr>
          <w:rFonts w:hint="eastAsia" w:ascii="宋体" w:hAnsi="宋体" w:eastAsia="宋体" w:cs="宋体"/>
          <w:color w:val="auto"/>
          <w:sz w:val="21"/>
          <w:szCs w:val="21"/>
          <w:highlight w:val="none"/>
          <w:shd w:val="clear" w:color="auto" w:fill="auto"/>
          <w:lang w:eastAsia="zh-CN"/>
        </w:rPr>
        <w:t>。</w:t>
      </w:r>
    </w:p>
    <w:p w14:paraId="4CBFF0CC">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bookmarkStart w:id="2" w:name="_Toc28359003"/>
      <w:bookmarkStart w:id="3" w:name="_Toc35393791"/>
      <w:bookmarkStart w:id="4" w:name="_Toc28359080"/>
      <w:bookmarkStart w:id="5" w:name="_Toc35393622"/>
      <w:r>
        <w:rPr>
          <w:rFonts w:hint="eastAsia" w:ascii="宋体" w:hAnsi="宋体" w:eastAsia="宋体" w:cs="宋体"/>
          <w:b/>
          <w:bCs/>
          <w:color w:val="auto"/>
          <w:sz w:val="24"/>
          <w:szCs w:val="24"/>
          <w:highlight w:val="none"/>
        </w:rPr>
        <w:t>二、申请人的资格要求</w:t>
      </w:r>
      <w:bookmarkEnd w:id="2"/>
      <w:bookmarkEnd w:id="3"/>
      <w:bookmarkEnd w:id="4"/>
      <w:bookmarkEnd w:id="5"/>
    </w:p>
    <w:p w14:paraId="3AA719F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bookmarkStart w:id="6" w:name="_Toc28359081"/>
      <w:bookmarkStart w:id="7" w:name="_Toc35393792"/>
      <w:bookmarkStart w:id="8" w:name="_Toc28359004"/>
      <w:bookmarkStart w:id="9" w:name="_Toc35393623"/>
      <w:r>
        <w:rPr>
          <w:rFonts w:hint="eastAsia" w:ascii="宋体" w:hAnsi="宋体" w:eastAsia="宋体" w:cs="宋体"/>
          <w:color w:val="auto"/>
          <w:sz w:val="21"/>
          <w:szCs w:val="21"/>
          <w:highlight w:val="none"/>
          <w:lang w:val="en-US" w:eastAsia="zh-CN"/>
        </w:rPr>
        <w:t>1.投标人要求：须具有独立承担民事责任的能力；</w:t>
      </w:r>
    </w:p>
    <w:p w14:paraId="67A16787">
      <w:pPr>
        <w:pStyle w:val="28"/>
        <w:pageBreakBefore w:val="0"/>
        <w:widowControl w:val="0"/>
        <w:kinsoku/>
        <w:wordWrap w:val="0"/>
        <w:overflowPunct/>
        <w:topLinePunct w:val="0"/>
        <w:autoSpaceDE/>
        <w:autoSpaceDN/>
        <w:bidi w:val="0"/>
        <w:adjustRightInd/>
        <w:snapToGrid/>
        <w:spacing w:after="0"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2.项目负责人要求：须具有注册在投标单位的</w:t>
      </w:r>
      <w:r>
        <w:rPr>
          <w:rFonts w:hint="eastAsia" w:ascii="宋体" w:hAnsi="宋体" w:cs="宋体"/>
          <w:color w:val="auto"/>
          <w:sz w:val="21"/>
          <w:szCs w:val="21"/>
          <w:highlight w:val="none"/>
          <w:lang w:val="en-US" w:eastAsia="zh-CN"/>
        </w:rPr>
        <w:t>土木建筑工程专业</w:t>
      </w:r>
      <w:r>
        <w:rPr>
          <w:rFonts w:hint="eastAsia" w:ascii="宋体" w:hAnsi="宋体" w:eastAsia="宋体" w:cs="宋体"/>
          <w:color w:val="auto"/>
          <w:sz w:val="21"/>
          <w:szCs w:val="21"/>
          <w:highlight w:val="none"/>
          <w:lang w:val="en-US" w:eastAsia="zh-CN"/>
        </w:rPr>
        <w:t>一级注册造价工程师（或原注册造价工程师）；</w:t>
      </w:r>
    </w:p>
    <w:p w14:paraId="38E91381">
      <w:pPr>
        <w:pStyle w:val="28"/>
        <w:pageBreakBefore w:val="0"/>
        <w:widowControl w:val="0"/>
        <w:kinsoku/>
        <w:wordWrap w:val="0"/>
        <w:overflowPunct/>
        <w:topLinePunct w:val="0"/>
        <w:autoSpaceDE/>
        <w:autoSpaceDN/>
        <w:bidi w:val="0"/>
        <w:adjustRightInd/>
        <w:snapToGrid/>
        <w:spacing w:after="0"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3.项目组人员（不含项目负责人）配置要求：不少于2名注册在投标单位的二级及以上造价工程师（其中土木建筑工程专业不少于1</w:t>
      </w:r>
      <w:r>
        <w:rPr>
          <w:rFonts w:hint="eastAsia" w:ascii="宋体" w:hAnsi="宋体" w:cs="宋体"/>
          <w:color w:val="auto"/>
          <w:sz w:val="21"/>
          <w:szCs w:val="21"/>
          <w:highlight w:val="none"/>
          <w:lang w:val="en-US" w:eastAsia="zh-CN"/>
        </w:rPr>
        <w:t>名</w:t>
      </w:r>
      <w:r>
        <w:rPr>
          <w:rFonts w:hint="eastAsia" w:ascii="宋体" w:hAnsi="宋体" w:eastAsia="宋体" w:cs="宋体"/>
          <w:color w:val="auto"/>
          <w:sz w:val="21"/>
          <w:szCs w:val="21"/>
          <w:highlight w:val="none"/>
          <w:lang w:val="en-US" w:eastAsia="zh-CN"/>
        </w:rPr>
        <w:t>，安装工程专业不少于1</w:t>
      </w:r>
      <w:r>
        <w:rPr>
          <w:rFonts w:hint="eastAsia" w:ascii="宋体" w:hAnsi="宋体" w:cs="宋体"/>
          <w:color w:val="auto"/>
          <w:sz w:val="21"/>
          <w:szCs w:val="21"/>
          <w:highlight w:val="none"/>
          <w:lang w:val="en-US" w:eastAsia="zh-CN"/>
        </w:rPr>
        <w:t>名</w:t>
      </w:r>
      <w:r>
        <w:rPr>
          <w:rFonts w:hint="eastAsia" w:ascii="宋体" w:hAnsi="宋体" w:eastAsia="宋体" w:cs="宋体"/>
          <w:color w:val="auto"/>
          <w:sz w:val="21"/>
          <w:szCs w:val="21"/>
          <w:highlight w:val="none"/>
          <w:lang w:val="en-US" w:eastAsia="zh-CN"/>
        </w:rPr>
        <w:t>）。</w:t>
      </w:r>
    </w:p>
    <w:p w14:paraId="3C49B490">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bookmarkEnd w:id="6"/>
      <w:bookmarkEnd w:id="7"/>
      <w:bookmarkEnd w:id="8"/>
      <w:bookmarkEnd w:id="9"/>
    </w:p>
    <w:p w14:paraId="5944036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iCs/>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u w:val="single"/>
        </w:rPr>
        <w:t>日</w:t>
      </w:r>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u w:val="single"/>
        </w:rPr>
        <w:t xml:space="preserve"> 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28</w:t>
      </w:r>
      <w:r>
        <w:rPr>
          <w:rFonts w:hint="eastAsia" w:ascii="宋体" w:hAnsi="宋体" w:eastAsia="宋体" w:cs="宋体"/>
          <w:color w:val="auto"/>
          <w:sz w:val="21"/>
          <w:szCs w:val="21"/>
          <w:highlight w:val="none"/>
          <w:u w:val="single"/>
        </w:rPr>
        <w:t>日</w:t>
      </w:r>
    </w:p>
    <w:p w14:paraId="0997B67D">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方式：网上下载</w:t>
      </w:r>
    </w:p>
    <w:p w14:paraId="1EDDFFB2">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售价：0元</w:t>
      </w:r>
    </w:p>
    <w:p w14:paraId="43121A92">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bookmarkStart w:id="10" w:name="_Toc28359005"/>
      <w:bookmarkStart w:id="11" w:name="_Toc28359082"/>
      <w:bookmarkStart w:id="12" w:name="_Toc35393793"/>
      <w:bookmarkStart w:id="13" w:name="_Toc35393624"/>
      <w:r>
        <w:rPr>
          <w:rFonts w:hint="eastAsia" w:ascii="宋体" w:hAnsi="宋体" w:eastAsia="宋体" w:cs="宋体"/>
          <w:b/>
          <w:bCs/>
          <w:color w:val="auto"/>
          <w:sz w:val="24"/>
          <w:szCs w:val="24"/>
          <w:highlight w:val="none"/>
        </w:rPr>
        <w:t>四、提交投标文件</w:t>
      </w:r>
      <w:bookmarkEnd w:id="10"/>
      <w:bookmarkEnd w:id="11"/>
      <w:r>
        <w:rPr>
          <w:rFonts w:hint="eastAsia" w:ascii="宋体" w:hAnsi="宋体" w:eastAsia="宋体" w:cs="宋体"/>
          <w:b/>
          <w:bCs/>
          <w:color w:val="auto"/>
          <w:sz w:val="24"/>
          <w:szCs w:val="24"/>
          <w:highlight w:val="none"/>
        </w:rPr>
        <w:t>截止时间、开标时间和地点</w:t>
      </w:r>
      <w:bookmarkEnd w:id="12"/>
      <w:bookmarkEnd w:id="13"/>
    </w:p>
    <w:p w14:paraId="69DB056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时间：2026年</w:t>
      </w:r>
      <w:r>
        <w:rPr>
          <w:rFonts w:hint="eastAsia" w:ascii="宋体" w:hAnsi="宋体" w:cs="宋体"/>
          <w:bCs/>
          <w:color w:val="auto"/>
          <w:sz w:val="21"/>
          <w:szCs w:val="21"/>
          <w:highlight w:val="none"/>
          <w:u w:val="none"/>
          <w:lang w:val="en-US" w:eastAsia="zh-CN"/>
        </w:rPr>
        <w:t>10</w:t>
      </w:r>
      <w:r>
        <w:rPr>
          <w:rFonts w:hint="eastAsia" w:ascii="宋体" w:hAnsi="宋体" w:eastAsia="宋体" w:cs="宋体"/>
          <w:bCs/>
          <w:color w:val="auto"/>
          <w:sz w:val="21"/>
          <w:szCs w:val="21"/>
          <w:highlight w:val="none"/>
          <w:u w:val="none"/>
          <w:lang w:val="en-US" w:eastAsia="zh-CN"/>
        </w:rPr>
        <w:t>月</w:t>
      </w:r>
      <w:r>
        <w:rPr>
          <w:rFonts w:hint="eastAsia" w:ascii="宋体" w:hAnsi="宋体" w:cs="宋体"/>
          <w:bCs/>
          <w:color w:val="auto"/>
          <w:sz w:val="21"/>
          <w:szCs w:val="21"/>
          <w:highlight w:val="none"/>
          <w:u w:val="none"/>
          <w:lang w:val="en-US" w:eastAsia="zh-CN"/>
        </w:rPr>
        <w:t>28</w:t>
      </w:r>
      <w:r>
        <w:rPr>
          <w:rFonts w:hint="eastAsia" w:ascii="宋体" w:hAnsi="宋体" w:eastAsia="宋体" w:cs="宋体"/>
          <w:bCs/>
          <w:color w:val="auto"/>
          <w:sz w:val="21"/>
          <w:szCs w:val="21"/>
          <w:highlight w:val="none"/>
          <w:u w:val="none"/>
          <w:lang w:val="en-US" w:eastAsia="zh-CN"/>
        </w:rPr>
        <w:t>日</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lang w:val="en-US" w:eastAsia="zh-CN"/>
        </w:rPr>
        <w:t>时</w:t>
      </w:r>
      <w:r>
        <w:rPr>
          <w:rFonts w:hint="eastAsia" w:ascii="宋体" w:hAnsi="宋体" w:cs="宋体"/>
          <w:bCs/>
          <w:color w:val="auto"/>
          <w:sz w:val="21"/>
          <w:szCs w:val="21"/>
          <w:highlight w:val="none"/>
          <w:u w:val="none"/>
          <w:lang w:val="en-US" w:eastAsia="zh-CN"/>
        </w:rPr>
        <w:t>3</w:t>
      </w:r>
      <w:r>
        <w:rPr>
          <w:rFonts w:hint="eastAsia" w:ascii="宋体" w:hAnsi="宋体" w:eastAsia="宋体" w:cs="宋体"/>
          <w:bCs/>
          <w:color w:val="auto"/>
          <w:sz w:val="21"/>
          <w:szCs w:val="21"/>
          <w:highlight w:val="none"/>
          <w:u w:val="none"/>
          <w:lang w:val="en-US" w:eastAsia="zh-CN"/>
        </w:rPr>
        <w:t>0分；</w:t>
      </w:r>
    </w:p>
    <w:p w14:paraId="72EE8B47">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u w:val="none"/>
          <w:lang w:val="en-US" w:eastAsia="zh-CN"/>
        </w:rPr>
        <w:t>地点：网上开标，投标人登录滁州市城投工程咨询管理有限公司不见面开标系统参与网上开标（网址：http://js.etrading.cn/EpointBidOpening/bidopeninghallaction/hall/login）。</w:t>
      </w:r>
    </w:p>
    <w:p w14:paraId="25B4CBFD">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、投标保证金金额及缴纳账户</w:t>
      </w:r>
    </w:p>
    <w:p w14:paraId="1424E71A">
      <w:pPr>
        <w:pStyle w:val="127"/>
        <w:pageBreakBefore w:val="0"/>
        <w:widowControl w:val="0"/>
        <w:kinsoku/>
        <w:wordWrap w:val="0"/>
        <w:overflowPunct/>
        <w:topLinePunct w:val="0"/>
        <w:autoSpaceDE/>
        <w:autoSpaceDN/>
        <w:bidi w:val="0"/>
        <w:adjustRightInd/>
        <w:snapToGrid/>
        <w:spacing w:line="480" w:lineRule="exact"/>
        <w:ind w:left="0" w:leftChars="0" w:right="0" w:rightChars="0" w:firstLine="480" w:firstLineChars="200"/>
        <w:textAlignment w:val="auto"/>
        <w:rPr>
          <w:rFonts w:hint="eastAsia" w:ascii="宋体" w:hAnsi="宋体" w:eastAsia="宋体" w:cs="宋体"/>
          <w:color w:val="auto"/>
          <w:sz w:val="24"/>
          <w:szCs w:val="24"/>
          <w:highlight w:val="none"/>
        </w:rPr>
      </w:pPr>
      <w:bookmarkStart w:id="14" w:name="_Toc35393795"/>
      <w:bookmarkStart w:id="15" w:name="_Toc35393626"/>
      <w:r>
        <w:rPr>
          <w:rFonts w:hint="eastAsia" w:ascii="宋体" w:hAnsi="宋体" w:eastAsia="宋体" w:cs="宋体"/>
          <w:color w:val="auto"/>
          <w:sz w:val="24"/>
          <w:szCs w:val="24"/>
          <w:highlight w:val="none"/>
        </w:rPr>
        <w:t>窗体顶端</w:t>
      </w:r>
    </w:p>
    <w:p w14:paraId="5F4E68C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是否要求投标人提交投标保证金：不要求。</w:t>
      </w:r>
    </w:p>
    <w:p w14:paraId="0DAC3816">
      <w:pPr>
        <w:pStyle w:val="128"/>
        <w:pageBreakBefore w:val="0"/>
        <w:widowControl w:val="0"/>
        <w:kinsoku/>
        <w:wordWrap w:val="0"/>
        <w:overflowPunct/>
        <w:topLinePunct w:val="0"/>
        <w:autoSpaceDE/>
        <w:autoSpaceDN/>
        <w:bidi w:val="0"/>
        <w:adjustRightInd/>
        <w:snapToGrid/>
        <w:spacing w:line="48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窗体底端</w:t>
      </w:r>
    </w:p>
    <w:bookmarkEnd w:id="14"/>
    <w:bookmarkEnd w:id="15"/>
    <w:p w14:paraId="054AED32">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六、其他补充事宜</w:t>
      </w:r>
    </w:p>
    <w:p w14:paraId="3BA734E0">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电子招投标方式，请投标人在“新点电子交易平台”办事指南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276F5AC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参与投标的，须登录新点电子交易平台【滁州专区】查询、获取招标文件。请于公告发布之日起从滁州市城投工程咨询管理有限公司（https://www.czctgczx.com/）网站，点击项目招标公告下方【我要投标】，登录新点电子交易平台后在【滁州专区】（https://www.etrading.cn/BREpointSSO/login/oauth2login?regioncode=DQ_ChuZhou）下载本项目招标文件。</w:t>
      </w:r>
    </w:p>
    <w:p w14:paraId="22A6E5AC">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首次登录的，请办理入库手续，办理入库不收取任何费用。新点电子招投标统一认证平台使用相关问题（如系统登录、信息登记、录入及提交、数字证书关联等）请拨打服务电话：0512-58151515（工作日），标正通使用相关问题请拨打服务电话：0512-58188013。</w:t>
      </w:r>
    </w:p>
    <w:p w14:paraId="668EF553">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登录新点电子交易平台【滁州专区】获取招标文件及其它资料（含澄清和补充说明等）。如在招标文件获取过程中遇到系统问题，请拨打技术支持服务热线0512-58151515或者网站首页在线客服。投标人自行承担因未按要求获取招标文件导致无法上传电子投标文件的风险。</w:t>
      </w:r>
    </w:p>
    <w:p w14:paraId="344880F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5.投标人应在投标截止时间之前，登录新点电子交易平台【滁州专区】上传投标文件。投标人逾期上传投标文件的，电子系统不予受理。</w:t>
      </w:r>
    </w:p>
    <w:p w14:paraId="11F0D5DC">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6.本项目采用不见面开标，投标人登录滁州市城投工程咨询管理有限公司不见面开标系统参与网上开标（网址：http://js.etrading.cn/EpointBidOpening/bidopeninghallaction/hall/login）。</w:t>
      </w:r>
    </w:p>
    <w:p w14:paraId="79C20E8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p w14:paraId="6B421E99">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8.投标人的联系人电话(手机)、电子邮箱等通讯方式在开标过程中必须保持畅通，否则因上述原因造成的后果，责任自负</w:t>
      </w:r>
      <w:r>
        <w:rPr>
          <w:rFonts w:hint="eastAsia" w:ascii="宋体" w:hAnsi="宋体" w:eastAsia="宋体" w:cs="宋体"/>
          <w:color w:val="auto"/>
          <w:sz w:val="21"/>
          <w:szCs w:val="21"/>
          <w:highlight w:val="none"/>
          <w:lang w:eastAsia="zh-CN"/>
        </w:rPr>
        <w:t>。</w:t>
      </w:r>
    </w:p>
    <w:p w14:paraId="3D3E748B">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七、对本次招标提出询问，请按以下方式联系</w:t>
      </w:r>
    </w:p>
    <w:p w14:paraId="7307E47C">
      <w:pPr>
        <w:pStyle w:val="3"/>
        <w:pageBreakBefore w:val="0"/>
        <w:widowControl w:val="0"/>
        <w:numPr>
          <w:ilvl w:val="0"/>
          <w:numId w:val="0"/>
        </w:numPr>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kern w:val="2"/>
          <w:sz w:val="21"/>
          <w:szCs w:val="21"/>
          <w:highlight w:val="none"/>
        </w:rPr>
      </w:pPr>
      <w:bookmarkStart w:id="16" w:name="_Toc3512"/>
      <w:r>
        <w:rPr>
          <w:rFonts w:hint="eastAsia" w:ascii="宋体" w:hAnsi="宋体" w:eastAsia="宋体" w:cs="宋体"/>
          <w:color w:val="auto"/>
          <w:kern w:val="2"/>
          <w:sz w:val="21"/>
          <w:szCs w:val="21"/>
          <w:highlight w:val="none"/>
        </w:rPr>
        <w:t>1.招标人信息</w:t>
      </w:r>
      <w:bookmarkEnd w:id="16"/>
    </w:p>
    <w:p w14:paraId="604ADC3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名    称：</w:t>
      </w:r>
      <w:r>
        <w:rPr>
          <w:rFonts w:hint="eastAsia" w:ascii="宋体" w:hAnsi="宋体" w:cs="宋体"/>
          <w:color w:val="auto"/>
          <w:sz w:val="21"/>
          <w:szCs w:val="21"/>
          <w:highlight w:val="none"/>
          <w:u w:val="single"/>
          <w:lang w:eastAsia="zh-CN"/>
        </w:rPr>
        <w:t>安徽省琅琊山旅游发展有限公司</w:t>
      </w:r>
      <w:r>
        <w:rPr>
          <w:rFonts w:hint="eastAsia" w:ascii="宋体" w:hAnsi="宋体" w:eastAsia="宋体" w:cs="宋体"/>
          <w:color w:val="auto"/>
          <w:sz w:val="21"/>
          <w:szCs w:val="21"/>
          <w:highlight w:val="none"/>
          <w:u w:val="single"/>
          <w:lang w:eastAsia="zh-CN"/>
        </w:rPr>
        <w:t xml:space="preserve"> </w:t>
      </w:r>
    </w:p>
    <w:p w14:paraId="4191A14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cs="宋体"/>
          <w:color w:val="auto"/>
          <w:sz w:val="21"/>
          <w:szCs w:val="21"/>
          <w:highlight w:val="none"/>
          <w:u w:val="single"/>
          <w:lang w:eastAsia="zh-CN"/>
        </w:rPr>
        <w:t>安徽省滁州市西涧中路4306号</w:t>
      </w:r>
    </w:p>
    <w:p w14:paraId="2886E21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系</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w:t>
      </w:r>
      <w:r>
        <w:rPr>
          <w:rFonts w:hint="eastAsia" w:ascii="宋体" w:hAnsi="宋体" w:cs="宋体"/>
          <w:color w:val="auto"/>
          <w:sz w:val="21"/>
          <w:szCs w:val="21"/>
          <w:highlight w:val="none"/>
          <w:u w:val="single"/>
          <w:lang w:eastAsia="zh-CN"/>
        </w:rPr>
        <w:t>代工</w:t>
      </w:r>
    </w:p>
    <w:p w14:paraId="22A045A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联系方式：</w:t>
      </w:r>
      <w:r>
        <w:rPr>
          <w:rFonts w:hint="eastAsia" w:ascii="宋体" w:hAnsi="宋体" w:cs="宋体"/>
          <w:color w:val="auto"/>
          <w:sz w:val="21"/>
          <w:szCs w:val="21"/>
          <w:highlight w:val="none"/>
          <w:u w:val="single"/>
          <w:lang w:val="en-US" w:eastAsia="zh-CN"/>
        </w:rPr>
        <w:t>0550-3525595</w:t>
      </w:r>
    </w:p>
    <w:p w14:paraId="46F6CDF9">
      <w:pPr>
        <w:pStyle w:val="3"/>
        <w:pageBreakBefore w:val="0"/>
        <w:widowControl w:val="0"/>
        <w:numPr>
          <w:ilvl w:val="0"/>
          <w:numId w:val="0"/>
        </w:numPr>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kern w:val="2"/>
          <w:sz w:val="21"/>
          <w:szCs w:val="21"/>
          <w:highlight w:val="none"/>
        </w:rPr>
      </w:pPr>
      <w:bookmarkStart w:id="17" w:name="_Toc9966"/>
      <w:r>
        <w:rPr>
          <w:rFonts w:hint="eastAsia" w:ascii="宋体" w:hAnsi="宋体" w:eastAsia="宋体" w:cs="宋体"/>
          <w:color w:val="auto"/>
          <w:kern w:val="2"/>
          <w:sz w:val="21"/>
          <w:szCs w:val="21"/>
          <w:highlight w:val="none"/>
        </w:rPr>
        <w:t>2.代理机构信息</w:t>
      </w:r>
      <w:bookmarkEnd w:id="17"/>
    </w:p>
    <w:p w14:paraId="6503ED29">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滁州市城投工程咨询管理有限公司</w:t>
      </w:r>
    </w:p>
    <w:p w14:paraId="6AB9D21A">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滁州市龙蟠大道109号房产商务大厦6楼</w:t>
      </w:r>
    </w:p>
    <w:p w14:paraId="2430B6E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系</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single"/>
        </w:rPr>
        <w:t>胡国庆</w:t>
      </w:r>
    </w:p>
    <w:p w14:paraId="335066C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u w:val="single"/>
          <w:lang w:eastAsia="zh-CN"/>
        </w:rPr>
        <w:t>0550-3519517、18005500950</w:t>
      </w:r>
    </w:p>
    <w:p w14:paraId="42608EA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p>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18" w:name="_Toc30272"/>
      <w:r>
        <w:rPr>
          <w:rFonts w:hint="eastAsia" w:ascii="宋体"/>
          <w:b/>
          <w:color w:val="auto"/>
          <w:sz w:val="32"/>
          <w:szCs w:val="32"/>
          <w:highlight w:val="none"/>
        </w:rPr>
        <w:t xml:space="preserve">第二章 </w:t>
      </w:r>
      <w:r>
        <w:rPr>
          <w:rFonts w:hint="eastAsia" w:ascii="宋体"/>
          <w:b/>
          <w:color w:val="auto"/>
          <w:sz w:val="32"/>
          <w:szCs w:val="32"/>
          <w:highlight w:val="none"/>
          <w:lang w:val="en-US" w:eastAsia="zh-CN"/>
        </w:rPr>
        <w:t xml:space="preserve"> </w:t>
      </w:r>
      <w:r>
        <w:rPr>
          <w:rFonts w:hint="eastAsia" w:ascii="宋体"/>
          <w:b/>
          <w:color w:val="auto"/>
          <w:sz w:val="32"/>
          <w:szCs w:val="32"/>
          <w:highlight w:val="none"/>
        </w:rPr>
        <w:t>投标人须知</w:t>
      </w:r>
      <w:bookmarkEnd w:id="18"/>
    </w:p>
    <w:p w14:paraId="355FA043">
      <w:pPr>
        <w:snapToGrid w:val="0"/>
        <w:spacing w:line="500" w:lineRule="exact"/>
        <w:jc w:val="center"/>
        <w:outlineLvl w:val="1"/>
        <w:rPr>
          <w:rFonts w:hint="eastAsia" w:ascii="宋体"/>
          <w:b/>
          <w:color w:val="auto"/>
          <w:sz w:val="28"/>
          <w:szCs w:val="28"/>
          <w:highlight w:val="none"/>
        </w:rPr>
      </w:pPr>
      <w:bookmarkStart w:id="19" w:name="_Toc58430314"/>
      <w:bookmarkStart w:id="20" w:name="_Toc449028865"/>
      <w:bookmarkStart w:id="21" w:name="_Toc15210"/>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19"/>
      <w:bookmarkEnd w:id="20"/>
      <w:bookmarkEnd w:id="21"/>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北门游客中心“六一书苑”场馆提升项目审计</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29327E8C">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自签订合同之日起至完成结算审核报告</w:t>
            </w:r>
            <w:r>
              <w:rPr>
                <w:rFonts w:hint="eastAsia" w:ascii="宋体" w:hAnsi="宋体" w:eastAsia="宋体" w:cs="宋体"/>
                <w:color w:val="auto"/>
                <w:sz w:val="21"/>
                <w:szCs w:val="21"/>
                <w:highlight w:val="none"/>
              </w:rPr>
              <w:t>。</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滁州市内</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代工</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val="en-US" w:eastAsia="zh-CN"/>
              </w:rPr>
              <w:t>0550-3525595</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胡国庆</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：0550-3519517、18005500950</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本项目投资额约190万元，本项目基本费率为3‰、审核成果费率为1.5%，服务费约1万元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7"/>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375220E2">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本项目投标报价采用百分比费率报价，最高限价为100.00%（百分数小数点后最多保留两位小数，否则第三位将四舍五入），投标报价（费率）不得高于最高限价，否则，按无效标处理。</w:t>
            </w:r>
          </w:p>
          <w:p w14:paraId="0B33808B">
            <w:pPr>
              <w:pStyle w:val="17"/>
              <w:keepNext w:val="0"/>
              <w:keepLines w:val="0"/>
              <w:pageBreakBefore w:val="0"/>
              <w:kinsoku/>
              <w:overflowPunct/>
              <w:topLinePunct w:val="0"/>
              <w:autoSpaceDE/>
              <w:autoSpaceDN/>
              <w:bidi w:val="0"/>
              <w:adjustRightInd/>
              <w:spacing w:line="500" w:lineRule="exact"/>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注：</w:t>
            </w:r>
          </w:p>
          <w:p w14:paraId="1E955C41">
            <w:pPr>
              <w:pStyle w:val="17"/>
              <w:keepNext w:val="0"/>
              <w:keepLines w:val="0"/>
              <w:pageBreakBefore w:val="0"/>
              <w:kinsoku/>
              <w:overflowPunct/>
              <w:topLinePunct w:val="0"/>
              <w:autoSpaceDE/>
              <w:autoSpaceDN/>
              <w:bidi w:val="0"/>
              <w:adjustRightInd/>
              <w:spacing w:line="500" w:lineRule="exact"/>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1.无论任何原因（包含但不限于设计图纸变更等）导致的项目期限延长，委托人均不再增加审计服务费用。</w:t>
            </w:r>
          </w:p>
          <w:p w14:paraId="2D64DD2B">
            <w:pPr>
              <w:pStyle w:val="17"/>
              <w:keepNext w:val="0"/>
              <w:keepLines w:val="0"/>
              <w:pageBreakBefore w:val="0"/>
              <w:kinsoku/>
              <w:overflowPunct/>
              <w:topLinePunct w:val="0"/>
              <w:autoSpaceDE/>
              <w:autoSpaceDN/>
              <w:bidi w:val="0"/>
              <w:adjustRightInd/>
              <w:spacing w:line="500" w:lineRule="exact"/>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2.投标人须认真研究项目的招标文件，并仔细踏勘现场，若对本项目有异议，应在投标答疑时向招标人提出。</w:t>
            </w:r>
          </w:p>
          <w:p w14:paraId="1A8FFAC9">
            <w:pPr>
              <w:pStyle w:val="17"/>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eastAsia" w:hAnsi="宋体" w:cs="宋体"/>
                <w:color w:val="auto"/>
                <w:sz w:val="21"/>
                <w:szCs w:val="21"/>
                <w:highlight w:val="none"/>
                <w:lang w:val="en-US" w:eastAsia="zh-CN"/>
              </w:rPr>
              <w:t>3.本项目基本费率为3‰、审核成果费率为1.5%，</w:t>
            </w:r>
            <w:r>
              <w:rPr>
                <w:rFonts w:hint="eastAsia" w:hAnsi="宋体" w:cs="宋体"/>
                <w:b/>
                <w:bCs/>
                <w:color w:val="auto"/>
                <w:sz w:val="21"/>
                <w:szCs w:val="21"/>
                <w:highlight w:val="none"/>
                <w:lang w:val="en-US" w:eastAsia="zh-CN"/>
              </w:rPr>
              <w:t>审计费用=（基本费+审核成果费）×中标费率。其中，跟踪审计服务基本费计算基数为审定金额；审核成果费计算基数为独立核减金额。</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25820C3D">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跟踪（结算）审计服务；出具的工程造价咨询成果文件质量应符合现行国家或行业工程计价有关规定、标准、规范的要求。</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 xml:space="preserve"> 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cs="宋体"/>
                <w:color w:val="auto"/>
                <w:sz w:val="21"/>
                <w:szCs w:val="21"/>
                <w:highlight w:val="none"/>
                <w:lang w:val="en-US" w:eastAsia="zh-CN"/>
              </w:rPr>
              <w:t>前</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安徽省琅琊山旅游发展有限公司（https://www.lysfjq.cn/）、滁州市城投工程咨询管理有限公司（https://www.czctgczx.com/）等网站</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文件，并按要求加盖单位章；份数：正本1份，副本1份；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解密电子投标文件后，由评标委员会评审。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BE3F07D">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w:t>
            </w:r>
            <w:r>
              <w:rPr>
                <w:rFonts w:hint="eastAsia" w:ascii="宋体" w:hAnsi="宋体" w:eastAsia="宋体" w:cs="宋体"/>
                <w:color w:val="auto"/>
                <w:sz w:val="21"/>
                <w:szCs w:val="21"/>
                <w:highlight w:val="none"/>
                <w:lang w:val="en-US" w:eastAsia="zh-CN"/>
              </w:rPr>
              <w:t>由招标人组建；</w:t>
            </w:r>
          </w:p>
          <w:p w14:paraId="25283D63">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评标专家确定方式：专家评委由招标单位在评标前24小时内从专家库中随机抽取</w:t>
            </w:r>
            <w:r>
              <w:rPr>
                <w:rFonts w:hint="eastAsia" w:ascii="宋体" w:hAnsi="宋体" w:eastAsia="宋体" w:cs="宋体"/>
                <w:color w:val="auto"/>
                <w:sz w:val="21"/>
                <w:szCs w:val="21"/>
                <w:highlight w:val="none"/>
              </w:rPr>
              <w:t>。</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0C239EA8">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color w:val="auto"/>
                <w:highlight w:val="none"/>
                <w:lang w:val="en-US" w:eastAsia="zh-CN"/>
              </w:rPr>
            </w:pPr>
            <w:r>
              <w:rPr>
                <w:rFonts w:hint="eastAsia" w:hAnsi="宋体" w:cs="宋体"/>
                <w:color w:val="auto"/>
                <w:sz w:val="21"/>
                <w:szCs w:val="21"/>
                <w:highlight w:val="none"/>
                <w:lang w:val="en-US" w:eastAsia="zh-CN"/>
              </w:rPr>
              <w:t>工程竣工验收合格并审计结算完成后一次性付清。</w:t>
            </w:r>
          </w:p>
        </w:tc>
      </w:tr>
      <w:tr w14:paraId="7D9F4A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4A5F705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cs="宋体"/>
                <w:color w:val="auto"/>
                <w:sz w:val="21"/>
                <w:szCs w:val="21"/>
                <w:highlight w:val="none"/>
                <w:lang w:val="en-US" w:eastAsia="zh-CN"/>
              </w:rPr>
            </w:pPr>
            <w:bookmarkStart w:id="22" w:name="_Toc449028866"/>
            <w:bookmarkStart w:id="23" w:name="_Toc58430315"/>
            <w:bookmarkStart w:id="24" w:name="_Toc12127"/>
            <w:r>
              <w:rPr>
                <w:rFonts w:hint="eastAsia" w:ascii="宋体" w:hAnsi="宋体" w:cs="宋体"/>
                <w:color w:val="auto"/>
                <w:sz w:val="21"/>
                <w:szCs w:val="21"/>
                <w:highlight w:val="none"/>
                <w:lang w:val="en-US" w:eastAsia="zh-CN"/>
              </w:rPr>
              <w:t>评标过程中的澄清、说明或补正</w:t>
            </w:r>
          </w:p>
        </w:tc>
        <w:tc>
          <w:tcPr>
            <w:tcW w:w="7829" w:type="dxa"/>
            <w:gridSpan w:val="2"/>
            <w:noWrap w:val="0"/>
            <w:vAlign w:val="center"/>
          </w:tcPr>
          <w:p w14:paraId="2D211D62">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（1）评标委员会通过网上招投标系统将需要澄清、说明或补正的内容以询标函的形式发送给投标人，投标人应安排专人登录网上招投标系统并保持在线状态，以便及时接收评标委员会可能发出的询标函。</w:t>
            </w:r>
          </w:p>
          <w:p w14:paraId="14349A39">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4BD928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5833F9E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其他说明</w:t>
            </w:r>
          </w:p>
        </w:tc>
        <w:tc>
          <w:tcPr>
            <w:tcW w:w="7829" w:type="dxa"/>
            <w:gridSpan w:val="2"/>
            <w:noWrap w:val="0"/>
            <w:vAlign w:val="center"/>
          </w:tcPr>
          <w:p w14:paraId="49D3EC8A">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1、本招标文件前后条款若有不一致之处，在澄清答疑时又未作出明确规定时，各投标人的投标文件只要满足其中任一条款，均视为对本招标文件的响应。</w:t>
            </w:r>
          </w:p>
          <w:p w14:paraId="69709F9A">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2、系统中提供的表格与招标文件不一致时，以招标文件中提供的表格格式为准。</w:t>
            </w:r>
          </w:p>
          <w:p w14:paraId="38DBB0D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3、本项目招标公告与本招标文件不一致之处，以本招标文件为准。</w:t>
            </w:r>
          </w:p>
          <w:p w14:paraId="60A96CB7">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4、本文件的最终解释权归招标人、招标代理机构所有。</w:t>
            </w:r>
          </w:p>
        </w:tc>
      </w:tr>
      <w:tr w14:paraId="2083746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1F02842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特别说明</w:t>
            </w:r>
          </w:p>
        </w:tc>
        <w:tc>
          <w:tcPr>
            <w:tcW w:w="7829" w:type="dxa"/>
            <w:gridSpan w:val="2"/>
            <w:noWrap w:val="0"/>
            <w:vAlign w:val="center"/>
          </w:tcPr>
          <w:p w14:paraId="260FAA2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北门游客中心“六一书苑”场馆提升项目</w:t>
            </w:r>
            <w:r>
              <w:rPr>
                <w:rFonts w:hint="eastAsia" w:ascii="宋体" w:hAnsi="宋体" w:eastAsia="宋体" w:cs="宋体"/>
                <w:b/>
                <w:bCs/>
                <w:color w:val="auto"/>
                <w:sz w:val="21"/>
                <w:szCs w:val="21"/>
                <w:highlight w:val="none"/>
                <w:lang w:val="en-US" w:eastAsia="zh-CN"/>
              </w:rPr>
              <w:t>设计单位、施工单位、监理单位、招标代理单位及</w:t>
            </w:r>
            <w:r>
              <w:rPr>
                <w:rFonts w:hint="eastAsia" w:ascii="宋体" w:hAnsi="宋体" w:cs="宋体"/>
                <w:b/>
                <w:bCs/>
                <w:color w:val="auto"/>
                <w:sz w:val="21"/>
                <w:szCs w:val="21"/>
                <w:highlight w:val="none"/>
                <w:lang w:val="en-US" w:eastAsia="zh-CN"/>
              </w:rPr>
              <w:t>清单控制价编制单位</w:t>
            </w:r>
            <w:r>
              <w:rPr>
                <w:rFonts w:hint="eastAsia" w:ascii="宋体" w:hAnsi="宋体" w:eastAsia="宋体" w:cs="宋体"/>
                <w:b/>
                <w:bCs/>
                <w:color w:val="auto"/>
                <w:sz w:val="21"/>
                <w:szCs w:val="21"/>
                <w:highlight w:val="none"/>
                <w:lang w:val="en-US" w:eastAsia="zh-CN"/>
              </w:rPr>
              <w:t>，不得参加本项目投标。</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r>
        <w:rPr>
          <w:rFonts w:hint="eastAsia" w:ascii="宋体" w:hAnsi="宋体" w:cs="宋体"/>
          <w:b/>
          <w:color w:val="auto"/>
          <w:sz w:val="28"/>
          <w:szCs w:val="28"/>
          <w:highlight w:val="none"/>
        </w:rPr>
        <w:t>二、投标人须知</w:t>
      </w:r>
      <w:bookmarkEnd w:id="22"/>
      <w:bookmarkEnd w:id="23"/>
      <w:bookmarkEnd w:id="24"/>
    </w:p>
    <w:p w14:paraId="71C5E524">
      <w:pPr>
        <w:spacing w:line="440" w:lineRule="exact"/>
        <w:jc w:val="center"/>
        <w:rPr>
          <w:rFonts w:hint="eastAsia" w:ascii="宋体" w:hAnsi="宋体" w:cs="宋体"/>
          <w:color w:val="auto"/>
          <w:sz w:val="28"/>
          <w:szCs w:val="28"/>
          <w:highlight w:val="none"/>
        </w:rPr>
      </w:pPr>
      <w:bookmarkStart w:id="25"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5"/>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固定费率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综合评估法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6" w:name="_Toc152045539"/>
      <w:bookmarkStart w:id="27" w:name="_Toc144974507"/>
      <w:bookmarkStart w:id="28" w:name="_Toc152042315"/>
      <w:bookmarkStart w:id="29" w:name="_Toc247527563"/>
      <w:bookmarkStart w:id="30" w:name="_Toc247513962"/>
      <w:bookmarkStart w:id="31" w:name="_Toc247592876"/>
      <w:bookmarkStart w:id="32" w:name="_Toc296602429"/>
      <w:r>
        <w:rPr>
          <w:rFonts w:hint="eastAsia" w:ascii="宋体" w:hAnsi="宋体" w:cs="宋体"/>
          <w:b/>
          <w:color w:val="auto"/>
          <w:szCs w:val="21"/>
          <w:highlight w:val="none"/>
        </w:rPr>
        <w:t xml:space="preserve"> 踏勘现场</w:t>
      </w:r>
      <w:bookmarkEnd w:id="26"/>
      <w:bookmarkEnd w:id="27"/>
      <w:bookmarkEnd w:id="28"/>
      <w:bookmarkEnd w:id="29"/>
      <w:bookmarkEnd w:id="30"/>
      <w:bookmarkEnd w:id="31"/>
      <w:bookmarkEnd w:id="32"/>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 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3" w:name="_Toc247592877"/>
      <w:bookmarkStart w:id="34" w:name="_Toc247513963"/>
      <w:bookmarkStart w:id="35" w:name="_Toc247527564"/>
      <w:bookmarkStart w:id="36" w:name="_Toc152045540"/>
      <w:bookmarkStart w:id="37" w:name="_Toc152042316"/>
      <w:bookmarkStart w:id="38" w:name="_Toc144974508"/>
      <w:bookmarkStart w:id="39" w:name="_Toc296602430"/>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3"/>
      <w:bookmarkEnd w:id="34"/>
      <w:bookmarkEnd w:id="35"/>
      <w:bookmarkEnd w:id="36"/>
      <w:bookmarkEnd w:id="37"/>
      <w:bookmarkEnd w:id="38"/>
      <w:bookmarkEnd w:id="39"/>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highlight w:val="none"/>
        </w:rPr>
        <w:t>中华人民共和国政府采购法</w:t>
      </w:r>
      <w:r>
        <w:rPr>
          <w:rFonts w:hint="eastAsia" w:ascii="宋体" w:hAnsi="宋体" w:cs="宋体"/>
          <w:color w:val="auto"/>
          <w:szCs w:val="21"/>
          <w:highlight w:val="none"/>
        </w:rPr>
        <w:t>》第二十二条规定的条件。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根据采购项目的特殊要求规定投标人特定条件的，联合体各方中至少应当有一方符合</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规定的特定条件。</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58FD39DE">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11.6 非专门面向中小企业采购项目是否允许大中型企业向一家或者多家小微企业分包见投标人须知前附表。</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 投标人被视为充分熟悉本招标项目所在地的与履行合同有关的各种情况，包括但不限于：</w:t>
      </w:r>
    </w:p>
    <w:p w14:paraId="3DCA8395">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（1）国家对本次投标货物和服务的生产、安装调试、验收、维修等有关法律、法规及行业管理标准；</w:t>
      </w:r>
    </w:p>
    <w:p w14:paraId="35AE652D">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（2）安徽省及滁州市等有关管理部门的相关规定；</w:t>
      </w:r>
    </w:p>
    <w:p w14:paraId="544402F9">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的相关场地情况、基础建设、电力供应情况及相关设计标准。</w:t>
      </w:r>
    </w:p>
    <w:p w14:paraId="4F80E724">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0" w:name="_Toc449028868"/>
      <w:r>
        <w:rPr>
          <w:rFonts w:hint="eastAsia" w:ascii="宋体" w:hAnsi="宋体" w:cs="宋体"/>
          <w:b/>
          <w:color w:val="auto"/>
          <w:sz w:val="28"/>
          <w:szCs w:val="28"/>
          <w:highlight w:val="none"/>
        </w:rPr>
        <w:t>（二）</w:t>
      </w:r>
      <w:bookmarkEnd w:id="40"/>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将在安徽省琅琊山旅游发展有限公司（https://www.lysfjq.cn/）、滁州市城投工程咨询管理有限公司（https://www.czctgczx.com/）等网站以更正公告形式予以公布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w:t>
      </w:r>
      <w:r>
        <w:rPr>
          <w:rFonts w:hint="eastAsia" w:ascii="宋体" w:hAnsi="宋体" w:cs="宋体"/>
          <w:color w:val="auto"/>
          <w:szCs w:val="21"/>
          <w:highlight w:val="none"/>
          <w:lang w:val="en-US" w:eastAsia="zh-CN"/>
        </w:rPr>
        <w:t>在安徽省琅琊山旅游发展有限公司（https://www.lysfjq.cn/）、滁州市城投工程咨询管理有限公司（https://www.czctgczx.com/）等网站</w:t>
      </w:r>
      <w:r>
        <w:rPr>
          <w:rFonts w:hint="eastAsia" w:ascii="宋体" w:hAnsi="宋体" w:cs="宋体"/>
          <w:color w:val="auto"/>
          <w:szCs w:val="21"/>
          <w:highlight w:val="none"/>
        </w:rPr>
        <w:t>以更正公告形式</w:t>
      </w:r>
      <w:r>
        <w:rPr>
          <w:rFonts w:hint="eastAsia" w:ascii="宋体" w:hAnsi="宋体" w:cs="宋体"/>
          <w:color w:val="auto"/>
          <w:szCs w:val="21"/>
          <w:highlight w:val="none"/>
          <w:lang w:val="en-US" w:eastAsia="zh-CN"/>
        </w:rPr>
        <w:t>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9"/>
      <w:r>
        <w:rPr>
          <w:rFonts w:hint="eastAsia" w:ascii="宋体" w:hAnsi="宋体" w:cs="宋体"/>
          <w:b/>
          <w:color w:val="auto"/>
          <w:sz w:val="28"/>
          <w:szCs w:val="28"/>
          <w:highlight w:val="none"/>
        </w:rPr>
        <w:t>（三）投标文件的编制</w:t>
      </w:r>
      <w:bookmarkEnd w:id="41"/>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2" w:name="_Toc449028870"/>
      <w:r>
        <w:rPr>
          <w:rFonts w:hint="eastAsia" w:ascii="宋体" w:hAnsi="宋体" w:eastAsia="宋体" w:cs="宋体"/>
          <w:b/>
          <w:color w:val="auto"/>
          <w:sz w:val="28"/>
          <w:szCs w:val="28"/>
          <w:highlight w:val="none"/>
        </w:rPr>
        <w:t>（四）投标文件的递交</w:t>
      </w:r>
      <w:bookmarkEnd w:id="42"/>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3"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3"/>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4"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eastAsia="宋体"/>
          <w:color w:val="auto"/>
          <w:szCs w:val="21"/>
          <w:highlight w:val="none"/>
          <w:lang w:eastAsia="zh-CN"/>
        </w:rPr>
      </w:pPr>
      <w:r>
        <w:rPr>
          <w:rFonts w:hint="eastAsia" w:ascii="宋体"/>
          <w:color w:val="auto"/>
          <w:szCs w:val="21"/>
          <w:highlight w:val="none"/>
          <w:lang w:val="en-US" w:eastAsia="zh-CN"/>
        </w:rPr>
        <w:t>29</w:t>
      </w:r>
      <w:r>
        <w:rPr>
          <w:rFonts w:hint="eastAsia" w:ascii="宋体"/>
          <w:color w:val="auto"/>
          <w:szCs w:val="21"/>
          <w:highlight w:val="none"/>
        </w:rPr>
        <w:t>.9评标结果</w:t>
      </w:r>
      <w:r>
        <w:rPr>
          <w:rFonts w:hint="eastAsia" w:ascii="宋体"/>
          <w:color w:val="auto"/>
          <w:szCs w:val="21"/>
          <w:highlight w:val="none"/>
          <w:lang w:val="en-US" w:eastAsia="zh-CN"/>
        </w:rPr>
        <w:t>公示</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安徽省琅琊山旅游发展有限公司（https://www.lysfjq.cn/）、滁州市城投工程咨询管理有限公司（https://www.czctgczx.com/）等网站</w:t>
      </w:r>
      <w:r>
        <w:rPr>
          <w:rFonts w:hint="eastAsia" w:ascii="宋体"/>
          <w:color w:val="auto"/>
          <w:szCs w:val="21"/>
          <w:highlight w:val="none"/>
        </w:rPr>
        <w:t>上予以</w:t>
      </w:r>
      <w:r>
        <w:rPr>
          <w:rFonts w:hint="eastAsia" w:ascii="宋体"/>
          <w:color w:val="auto"/>
          <w:szCs w:val="21"/>
          <w:highlight w:val="none"/>
          <w:lang w:val="en-US" w:eastAsia="zh-CN"/>
        </w:rPr>
        <w:t>公示</w:t>
      </w:r>
      <w:r>
        <w:rPr>
          <w:rFonts w:hint="eastAsia" w:ascii="宋体"/>
          <w:color w:val="auto"/>
          <w:szCs w:val="21"/>
          <w:highlight w:val="none"/>
        </w:rPr>
        <w:t>，</w:t>
      </w:r>
      <w:r>
        <w:rPr>
          <w:rFonts w:hint="eastAsia" w:ascii="宋体"/>
          <w:color w:val="auto"/>
          <w:szCs w:val="21"/>
          <w:highlight w:val="none"/>
          <w:lang w:val="en-US" w:eastAsia="zh-CN"/>
        </w:rPr>
        <w:t>公示</w:t>
      </w:r>
      <w:r>
        <w:rPr>
          <w:rFonts w:hint="eastAsia" w:ascii="宋体"/>
          <w:color w:val="auto"/>
          <w:szCs w:val="21"/>
          <w:highlight w:val="none"/>
        </w:rPr>
        <w:t>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keepNext w:val="0"/>
        <w:keepLines w:val="0"/>
        <w:pageBreakBefore w:val="0"/>
        <w:widowControl w:val="0"/>
        <w:tabs>
          <w:tab w:val="left" w:pos="720"/>
        </w:tabs>
        <w:kinsoku/>
        <w:wordWrap w:val="0"/>
        <w:overflowPunct/>
        <w:topLinePunct w:val="0"/>
        <w:autoSpaceDE/>
        <w:autoSpaceDN/>
        <w:bidi w:val="0"/>
        <w:adjustRightInd/>
        <w:snapToGrid/>
        <w:spacing w:line="4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安徽省琅琊山旅游发展有限公司（https://www.lysfjq.cn/）、滁州市城投工程咨询管理有限公司（https://www.czctgczx.com/）等网站</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keepNext w:val="0"/>
        <w:keepLines w:val="0"/>
        <w:pageBreakBefore w:val="0"/>
        <w:widowControl w:val="0"/>
        <w:tabs>
          <w:tab w:val="left" w:pos="720"/>
        </w:tabs>
        <w:kinsoku/>
        <w:wordWrap w:val="0"/>
        <w:overflowPunct/>
        <w:topLinePunct w:val="0"/>
        <w:autoSpaceDE/>
        <w:autoSpaceDN/>
        <w:bidi w:val="0"/>
        <w:adjustRightInd/>
        <w:snapToGrid/>
        <w:spacing w:line="4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w:t>
      </w:r>
      <w:r>
        <w:rPr>
          <w:rFonts w:hint="eastAsia" w:ascii="宋体"/>
          <w:color w:val="auto"/>
          <w:szCs w:val="21"/>
          <w:highlight w:val="none"/>
          <w:lang w:val="en-US" w:eastAsia="zh-CN"/>
        </w:rPr>
        <w:t>安徽省琅琊山旅游发展有限公司（https://www.lysfjq.cn/）、滁州市城投工程咨询管理有限公司（https://www.czctgczx.com/）等网站</w:t>
      </w:r>
      <w:r>
        <w:rPr>
          <w:rFonts w:hint="eastAsia" w:ascii="宋体"/>
          <w:color w:val="auto"/>
          <w:szCs w:val="21"/>
          <w:highlight w:val="none"/>
        </w:rPr>
        <w:t>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4"/>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5" w:name="_Toc217446068"/>
      <w:r>
        <w:rPr>
          <w:rFonts w:hint="eastAsia" w:ascii="宋体" w:hAnsi="宋体" w:cs="宋体"/>
          <w:b/>
          <w:color w:val="auto"/>
          <w:szCs w:val="21"/>
          <w:highlight w:val="none"/>
        </w:rPr>
        <w:t>履约保证金</w:t>
      </w:r>
      <w:bookmarkEnd w:id="45"/>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6" w:name="_Toc449028874"/>
      <w:r>
        <w:rPr>
          <w:rFonts w:hint="eastAsia" w:ascii="宋体" w:hAnsi="宋体" w:eastAsia="宋体" w:cs="宋体"/>
          <w:b/>
          <w:color w:val="auto"/>
          <w:sz w:val="28"/>
          <w:szCs w:val="28"/>
          <w:highlight w:val="none"/>
        </w:rPr>
        <w:t>（七）纪律和监督</w:t>
      </w:r>
      <w:bookmarkEnd w:id="46"/>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7" w:name="_Toc449028875"/>
      <w:r>
        <w:rPr>
          <w:rFonts w:hint="eastAsia" w:ascii="宋体" w:hAnsi="宋体" w:eastAsia="宋体" w:cs="宋体"/>
          <w:b/>
          <w:color w:val="auto"/>
          <w:sz w:val="28"/>
          <w:szCs w:val="28"/>
          <w:highlight w:val="none"/>
        </w:rPr>
        <w:t>（八）</w:t>
      </w:r>
      <w:bookmarkEnd w:id="47"/>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8" w:name="_Toc16145"/>
      <w:r>
        <w:rPr>
          <w:rFonts w:hint="eastAsia" w:ascii="宋体"/>
          <w:b/>
          <w:color w:val="auto"/>
          <w:sz w:val="32"/>
          <w:szCs w:val="32"/>
          <w:highlight w:val="none"/>
        </w:rPr>
        <w:t xml:space="preserve">第三章 </w:t>
      </w:r>
      <w:r>
        <w:rPr>
          <w:rFonts w:hint="eastAsia" w:ascii="宋体"/>
          <w:b/>
          <w:color w:val="auto"/>
          <w:sz w:val="32"/>
          <w:szCs w:val="32"/>
          <w:highlight w:val="none"/>
          <w:lang w:val="en-US" w:eastAsia="zh-CN"/>
        </w:rPr>
        <w:t xml:space="preserve"> </w:t>
      </w:r>
      <w:r>
        <w:rPr>
          <w:rFonts w:hint="eastAsia" w:ascii="宋体"/>
          <w:b/>
          <w:color w:val="auto"/>
          <w:sz w:val="32"/>
          <w:szCs w:val="32"/>
          <w:highlight w:val="none"/>
        </w:rPr>
        <w:t>评标办法</w:t>
      </w:r>
      <w:bookmarkEnd w:id="48"/>
    </w:p>
    <w:p w14:paraId="77B91577">
      <w:pPr>
        <w:spacing w:before="156" w:beforeLines="50" w:after="156" w:afterLines="50" w:line="440" w:lineRule="exact"/>
        <w:jc w:val="center"/>
        <w:outlineLvl w:val="1"/>
        <w:rPr>
          <w:rFonts w:hint="eastAsia" w:ascii="宋体"/>
          <w:b/>
          <w:color w:val="auto"/>
          <w:sz w:val="28"/>
          <w:szCs w:val="28"/>
          <w:highlight w:val="none"/>
        </w:rPr>
      </w:pPr>
      <w:bookmarkStart w:id="49" w:name="_Toc58430317"/>
      <w:bookmarkStart w:id="50" w:name="_Toc449028877"/>
      <w:bookmarkStart w:id="51" w:name="_Toc27510"/>
      <w:bookmarkStart w:id="52" w:name="_Toc362983801"/>
      <w:bookmarkStart w:id="53" w:name="_Toc267320058"/>
      <w:bookmarkStart w:id="54" w:name="_Toc363135205"/>
      <w:r>
        <w:rPr>
          <w:rFonts w:hint="eastAsia" w:ascii="宋体"/>
          <w:b/>
          <w:color w:val="auto"/>
          <w:sz w:val="28"/>
          <w:szCs w:val="28"/>
          <w:highlight w:val="none"/>
        </w:rPr>
        <w:t>一、总则</w:t>
      </w:r>
      <w:bookmarkEnd w:id="49"/>
      <w:bookmarkEnd w:id="50"/>
      <w:bookmarkEnd w:id="51"/>
      <w:bookmarkEnd w:id="52"/>
    </w:p>
    <w:p w14:paraId="4DA06D06">
      <w:pPr>
        <w:spacing w:line="440" w:lineRule="exact"/>
        <w:ind w:firstLine="316" w:firstLineChars="150"/>
        <w:jc w:val="left"/>
        <w:rPr>
          <w:rFonts w:hint="eastAsia" w:ascii="宋体"/>
          <w:b/>
          <w:color w:val="auto"/>
          <w:szCs w:val="21"/>
          <w:highlight w:val="none"/>
        </w:rPr>
      </w:pPr>
      <w:bookmarkStart w:id="55" w:name="_Toc449028878"/>
      <w:bookmarkStart w:id="56" w:name="_Toc362983802"/>
      <w:bookmarkStart w:id="57" w:name="_Toc58430318"/>
      <w:r>
        <w:rPr>
          <w:rFonts w:hint="eastAsia" w:ascii="宋体"/>
          <w:b/>
          <w:color w:val="auto"/>
          <w:szCs w:val="21"/>
          <w:highlight w:val="none"/>
        </w:rPr>
        <w:t xml:space="preserve"> 1. 本次评标采用综合评</w:t>
      </w:r>
      <w:r>
        <w:rPr>
          <w:rFonts w:hint="eastAsia" w:ascii="宋体"/>
          <w:b/>
          <w:color w:val="auto"/>
          <w:szCs w:val="21"/>
          <w:highlight w:val="none"/>
          <w:lang w:val="en-US" w:eastAsia="zh-CN"/>
        </w:rPr>
        <w:t>估</w:t>
      </w:r>
      <w:r>
        <w:rPr>
          <w:rFonts w:hint="eastAsia" w:ascii="宋体"/>
          <w:b/>
          <w:color w:val="auto"/>
          <w:szCs w:val="21"/>
          <w:highlight w:val="none"/>
        </w:rPr>
        <w:t>法</w:t>
      </w:r>
    </w:p>
    <w:p w14:paraId="0594B1C6">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1.1综合评估法，评标委员会按照本章规定的评分标准进行打分，</w:t>
      </w:r>
      <w:r>
        <w:rPr>
          <w:rFonts w:hint="eastAsia" w:ascii="宋体"/>
          <w:b/>
          <w:bCs/>
          <w:color w:val="auto"/>
          <w:szCs w:val="21"/>
          <w:highlight w:val="none"/>
        </w:rPr>
        <w:t>并按总得分由高到低顺序推荐</w:t>
      </w:r>
      <w:r>
        <w:rPr>
          <w:rFonts w:hint="eastAsia" w:ascii="宋体"/>
          <w:b/>
          <w:bCs/>
          <w:color w:val="auto"/>
          <w:szCs w:val="21"/>
          <w:highlight w:val="none"/>
          <w:lang w:val="en-US" w:eastAsia="zh-CN"/>
        </w:rPr>
        <w:t>3</w:t>
      </w:r>
      <w:r>
        <w:rPr>
          <w:rFonts w:hint="eastAsia" w:ascii="宋体"/>
          <w:b/>
          <w:bCs/>
          <w:color w:val="auto"/>
          <w:szCs w:val="21"/>
          <w:highlight w:val="none"/>
        </w:rPr>
        <w:t>名中标候选人，并标明排序，但投标报价低于其成本的除外</w:t>
      </w:r>
      <w:r>
        <w:rPr>
          <w:rFonts w:hint="eastAsia" w:ascii="宋体"/>
          <w:color w:val="auto"/>
          <w:szCs w:val="21"/>
          <w:highlight w:val="none"/>
        </w:rPr>
        <w:t>。得分最高的为第一中标候选人，第二高的为第二中标候选人。</w:t>
      </w:r>
      <w:r>
        <w:rPr>
          <w:rFonts w:hint="eastAsia" w:ascii="宋体"/>
          <w:b/>
          <w:bCs/>
          <w:color w:val="auto"/>
          <w:szCs w:val="21"/>
          <w:highlight w:val="none"/>
        </w:rPr>
        <w:t>如总得分相等，以投标报价低的优先，投标报价仍相等，由评标委员会或招标人随机抽取确定排名，不得并列。</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1189376D">
      <w:pPr>
        <w:spacing w:line="440" w:lineRule="exact"/>
        <w:ind w:firstLine="422" w:firstLineChars="200"/>
        <w:jc w:val="left"/>
        <w:rPr>
          <w:rFonts w:hint="eastAsia" w:ascii="宋体"/>
          <w:color w:val="auto"/>
          <w:szCs w:val="21"/>
          <w:highlight w:val="none"/>
        </w:rPr>
      </w:pPr>
      <w:r>
        <w:rPr>
          <w:rFonts w:hint="eastAsia" w:ascii="宋体"/>
          <w:b/>
          <w:bCs/>
          <w:color w:val="auto"/>
          <w:szCs w:val="21"/>
          <w:highlight w:val="none"/>
        </w:rPr>
        <w:t>先对解密成功的投标人的联系人和联系方式、投标mac地址、址以及投标文件制作机器码、文件创建标识码是否雷同情况按招标文件要求进行核查，核查无误的投标人报价（以投标文件投标函中填写报价为准）去除高于最高限价报价后，剩余报价按计算标准计算得分并汇总，总得分按照从高到低进行排序（如总得分相等，以投标报价低的优先，投标报价仍相等，由评标委员会或招标人随机抽取确定排名，不得并列），但投标报价低于其成本的除外。对排序前</w:t>
      </w:r>
      <w:r>
        <w:rPr>
          <w:rFonts w:hint="eastAsia" w:ascii="宋体"/>
          <w:b/>
          <w:bCs/>
          <w:color w:val="auto"/>
          <w:szCs w:val="21"/>
          <w:highlight w:val="none"/>
          <w:lang w:val="en-US" w:eastAsia="zh-CN"/>
        </w:rPr>
        <w:t>3</w:t>
      </w:r>
      <w:r>
        <w:rPr>
          <w:rFonts w:hint="eastAsia" w:ascii="宋体"/>
          <w:b/>
          <w:bCs/>
          <w:color w:val="auto"/>
          <w:szCs w:val="21"/>
          <w:highlight w:val="none"/>
        </w:rPr>
        <w:t>名的投标人投标文件进行评审并确定中标候选人。若排序前</w:t>
      </w:r>
      <w:r>
        <w:rPr>
          <w:rFonts w:hint="eastAsia" w:ascii="宋体"/>
          <w:b/>
          <w:bCs/>
          <w:color w:val="auto"/>
          <w:szCs w:val="21"/>
          <w:highlight w:val="none"/>
          <w:lang w:val="en-US" w:eastAsia="zh-CN"/>
        </w:rPr>
        <w:t>3</w:t>
      </w:r>
      <w:r>
        <w:rPr>
          <w:rFonts w:hint="eastAsia" w:ascii="宋体"/>
          <w:b/>
          <w:bCs/>
          <w:color w:val="auto"/>
          <w:szCs w:val="21"/>
          <w:highlight w:val="none"/>
        </w:rPr>
        <w:t>名的投标人投标文件评审不通过，则按得分排序递补至</w:t>
      </w:r>
      <w:r>
        <w:rPr>
          <w:rFonts w:hint="eastAsia" w:ascii="宋体"/>
          <w:b/>
          <w:bCs/>
          <w:color w:val="auto"/>
          <w:szCs w:val="21"/>
          <w:highlight w:val="none"/>
          <w:lang w:val="en-US" w:eastAsia="zh-CN"/>
        </w:rPr>
        <w:t>3</w:t>
      </w:r>
      <w:r>
        <w:rPr>
          <w:rFonts w:hint="eastAsia" w:ascii="宋体"/>
          <w:b/>
          <w:bCs/>
          <w:color w:val="auto"/>
          <w:szCs w:val="21"/>
          <w:highlight w:val="none"/>
        </w:rPr>
        <w:t>家投标人进行投标文件评审。</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8" w:name="_Toc14664"/>
      <w:r>
        <w:rPr>
          <w:rFonts w:hint="eastAsia" w:ascii="宋体"/>
          <w:b/>
          <w:color w:val="auto"/>
          <w:sz w:val="28"/>
          <w:szCs w:val="28"/>
          <w:highlight w:val="none"/>
        </w:rPr>
        <w:t>二、投标文件初审</w:t>
      </w:r>
      <w:bookmarkEnd w:id="55"/>
      <w:bookmarkEnd w:id="56"/>
      <w:bookmarkEnd w:id="57"/>
      <w:bookmarkEnd w:id="58"/>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4769"/>
        <w:gridCol w:w="3091"/>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6135"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091"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4769"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3091"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4769"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w:t>
            </w:r>
          </w:p>
        </w:tc>
        <w:tc>
          <w:tcPr>
            <w:tcW w:w="3091"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投标人有效的营业执照、税务登记证、组织机构码证（或“三证合一证书”）</w:t>
            </w:r>
          </w:p>
        </w:tc>
      </w:tr>
      <w:tr w14:paraId="3BCA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continue"/>
            <w:noWrap w:val="0"/>
            <w:vAlign w:val="center"/>
          </w:tcPr>
          <w:p w14:paraId="54902A14">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715C6CA6">
            <w:pPr>
              <w:spacing w:line="440" w:lineRule="exact"/>
              <w:rPr>
                <w:rFonts w:hint="eastAsia" w:ascii="宋体" w:hAnsi="宋体" w:cs="宋体"/>
                <w:color w:val="auto"/>
                <w:szCs w:val="21"/>
                <w:highlight w:val="none"/>
              </w:rPr>
            </w:pPr>
          </w:p>
        </w:tc>
        <w:tc>
          <w:tcPr>
            <w:tcW w:w="4769" w:type="dxa"/>
            <w:shd w:val="clear" w:color="auto" w:fill="auto"/>
            <w:noWrap w:val="0"/>
            <w:vAlign w:val="center"/>
          </w:tcPr>
          <w:p w14:paraId="67A29F17">
            <w:pPr>
              <w:spacing w:line="5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3）项目负责人有效身份证及证书（若注册证书上无法体现专业的，还需另行提供证明专业的证明材料）；</w:t>
            </w:r>
          </w:p>
        </w:tc>
        <w:tc>
          <w:tcPr>
            <w:tcW w:w="3091" w:type="dxa"/>
            <w:shd w:val="clear" w:color="auto" w:fill="auto"/>
            <w:noWrap w:val="0"/>
            <w:vAlign w:val="center"/>
          </w:tcPr>
          <w:p w14:paraId="126BB631">
            <w:pPr>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03BD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704" w:type="dxa"/>
            <w:vMerge w:val="continue"/>
            <w:noWrap w:val="0"/>
            <w:vAlign w:val="center"/>
          </w:tcPr>
          <w:p w14:paraId="1EC5F97C">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41C2EDC1">
            <w:pPr>
              <w:spacing w:line="440" w:lineRule="exact"/>
              <w:rPr>
                <w:rFonts w:hint="eastAsia" w:ascii="宋体" w:hAnsi="宋体" w:cs="宋体"/>
                <w:color w:val="auto"/>
                <w:szCs w:val="21"/>
                <w:highlight w:val="none"/>
              </w:rPr>
            </w:pPr>
          </w:p>
        </w:tc>
        <w:tc>
          <w:tcPr>
            <w:tcW w:w="4769" w:type="dxa"/>
            <w:shd w:val="clear" w:color="auto" w:fill="auto"/>
            <w:noWrap w:val="0"/>
            <w:vAlign w:val="center"/>
          </w:tcPr>
          <w:p w14:paraId="3B6AD357">
            <w:pPr>
              <w:spacing w:line="500" w:lineRule="exact"/>
              <w:jc w:val="left"/>
              <w:rPr>
                <w:rFonts w:hint="eastAsia" w:ascii="宋体" w:hAnsi="宋体" w:eastAsia="宋体" w:cs="宋体-18030"/>
                <w:color w:val="auto"/>
                <w:kern w:val="2"/>
                <w:sz w:val="21"/>
                <w:szCs w:val="21"/>
                <w:highlight w:val="none"/>
                <w:lang w:val="en-US" w:eastAsia="zh-CN" w:bidi="ar-SA"/>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4）项目组人员配备表、人员有效身份证及对应证书；</w:t>
            </w:r>
          </w:p>
        </w:tc>
        <w:tc>
          <w:tcPr>
            <w:tcW w:w="3091" w:type="dxa"/>
            <w:shd w:val="clear" w:color="auto" w:fill="auto"/>
            <w:noWrap w:val="0"/>
            <w:vAlign w:val="center"/>
          </w:tcPr>
          <w:p w14:paraId="351A35D7">
            <w:pPr>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2117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704" w:type="dxa"/>
            <w:vMerge w:val="continue"/>
            <w:noWrap w:val="0"/>
            <w:vAlign w:val="center"/>
          </w:tcPr>
          <w:p w14:paraId="2A7B9C4C">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7EFCE690">
            <w:pPr>
              <w:spacing w:line="440" w:lineRule="exact"/>
              <w:rPr>
                <w:rFonts w:hint="eastAsia" w:ascii="宋体" w:hAnsi="宋体" w:cs="宋体"/>
                <w:color w:val="auto"/>
                <w:szCs w:val="21"/>
                <w:highlight w:val="none"/>
              </w:rPr>
            </w:pPr>
          </w:p>
        </w:tc>
        <w:tc>
          <w:tcPr>
            <w:tcW w:w="4769" w:type="dxa"/>
            <w:shd w:val="clear" w:color="auto" w:fill="auto"/>
            <w:noWrap w:val="0"/>
            <w:vAlign w:val="center"/>
          </w:tcPr>
          <w:p w14:paraId="01033BA2">
            <w:pPr>
              <w:spacing w:line="500" w:lineRule="exact"/>
              <w:jc w:val="left"/>
              <w:rPr>
                <w:rFonts w:hint="eastAsia" w:ascii="宋体" w:hAnsi="宋体" w:cs="宋体-18030"/>
                <w:color w:val="auto"/>
                <w:szCs w:val="21"/>
                <w:highlight w:val="none"/>
                <w:lang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lang w:eastAsia="zh-CN"/>
              </w:rPr>
              <w:t>）投标申请人的法定代表人(或委托代理人)、拟派项目负责人</w:t>
            </w:r>
            <w:r>
              <w:rPr>
                <w:rFonts w:hint="eastAsia" w:ascii="宋体" w:hAnsi="宋体" w:cs="宋体-18030"/>
                <w:color w:val="auto"/>
                <w:szCs w:val="21"/>
                <w:highlight w:val="none"/>
                <w:lang w:val="en-US" w:eastAsia="zh-CN"/>
              </w:rPr>
              <w:t>和项目组人员</w:t>
            </w:r>
            <w:r>
              <w:rPr>
                <w:rFonts w:hint="eastAsia" w:ascii="宋体" w:hAnsi="宋体" w:cs="宋体-18030"/>
                <w:color w:val="auto"/>
                <w:szCs w:val="21"/>
                <w:highlight w:val="none"/>
                <w:lang w:eastAsia="zh-CN"/>
              </w:rPr>
              <w:t>须持有社保部门出具的本单位为其缴纳的投标前近三个月中任意一个月的养老保险证明（含官网在线打印件）或投标人提供承诺已为上述人员缴纳养老保险证明的承诺书（格式自拟），证明文件两个月内有效，投标申请人是事业单位的，暂未缴纳社保的，须由其主管部门出具证明。注：社保的缴纳单位为投标人或者投标人不具备独立法人资格的分支机构。如为事业单位附属的投标人参与投标，须同时提供投标人所属事业单位为其缴纳社保的证明材料和该事业单位出具的附属证明材料</w:t>
            </w:r>
          </w:p>
        </w:tc>
        <w:tc>
          <w:tcPr>
            <w:tcW w:w="3091" w:type="dxa"/>
            <w:shd w:val="clear" w:color="auto" w:fill="auto"/>
            <w:noWrap w:val="0"/>
            <w:vAlign w:val="center"/>
          </w:tcPr>
          <w:p w14:paraId="69F0C89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检验投标文件</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F4128C5">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4769"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）诚信投标承诺书</w:t>
            </w:r>
          </w:p>
        </w:tc>
        <w:tc>
          <w:tcPr>
            <w:tcW w:w="3091"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bl>
    <w:p w14:paraId="4BC832D8">
      <w:pPr>
        <w:spacing w:line="440" w:lineRule="exact"/>
        <w:ind w:firstLine="508" w:firstLineChars="241"/>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59" w:name="_Toc362983803"/>
      <w:bookmarkStart w:id="60" w:name="_Toc449028879"/>
      <w:bookmarkStart w:id="61" w:name="_Toc58430319"/>
      <w:bookmarkStart w:id="62" w:name="_Toc26240"/>
      <w:r>
        <w:rPr>
          <w:rFonts w:hint="eastAsia" w:ascii="宋体" w:hAnsi="Times New Roman" w:eastAsia="宋体" w:cs="Times New Roman"/>
          <w:b/>
          <w:color w:val="auto"/>
          <w:sz w:val="28"/>
          <w:szCs w:val="28"/>
          <w:highlight w:val="none"/>
        </w:rPr>
        <w:t>三、投标文件的澄清和补正</w:t>
      </w:r>
      <w:bookmarkEnd w:id="59"/>
      <w:bookmarkEnd w:id="60"/>
      <w:bookmarkEnd w:id="61"/>
      <w:bookmarkEnd w:id="62"/>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3" w:name="_Toc58430320"/>
      <w:bookmarkStart w:id="64" w:name="_Toc449028880"/>
    </w:p>
    <w:p w14:paraId="4E078817">
      <w:pPr>
        <w:jc w:val="center"/>
        <w:outlineLvl w:val="1"/>
        <w:rPr>
          <w:rFonts w:hint="eastAsia" w:ascii="宋体" w:hAnsi="Times New Roman" w:eastAsia="宋体" w:cs="Times New Roman"/>
          <w:b/>
          <w:color w:val="auto"/>
          <w:sz w:val="28"/>
          <w:szCs w:val="28"/>
          <w:highlight w:val="none"/>
        </w:rPr>
      </w:pPr>
      <w:bookmarkStart w:id="65" w:name="_Toc11194"/>
      <w:r>
        <w:rPr>
          <w:rFonts w:hint="eastAsia" w:ascii="宋体" w:hAnsi="Times New Roman" w:eastAsia="宋体" w:cs="Times New Roman"/>
          <w:b/>
          <w:color w:val="auto"/>
          <w:sz w:val="28"/>
          <w:szCs w:val="28"/>
          <w:highlight w:val="none"/>
        </w:rPr>
        <w:t>四、比较与评价</w:t>
      </w:r>
      <w:bookmarkEnd w:id="63"/>
      <w:bookmarkEnd w:id="64"/>
      <w:bookmarkEnd w:id="65"/>
    </w:p>
    <w:p w14:paraId="117055AF">
      <w:pPr>
        <w:spacing w:line="440" w:lineRule="exact"/>
        <w:ind w:right="36" w:rightChars="17" w:firstLine="417" w:firstLineChars="198"/>
        <w:jc w:val="left"/>
        <w:rPr>
          <w:rFonts w:ascii="宋体" w:hAnsi="宋体" w:cs="宋体"/>
          <w:b/>
          <w:color w:val="auto"/>
          <w:szCs w:val="21"/>
          <w:highlight w:val="none"/>
        </w:rPr>
      </w:pPr>
      <w:r>
        <w:rPr>
          <w:rFonts w:hint="eastAsia" w:ascii="宋体" w:hAnsi="宋体" w:eastAsia="宋体" w:cs="宋体"/>
          <w:b/>
          <w:color w:val="auto"/>
          <w:sz w:val="21"/>
          <w:szCs w:val="21"/>
          <w:highlight w:val="none"/>
        </w:rPr>
        <w:t xml:space="preserve"> </w:t>
      </w:r>
      <w:bookmarkStart w:id="66" w:name="_Toc449028881"/>
      <w:bookmarkStart w:id="67" w:name="_Toc362983805"/>
      <w:r>
        <w:rPr>
          <w:rFonts w:hint="eastAsia" w:ascii="宋体" w:hAnsi="宋体" w:cs="宋体"/>
          <w:b/>
          <w:color w:val="auto"/>
          <w:szCs w:val="21"/>
          <w:highlight w:val="none"/>
        </w:rPr>
        <w:t>6.详细评审即按招标文件中规定的评标方法和标准，评标委员会将对通过初审的投标文件，进行综合比较与评价。</w:t>
      </w:r>
    </w:p>
    <w:tbl>
      <w:tblPr>
        <w:tblStyle w:val="35"/>
        <w:tblW w:w="9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78"/>
        <w:gridCol w:w="840"/>
        <w:gridCol w:w="6502"/>
      </w:tblGrid>
      <w:tr w14:paraId="11A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52" w:type="dxa"/>
            <w:shd w:val="clear" w:color="auto" w:fill="auto"/>
            <w:noWrap/>
            <w:vAlign w:val="center"/>
          </w:tcPr>
          <w:p w14:paraId="2984BB7B">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bookmarkStart w:id="68" w:name="_Toc58430321"/>
            <w:r>
              <w:rPr>
                <w:rFonts w:hint="eastAsia" w:ascii="宋体" w:hAnsi="宋体" w:eastAsia="宋体" w:cs="宋体"/>
                <w:b/>
                <w:bCs/>
                <w:color w:val="auto"/>
                <w:sz w:val="21"/>
                <w:szCs w:val="21"/>
                <w:highlight w:val="none"/>
              </w:rPr>
              <w:t>序号</w:t>
            </w:r>
          </w:p>
        </w:tc>
        <w:tc>
          <w:tcPr>
            <w:tcW w:w="1078" w:type="dxa"/>
            <w:shd w:val="clear" w:color="auto" w:fill="auto"/>
            <w:noWrap/>
            <w:vAlign w:val="center"/>
          </w:tcPr>
          <w:p w14:paraId="6D65D728">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840" w:type="dxa"/>
            <w:shd w:val="clear" w:color="auto" w:fill="auto"/>
            <w:noWrap/>
            <w:vAlign w:val="center"/>
          </w:tcPr>
          <w:p w14:paraId="70D6E3F2">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6502" w:type="dxa"/>
            <w:shd w:val="clear" w:color="auto" w:fill="auto"/>
            <w:noWrap/>
            <w:vAlign w:val="center"/>
          </w:tcPr>
          <w:p w14:paraId="08548695">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评审细则</w:t>
            </w:r>
          </w:p>
        </w:tc>
      </w:tr>
      <w:tr w14:paraId="3F33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752" w:type="dxa"/>
            <w:shd w:val="clear" w:color="auto" w:fill="auto"/>
            <w:noWrap/>
            <w:vAlign w:val="center"/>
          </w:tcPr>
          <w:p w14:paraId="3DDE33A7">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p>
        </w:tc>
        <w:tc>
          <w:tcPr>
            <w:tcW w:w="1078" w:type="dxa"/>
            <w:shd w:val="clear" w:color="auto" w:fill="auto"/>
            <w:noWrap/>
            <w:vAlign w:val="center"/>
          </w:tcPr>
          <w:p w14:paraId="71981CC3">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报价（费率）</w:t>
            </w:r>
          </w:p>
        </w:tc>
        <w:tc>
          <w:tcPr>
            <w:tcW w:w="840" w:type="dxa"/>
            <w:shd w:val="clear" w:color="auto" w:fill="auto"/>
            <w:noWrap/>
            <w:vAlign w:val="center"/>
          </w:tcPr>
          <w:p w14:paraId="1628F88E">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100分</w:t>
            </w:r>
          </w:p>
        </w:tc>
        <w:tc>
          <w:tcPr>
            <w:tcW w:w="6502" w:type="dxa"/>
            <w:shd w:val="clear" w:color="auto" w:fill="auto"/>
            <w:noWrap/>
            <w:vAlign w:val="center"/>
          </w:tcPr>
          <w:p w14:paraId="041CC98F">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（1）招标人设置投标报价最高限价，各投标人有效报价不得高于最高限价，否则，其投标文件按无效标处理。 </w:t>
            </w:r>
          </w:p>
          <w:p w14:paraId="03771AE5">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（2）评标基准值=所有有效投标人投标报价的算术平均值（小数点后保留两位小数，小数点后第三位四舍五入）。</w:t>
            </w:r>
          </w:p>
          <w:p w14:paraId="45A58C22">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（3）计算报价偏差率</w:t>
            </w:r>
          </w:p>
          <w:p w14:paraId="7E61D741">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①偏差率=|（投标报价-评标基准价）/评标基准价|×100%</w:t>
            </w:r>
          </w:p>
          <w:p w14:paraId="0A803E22">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（4）计算报价得分</w:t>
            </w:r>
          </w:p>
          <w:p w14:paraId="493CFE82">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①投标报价等于评标基准价的得满分。</w:t>
            </w:r>
          </w:p>
          <w:p w14:paraId="137F8793">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②投标报价高于评标基准价的，投标报价得分=报价满分值-偏差率×100×1</w:t>
            </w:r>
          </w:p>
          <w:p w14:paraId="07056B45">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③投标报价低于评标基准价的，投标报价得分=报价满分值-偏差率×100×0.5。</w:t>
            </w:r>
          </w:p>
          <w:p w14:paraId="42A3AD71">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注：计算过程中，评标基准值、偏差率、报价得分均保留两位小数，小数点后第三位四舍五入。</w:t>
            </w:r>
          </w:p>
          <w:p w14:paraId="15B7A86C">
            <w:pPr>
              <w:keepNext w:val="0"/>
              <w:keepLines w:val="0"/>
              <w:pageBreakBefore w:val="0"/>
              <w:kinsoku/>
              <w:wordWrap/>
              <w:overflowPunct/>
              <w:topLinePunct w:val="0"/>
              <w:autoSpaceDE/>
              <w:autoSpaceDN/>
              <w:bidi w:val="0"/>
              <w:adjustRightInd/>
              <w:spacing w:line="440" w:lineRule="exact"/>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本项分值由评标委员会计算。</w:t>
            </w:r>
          </w:p>
        </w:tc>
      </w:tr>
    </w:tbl>
    <w:p w14:paraId="3800892F">
      <w:pPr>
        <w:jc w:val="center"/>
        <w:outlineLvl w:val="1"/>
        <w:rPr>
          <w:rFonts w:hint="eastAsia" w:ascii="宋体" w:hAnsi="Times New Roman" w:eastAsia="宋体" w:cs="Times New Roman"/>
          <w:b/>
          <w:color w:val="auto"/>
          <w:sz w:val="28"/>
          <w:szCs w:val="28"/>
          <w:highlight w:val="none"/>
        </w:rPr>
      </w:pPr>
      <w:bookmarkStart w:id="69" w:name="_Toc663"/>
      <w:r>
        <w:rPr>
          <w:rFonts w:hint="eastAsia" w:ascii="宋体" w:hAnsi="Times New Roman" w:eastAsia="宋体" w:cs="Times New Roman"/>
          <w:b/>
          <w:color w:val="auto"/>
          <w:sz w:val="28"/>
          <w:szCs w:val="28"/>
          <w:highlight w:val="none"/>
        </w:rPr>
        <w:t>五、推荐中标候选人</w:t>
      </w:r>
      <w:bookmarkEnd w:id="66"/>
      <w:bookmarkEnd w:id="67"/>
      <w:bookmarkEnd w:id="68"/>
      <w:bookmarkEnd w:id="69"/>
    </w:p>
    <w:bookmarkEnd w:id="53"/>
    <w:p w14:paraId="2F62E0BE">
      <w:pPr>
        <w:snapToGrid w:val="0"/>
        <w:spacing w:line="44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7.评标委员会按照本章规定的评分标准进行打分，并按总得分由高到低顺序推荐</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中标候选人，并标明排序，但投标报价低于其成本的除外。得分最高的为第一中标候选人，第二高的为第二中标候选人。如总得分相等，以投标报价低的优先，投标报价仍相等，由评标委员会或招标人随机抽取确定排名，不得并列。对排序前</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名的投标人投标文件进行评审并确定中标候选人。若排序前</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名的投标人投标文件评审不通过，则按得分排序递补至</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xml:space="preserve">家投标人进行投标文件评审。 </w:t>
      </w:r>
    </w:p>
    <w:p w14:paraId="252BC8E5">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rPr>
        <w:t>7.1</w:t>
      </w:r>
      <w:r>
        <w:rPr>
          <w:rFonts w:hint="eastAsia" w:ascii="宋体" w:hAnsi="宋体" w:eastAsia="宋体" w:cs="宋体"/>
          <w:color w:val="auto"/>
          <w:szCs w:val="21"/>
          <w:highlight w:val="none"/>
        </w:rPr>
        <w:t>招标人确定排名第一的中标候选人为中标人。排名第一的中标候选人放弃中标、因不可抗力不能履行合同、不按照招标文件要求提交履约保证金，或者被查实存在影响中标结果的违法行为等情形，不符合中标条件的，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0"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3"/>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4"/>
      <w:bookmarkEnd w:id="70"/>
      <w:bookmarkStart w:id="71" w:name="_Toc58430329"/>
      <w:bookmarkStart w:id="72" w:name="_Toc449028945"/>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3" w:name="_Toc8910"/>
      <w:r>
        <w:rPr>
          <w:rFonts w:hint="eastAsia" w:ascii="宋体"/>
          <w:b/>
          <w:color w:val="auto"/>
          <w:sz w:val="32"/>
          <w:szCs w:val="32"/>
          <w:highlight w:val="none"/>
          <w:lang w:val="en-US" w:eastAsia="zh-CN"/>
        </w:rPr>
        <w:t>第四章  合同格式（参考）</w:t>
      </w:r>
      <w:bookmarkEnd w:id="73"/>
    </w:p>
    <w:p w14:paraId="167358FC">
      <w:pPr>
        <w:keepNext w:val="0"/>
        <w:keepLines w:val="0"/>
        <w:widowControl w:val="0"/>
        <w:suppressLineNumbers w:val="0"/>
        <w:spacing w:before="0" w:beforeAutospacing="0" w:after="0" w:afterAutospacing="0" w:line="360" w:lineRule="auto"/>
        <w:ind w:left="0" w:right="0"/>
        <w:jc w:val="center"/>
        <w:rPr>
          <w:rFonts w:hint="eastAsia" w:ascii="宋体" w:hAnsi="Times New Roman" w:eastAsia="宋体" w:cs="Times New Roman"/>
          <w:b/>
          <w:bCs w:val="0"/>
          <w:kern w:val="2"/>
          <w:sz w:val="52"/>
          <w:szCs w:val="52"/>
          <w:highlight w:val="none"/>
        </w:rPr>
      </w:pPr>
      <w:bookmarkStart w:id="74" w:name="_Toc331685784"/>
      <w:r>
        <w:rPr>
          <w:rFonts w:hint="eastAsia" w:ascii="宋体" w:hAnsi="宋体" w:eastAsia="宋体" w:cs="宋体"/>
          <w:b/>
          <w:bCs w:val="0"/>
          <w:kern w:val="2"/>
          <w:sz w:val="52"/>
          <w:szCs w:val="52"/>
          <w:highlight w:val="none"/>
          <w:lang w:val="en-US" w:eastAsia="zh-CN" w:bidi="ar"/>
        </w:rPr>
        <w:t>委</w:t>
      </w:r>
    </w:p>
    <w:p w14:paraId="38F3E857">
      <w:pPr>
        <w:keepNext w:val="0"/>
        <w:keepLines w:val="0"/>
        <w:widowControl w:val="0"/>
        <w:suppressLineNumbers w:val="0"/>
        <w:spacing w:before="0" w:beforeAutospacing="0" w:after="0" w:afterAutospacing="0" w:line="360" w:lineRule="auto"/>
        <w:ind w:left="0" w:right="0"/>
        <w:jc w:val="center"/>
        <w:rPr>
          <w:rFonts w:hint="eastAsia" w:ascii="宋体" w:hAnsi="Times New Roman" w:eastAsia="宋体" w:cs="Times New Roman"/>
          <w:b/>
          <w:bCs w:val="0"/>
          <w:kern w:val="2"/>
          <w:sz w:val="52"/>
          <w:szCs w:val="52"/>
          <w:highlight w:val="none"/>
        </w:rPr>
      </w:pPr>
      <w:r>
        <w:rPr>
          <w:rFonts w:hint="eastAsia" w:ascii="宋体" w:hAnsi="宋体" w:eastAsia="宋体" w:cs="宋体"/>
          <w:b/>
          <w:bCs w:val="0"/>
          <w:kern w:val="2"/>
          <w:sz w:val="52"/>
          <w:szCs w:val="52"/>
          <w:highlight w:val="none"/>
          <w:lang w:val="en-US" w:eastAsia="zh-CN" w:bidi="ar"/>
        </w:rPr>
        <w:t>托</w:t>
      </w:r>
    </w:p>
    <w:p w14:paraId="05234428">
      <w:pPr>
        <w:keepNext w:val="0"/>
        <w:keepLines w:val="0"/>
        <w:widowControl w:val="0"/>
        <w:suppressLineNumbers w:val="0"/>
        <w:spacing w:before="0" w:beforeAutospacing="0" w:after="0" w:afterAutospacing="0" w:line="360" w:lineRule="auto"/>
        <w:ind w:left="0" w:right="0"/>
        <w:jc w:val="center"/>
        <w:rPr>
          <w:rFonts w:hint="eastAsia" w:ascii="宋体" w:hAnsi="Times New Roman" w:eastAsia="宋体" w:cs="Times New Roman"/>
          <w:b/>
          <w:bCs w:val="0"/>
          <w:kern w:val="2"/>
          <w:sz w:val="52"/>
          <w:szCs w:val="52"/>
          <w:highlight w:val="none"/>
        </w:rPr>
      </w:pPr>
      <w:r>
        <w:rPr>
          <w:rFonts w:hint="eastAsia" w:ascii="宋体" w:hAnsi="宋体" w:eastAsia="宋体" w:cs="宋体"/>
          <w:b/>
          <w:bCs w:val="0"/>
          <w:kern w:val="2"/>
          <w:sz w:val="52"/>
          <w:szCs w:val="52"/>
          <w:highlight w:val="none"/>
          <w:lang w:val="en-US" w:eastAsia="zh-CN" w:bidi="ar"/>
        </w:rPr>
        <w:t>协</w:t>
      </w:r>
    </w:p>
    <w:p w14:paraId="4DEB4BFE">
      <w:pPr>
        <w:keepNext w:val="0"/>
        <w:keepLines w:val="0"/>
        <w:widowControl w:val="0"/>
        <w:suppressLineNumbers w:val="0"/>
        <w:spacing w:before="0" w:beforeAutospacing="0" w:after="0" w:afterAutospacing="0" w:line="360" w:lineRule="auto"/>
        <w:ind w:left="0" w:right="0"/>
        <w:jc w:val="center"/>
        <w:rPr>
          <w:rFonts w:hint="eastAsia" w:ascii="宋体" w:hAnsi="Times New Roman" w:eastAsia="宋体" w:cs="Times New Roman"/>
          <w:b/>
          <w:bCs w:val="0"/>
          <w:kern w:val="2"/>
          <w:sz w:val="52"/>
          <w:szCs w:val="52"/>
          <w:highlight w:val="none"/>
        </w:rPr>
      </w:pPr>
      <w:r>
        <w:rPr>
          <w:rFonts w:hint="eastAsia" w:ascii="宋体" w:hAnsi="宋体" w:eastAsia="宋体" w:cs="宋体"/>
          <w:b/>
          <w:bCs w:val="0"/>
          <w:kern w:val="2"/>
          <w:sz w:val="52"/>
          <w:szCs w:val="52"/>
          <w:highlight w:val="none"/>
          <w:lang w:val="en-US" w:eastAsia="zh-CN" w:bidi="ar"/>
        </w:rPr>
        <w:t>议</w:t>
      </w:r>
    </w:p>
    <w:p w14:paraId="79150F4B">
      <w:pPr>
        <w:keepNext w:val="0"/>
        <w:keepLines w:val="0"/>
        <w:widowControl w:val="0"/>
        <w:suppressLineNumbers w:val="0"/>
        <w:spacing w:before="0" w:beforeAutospacing="0" w:after="0" w:afterAutospacing="0"/>
        <w:ind w:left="0" w:right="0"/>
        <w:jc w:val="center"/>
        <w:rPr>
          <w:rFonts w:hint="default" w:ascii="Times New Roman" w:hAnsi="Times New Roman" w:eastAsia="华文中宋" w:cs="Times New Roman"/>
          <w:b/>
          <w:bCs w:val="0"/>
          <w:kern w:val="2"/>
          <w:sz w:val="52"/>
          <w:szCs w:val="52"/>
          <w:highlight w:val="none"/>
        </w:rPr>
      </w:pPr>
      <w:r>
        <w:rPr>
          <w:rFonts w:hint="default" w:ascii="Times New Roman" w:hAnsi="Times New Roman" w:eastAsia="华文中宋" w:cs="Times New Roman"/>
          <w:b/>
          <w:bCs w:val="0"/>
          <w:kern w:val="2"/>
          <w:sz w:val="52"/>
          <w:szCs w:val="52"/>
          <w:highlight w:val="none"/>
          <w:lang w:val="en-US" w:eastAsia="zh-CN" w:bidi="ar"/>
        </w:rPr>
        <w:t xml:space="preserve"> </w:t>
      </w:r>
    </w:p>
    <w:p w14:paraId="59440C5B">
      <w:pPr>
        <w:keepNext w:val="0"/>
        <w:keepLines w:val="0"/>
        <w:widowControl w:val="0"/>
        <w:suppressLineNumbers w:val="0"/>
        <w:spacing w:before="0" w:beforeAutospacing="0" w:after="0" w:afterAutospacing="0" w:line="240" w:lineRule="exact"/>
        <w:ind w:left="0" w:right="0"/>
        <w:jc w:val="both"/>
        <w:rPr>
          <w:rFonts w:hint="default" w:ascii="Times New Roman" w:hAnsi="Times New Roman" w:eastAsia="楷体_GB2312" w:cs="Times New Roman"/>
          <w:b/>
          <w:bCs w:val="0"/>
          <w:kern w:val="2"/>
          <w:sz w:val="72"/>
          <w:szCs w:val="72"/>
          <w:highlight w:val="none"/>
        </w:rPr>
      </w:pPr>
      <w:r>
        <w:rPr>
          <w:rFonts w:hint="default" w:ascii="Times New Roman" w:hAnsi="Times New Roman" w:eastAsia="楷体_GB2312" w:cs="Times New Roman"/>
          <w:b/>
          <w:bCs w:val="0"/>
          <w:kern w:val="2"/>
          <w:sz w:val="72"/>
          <w:szCs w:val="72"/>
          <w:highlight w:val="none"/>
          <w:lang w:val="en-US" w:eastAsia="zh-CN" w:bidi="ar"/>
        </w:rPr>
        <w:t xml:space="preserve"> </w:t>
      </w:r>
    </w:p>
    <w:p w14:paraId="3DCEF9C4">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楷体_GB2312" w:cs="Times New Roman"/>
          <w:b/>
          <w:bCs w:val="0"/>
          <w:kern w:val="2"/>
          <w:sz w:val="72"/>
          <w:szCs w:val="72"/>
          <w:highlight w:val="none"/>
        </w:rPr>
      </w:pPr>
      <w:r>
        <w:rPr>
          <w:rFonts w:hint="default" w:ascii="Times New Roman" w:hAnsi="Times New Roman" w:eastAsia="楷体_GB2312" w:cs="Times New Roman"/>
          <w:b/>
          <w:bCs w:val="0"/>
          <w:kern w:val="2"/>
          <w:sz w:val="72"/>
          <w:szCs w:val="72"/>
          <w:highlight w:val="none"/>
          <w:lang w:val="en-US" w:eastAsia="zh-CN" w:bidi="ar"/>
        </w:rPr>
        <w:t xml:space="preserve"> </w:t>
      </w:r>
    </w:p>
    <w:p w14:paraId="13E3926C">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楷体_GB2312" w:cs="Times New Roman"/>
          <w:b/>
          <w:bCs w:val="0"/>
          <w:kern w:val="2"/>
          <w:sz w:val="72"/>
          <w:szCs w:val="72"/>
          <w:highlight w:val="none"/>
        </w:rPr>
      </w:pPr>
      <w:r>
        <w:rPr>
          <w:rFonts w:hint="default" w:ascii="Times New Roman" w:hAnsi="Times New Roman" w:eastAsia="楷体_GB2312" w:cs="Times New Roman"/>
          <w:b/>
          <w:bCs w:val="0"/>
          <w:kern w:val="2"/>
          <w:sz w:val="72"/>
          <w:szCs w:val="72"/>
          <w:highlight w:val="none"/>
          <w:lang w:val="en-US" w:eastAsia="zh-CN" w:bidi="ar"/>
        </w:rPr>
        <w:t xml:space="preserve"> </w:t>
      </w:r>
    </w:p>
    <w:p w14:paraId="45F6F208">
      <w:pPr>
        <w:keepNext w:val="0"/>
        <w:keepLines w:val="0"/>
        <w:widowControl w:val="0"/>
        <w:suppressLineNumbers w:val="0"/>
        <w:spacing w:before="0" w:beforeAutospacing="0" w:after="0" w:afterAutospacing="0" w:line="800" w:lineRule="exact"/>
        <w:ind w:left="0" w:right="0" w:firstLine="944" w:firstLineChars="295"/>
        <w:jc w:val="both"/>
        <w:rPr>
          <w:rFonts w:hint="eastAsia" w:ascii="宋体" w:hAnsi="Times New Roman" w:eastAsia="宋体" w:cs="Times New Roman"/>
          <w:kern w:val="2"/>
          <w:sz w:val="32"/>
          <w:szCs w:val="32"/>
          <w:highlight w:val="none"/>
          <w:u w:val="single"/>
        </w:rPr>
      </w:pPr>
      <w:r>
        <w:rPr>
          <w:rFonts w:hint="eastAsia" w:ascii="仿宋_GB2312" w:hAnsi="宋体" w:eastAsia="仿宋_GB2312" w:cs="仿宋_GB2312"/>
          <w:kern w:val="2"/>
          <w:sz w:val="32"/>
          <w:szCs w:val="32"/>
          <w:highlight w:val="none"/>
          <w:lang w:val="en-US" w:eastAsia="zh-CN" w:bidi="ar"/>
        </w:rPr>
        <w:t>合同编号：</w:t>
      </w:r>
      <w:r>
        <w:rPr>
          <w:rFonts w:hint="eastAsia" w:ascii="宋体" w:hAnsi="宋体" w:eastAsia="宋体" w:cs="Times New Roman"/>
          <w:kern w:val="2"/>
          <w:sz w:val="32"/>
          <w:szCs w:val="32"/>
          <w:highlight w:val="none"/>
          <w:u w:val="single"/>
          <w:lang w:val="en-US" w:eastAsia="zh-CN" w:bidi="ar"/>
        </w:rPr>
        <w:t xml:space="preserve">                                </w:t>
      </w:r>
    </w:p>
    <w:p w14:paraId="60F1E232">
      <w:pPr>
        <w:pStyle w:val="29"/>
        <w:keepNext w:val="0"/>
        <w:keepLines w:val="0"/>
        <w:widowControl w:val="0"/>
        <w:suppressLineNumbers w:val="0"/>
        <w:spacing w:before="0" w:beforeAutospacing="0" w:after="0" w:afterAutospacing="0" w:line="800" w:lineRule="exact"/>
        <w:ind w:left="0" w:leftChars="0" w:right="0" w:firstLine="960" w:firstLineChars="300"/>
        <w:jc w:val="left"/>
        <w:rPr>
          <w:rFonts w:hint="eastAsia" w:ascii="宋体" w:hAnsi="宋体" w:eastAsia="仿宋_GB2312" w:cs="仿宋_GB2312"/>
          <w:spacing w:val="-20"/>
          <w:kern w:val="2"/>
          <w:sz w:val="32"/>
          <w:szCs w:val="32"/>
          <w:highlight w:val="none"/>
          <w:u w:val="single"/>
        </w:rPr>
      </w:pPr>
      <w:r>
        <w:rPr>
          <w:rFonts w:hint="eastAsia" w:ascii="仿宋_GB2312" w:hAnsi="宋体" w:eastAsia="仿宋_GB2312" w:cs="仿宋_GB2312"/>
          <w:kern w:val="2"/>
          <w:sz w:val="32"/>
          <w:szCs w:val="32"/>
          <w:highlight w:val="none"/>
          <w:lang w:val="en-US" w:eastAsia="zh-CN" w:bidi="ar"/>
        </w:rPr>
        <w:t>工程名称：</w:t>
      </w:r>
      <w:r>
        <w:rPr>
          <w:rFonts w:hint="eastAsia" w:ascii="宋体" w:hAnsi="宋体" w:eastAsia="仿宋_GB2312" w:cs="Times New Roman"/>
          <w:kern w:val="2"/>
          <w:sz w:val="32"/>
          <w:szCs w:val="32"/>
          <w:highlight w:val="none"/>
          <w:u w:val="single"/>
          <w:lang w:val="en-US" w:eastAsia="zh-CN" w:bidi="ar"/>
        </w:rPr>
        <w:t xml:space="preserve">    </w:t>
      </w:r>
      <w:r>
        <w:rPr>
          <w:rFonts w:hint="eastAsia" w:ascii="宋体" w:hAnsi="宋体" w:eastAsia="仿宋_GB2312" w:cs="Times New Roman"/>
          <w:spacing w:val="-20"/>
          <w:kern w:val="2"/>
          <w:sz w:val="32"/>
          <w:szCs w:val="32"/>
          <w:highlight w:val="none"/>
          <w:u w:val="single"/>
          <w:lang w:val="en-US" w:eastAsia="zh-CN" w:bidi="ar"/>
        </w:rPr>
        <w:t xml:space="preserve"> </w:t>
      </w:r>
      <w:r>
        <w:rPr>
          <w:rFonts w:hint="eastAsia" w:ascii="宋体" w:hAnsi="宋体" w:eastAsia="仿宋_GB2312" w:cs="仿宋_GB2312"/>
          <w:spacing w:val="-20"/>
          <w:kern w:val="2"/>
          <w:sz w:val="32"/>
          <w:szCs w:val="32"/>
          <w:highlight w:val="none"/>
          <w:u w:val="single"/>
          <w:lang w:val="en-US" w:eastAsia="zh-CN" w:bidi="ar"/>
        </w:rPr>
        <w:t xml:space="preserve">        </w:t>
      </w:r>
    </w:p>
    <w:p w14:paraId="7AF9A490">
      <w:pPr>
        <w:pStyle w:val="29"/>
        <w:keepNext w:val="0"/>
        <w:keepLines w:val="0"/>
        <w:widowControl w:val="0"/>
        <w:suppressLineNumbers w:val="0"/>
        <w:spacing w:before="0" w:beforeAutospacing="0" w:after="0" w:afterAutospacing="0" w:line="800" w:lineRule="exact"/>
        <w:ind w:left="0" w:leftChars="0" w:right="0" w:firstLine="944" w:firstLineChars="295"/>
        <w:jc w:val="both"/>
        <w:rPr>
          <w:rFonts w:hint="eastAsia" w:ascii="宋体" w:hAnsi="Times New Roman" w:eastAsia="仿宋_GB2312" w:cs="仿宋_GB2312"/>
          <w:kern w:val="2"/>
          <w:sz w:val="32"/>
          <w:szCs w:val="32"/>
          <w:highlight w:val="none"/>
        </w:rPr>
      </w:pPr>
      <w:r>
        <w:rPr>
          <w:rFonts w:hint="eastAsia" w:ascii="仿宋_GB2312" w:hAnsi="宋体" w:eastAsia="仿宋_GB2312" w:cs="仿宋_GB2312"/>
          <w:kern w:val="2"/>
          <w:sz w:val="32"/>
          <w:szCs w:val="32"/>
          <w:highlight w:val="none"/>
          <w:lang w:val="en-US" w:eastAsia="zh-CN" w:bidi="ar"/>
        </w:rPr>
        <w:t>项目地点：</w:t>
      </w:r>
      <w:r>
        <w:rPr>
          <w:rFonts w:hint="eastAsia" w:ascii="宋体" w:hAnsi="宋体" w:eastAsia="仿宋_GB2312" w:cs="仿宋_GB2312"/>
          <w:kern w:val="2"/>
          <w:sz w:val="32"/>
          <w:szCs w:val="32"/>
          <w:highlight w:val="none"/>
          <w:u w:val="single"/>
          <w:lang w:val="en-US" w:eastAsia="zh-CN" w:bidi="ar"/>
        </w:rPr>
        <w:t xml:space="preserve"> </w:t>
      </w:r>
      <w:r>
        <w:rPr>
          <w:rFonts w:hint="eastAsia" w:ascii="宋体" w:hAnsi="宋体" w:eastAsia="仿宋_GB2312" w:cs="仿宋_GB2312"/>
          <w:kern w:val="2"/>
          <w:sz w:val="32"/>
          <w:szCs w:val="32"/>
          <w:highlight w:val="none"/>
          <w:lang w:val="en-US" w:eastAsia="zh-CN" w:bidi="ar"/>
        </w:rPr>
        <w:t xml:space="preserve">               </w:t>
      </w:r>
      <w:r>
        <w:rPr>
          <w:rFonts w:hint="eastAsia" w:ascii="宋体" w:hAnsi="宋体" w:eastAsia="仿宋_GB2312" w:cs="仿宋_GB2312"/>
          <w:kern w:val="2"/>
          <w:sz w:val="32"/>
          <w:szCs w:val="32"/>
          <w:highlight w:val="none"/>
          <w:u w:val="single"/>
          <w:lang w:val="en-US" w:eastAsia="zh-CN" w:bidi="ar"/>
        </w:rPr>
        <w:t xml:space="preserve">        </w:t>
      </w:r>
    </w:p>
    <w:p w14:paraId="248C9D5A">
      <w:pPr>
        <w:pStyle w:val="29"/>
        <w:keepNext w:val="0"/>
        <w:keepLines w:val="0"/>
        <w:widowControl w:val="0"/>
        <w:suppressLineNumbers w:val="0"/>
        <w:spacing w:before="0" w:beforeAutospacing="0" w:after="0" w:afterAutospacing="0" w:line="800" w:lineRule="exact"/>
        <w:ind w:left="0" w:leftChars="0" w:right="0" w:firstLine="944" w:firstLineChars="295"/>
        <w:jc w:val="both"/>
        <w:rPr>
          <w:rFonts w:hint="eastAsia" w:ascii="宋体" w:hAnsi="Times New Roman" w:eastAsia="仿宋_GB2312" w:cs="仿宋_GB2312"/>
          <w:kern w:val="2"/>
          <w:sz w:val="32"/>
          <w:szCs w:val="32"/>
          <w:highlight w:val="none"/>
        </w:rPr>
      </w:pPr>
      <w:r>
        <w:rPr>
          <w:rFonts w:hint="eastAsia" w:ascii="仿宋_GB2312" w:hAnsi="宋体" w:eastAsia="仿宋_GB2312" w:cs="仿宋_GB2312"/>
          <w:kern w:val="2"/>
          <w:sz w:val="32"/>
          <w:szCs w:val="32"/>
          <w:highlight w:val="none"/>
          <w:lang w:val="en-US" w:eastAsia="zh-CN" w:bidi="ar"/>
        </w:rPr>
        <w:t>签订时间：</w:t>
      </w:r>
      <w:r>
        <w:rPr>
          <w:rFonts w:hint="eastAsia" w:ascii="宋体" w:hAnsi="宋体" w:eastAsia="仿宋_GB2312" w:cs="仿宋_GB2312"/>
          <w:kern w:val="2"/>
          <w:sz w:val="32"/>
          <w:szCs w:val="32"/>
          <w:highlight w:val="none"/>
          <w:u w:val="single"/>
          <w:lang w:val="en-US" w:eastAsia="zh-CN" w:bidi="ar"/>
        </w:rPr>
        <w:t xml:space="preserve"> </w:t>
      </w:r>
      <w:r>
        <w:rPr>
          <w:rFonts w:hint="eastAsia" w:ascii="宋体" w:hAnsi="宋体" w:eastAsia="宋体" w:cs="宋体"/>
          <w:kern w:val="2"/>
          <w:sz w:val="32"/>
          <w:szCs w:val="32"/>
          <w:highlight w:val="none"/>
          <w:u w:val="single"/>
          <w:lang w:val="en-US" w:eastAsia="zh-CN" w:bidi="ar"/>
        </w:rPr>
        <w:t>2026</w:t>
      </w:r>
      <w:r>
        <w:rPr>
          <w:rFonts w:hint="eastAsia" w:ascii="仿宋_GB2312" w:hAnsi="宋体" w:eastAsia="仿宋_GB2312" w:cs="仿宋_GB2312"/>
          <w:kern w:val="2"/>
          <w:sz w:val="32"/>
          <w:szCs w:val="32"/>
          <w:highlight w:val="none"/>
          <w:lang w:val="en-US" w:eastAsia="zh-CN" w:bidi="ar"/>
        </w:rPr>
        <w:t>年</w:t>
      </w:r>
      <w:r>
        <w:rPr>
          <w:rFonts w:hint="eastAsia" w:ascii="宋体" w:hAnsi="宋体" w:eastAsia="仿宋_GB2312" w:cs="仿宋_GB2312"/>
          <w:kern w:val="2"/>
          <w:sz w:val="32"/>
          <w:szCs w:val="32"/>
          <w:highlight w:val="none"/>
          <w:u w:val="single"/>
          <w:lang w:val="en-US" w:eastAsia="zh-CN" w:bidi="ar"/>
        </w:rPr>
        <w:t xml:space="preserve">       </w:t>
      </w:r>
      <w:r>
        <w:rPr>
          <w:rFonts w:hint="eastAsia" w:ascii="仿宋_GB2312" w:hAnsi="宋体" w:eastAsia="仿宋_GB2312" w:cs="仿宋_GB2312"/>
          <w:kern w:val="2"/>
          <w:sz w:val="32"/>
          <w:szCs w:val="32"/>
          <w:highlight w:val="none"/>
          <w:lang w:val="en-US" w:eastAsia="zh-CN" w:bidi="ar"/>
        </w:rPr>
        <w:t>月</w:t>
      </w:r>
      <w:r>
        <w:rPr>
          <w:rFonts w:hint="eastAsia" w:ascii="宋体" w:hAnsi="宋体" w:eastAsia="仿宋_GB2312" w:cs="仿宋_GB2312"/>
          <w:kern w:val="2"/>
          <w:sz w:val="32"/>
          <w:szCs w:val="32"/>
          <w:highlight w:val="none"/>
          <w:u w:val="single"/>
          <w:lang w:val="en-US" w:eastAsia="zh-CN" w:bidi="ar"/>
        </w:rPr>
        <w:t xml:space="preserve">      </w:t>
      </w:r>
      <w:r>
        <w:rPr>
          <w:rFonts w:hint="eastAsia" w:ascii="仿宋_GB2312" w:hAnsi="宋体" w:eastAsia="仿宋_GB2312" w:cs="仿宋_GB2312"/>
          <w:kern w:val="2"/>
          <w:sz w:val="32"/>
          <w:szCs w:val="32"/>
          <w:highlight w:val="none"/>
          <w:lang w:val="en-US" w:eastAsia="zh-CN" w:bidi="ar"/>
        </w:rPr>
        <w:t>日</w:t>
      </w:r>
    </w:p>
    <w:p w14:paraId="3648C582">
      <w:pPr>
        <w:keepNext w:val="0"/>
        <w:keepLines w:val="0"/>
        <w:widowControl w:val="0"/>
        <w:suppressLineNumbers w:val="0"/>
        <w:spacing w:before="0" w:beforeAutospacing="0" w:after="0" w:afterAutospacing="0"/>
        <w:ind w:left="0" w:right="0"/>
        <w:jc w:val="center"/>
        <w:rPr>
          <w:rFonts w:hint="default" w:ascii="Times New Roman" w:hAnsi="Times New Roman" w:eastAsia="黑体" w:cs="Times New Roman"/>
          <w:kern w:val="2"/>
          <w:sz w:val="52"/>
          <w:szCs w:val="52"/>
          <w:highlight w:val="none"/>
        </w:rPr>
      </w:pPr>
      <w:r>
        <w:rPr>
          <w:rFonts w:hint="default" w:ascii="Times New Roman" w:hAnsi="Times New Roman" w:eastAsia="黑体" w:cs="Times New Roman"/>
          <w:kern w:val="2"/>
          <w:sz w:val="52"/>
          <w:szCs w:val="52"/>
          <w:highlight w:val="none"/>
          <w:lang w:val="en-US" w:eastAsia="zh-CN" w:bidi="ar"/>
        </w:rPr>
        <w:t xml:space="preserve"> </w:t>
      </w:r>
    </w:p>
    <w:p w14:paraId="734F727C">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黑体" w:cs="Times New Roman"/>
          <w:kern w:val="2"/>
          <w:sz w:val="52"/>
          <w:szCs w:val="52"/>
          <w:highlight w:val="none"/>
        </w:rPr>
      </w:pPr>
      <w:r>
        <w:rPr>
          <w:rFonts w:hint="default" w:ascii="Times New Roman" w:hAnsi="Times New Roman" w:eastAsia="黑体" w:cs="Times New Roman"/>
          <w:kern w:val="2"/>
          <w:sz w:val="52"/>
          <w:szCs w:val="52"/>
          <w:highlight w:val="none"/>
          <w:lang w:val="en-US" w:eastAsia="zh-CN" w:bidi="ar"/>
        </w:rPr>
        <w:t xml:space="preserve"> </w:t>
      </w:r>
    </w:p>
    <w:p w14:paraId="2EFDCE09">
      <w:pPr>
        <w:keepNext w:val="0"/>
        <w:keepLines w:val="0"/>
        <w:widowControl w:val="0"/>
        <w:suppressLineNumbers w:val="0"/>
        <w:spacing w:before="0" w:beforeAutospacing="0" w:after="0" w:afterAutospacing="0" w:line="360" w:lineRule="auto"/>
        <w:ind w:left="0" w:right="0" w:firstLine="2100" w:firstLineChars="1000"/>
        <w:jc w:val="both"/>
        <w:rPr>
          <w:highlight w:val="none"/>
        </w:rPr>
      </w:pPr>
      <w:r>
        <w:rPr>
          <w:rFonts w:hint="default" w:ascii="Times New Roman" w:hAnsi="Times New Roman" w:eastAsia="宋体" w:cs="Times New Roman"/>
          <w:kern w:val="2"/>
          <w:sz w:val="21"/>
          <w:szCs w:val="21"/>
          <w:highlight w:val="none"/>
          <w:lang w:val="en-US" w:eastAsia="zh-CN" w:bidi="ar"/>
        </w:rPr>
        <w:drawing>
          <wp:inline distT="0" distB="0" distL="114300" distR="114300">
            <wp:extent cx="723900" cy="4572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5"/>
                    <a:stretch>
                      <a:fillRect/>
                    </a:stretch>
                  </pic:blipFill>
                  <pic:spPr>
                    <a:xfrm>
                      <a:off x="0" y="0"/>
                      <a:ext cx="723900" cy="457200"/>
                    </a:xfrm>
                    <a:prstGeom prst="rect">
                      <a:avLst/>
                    </a:prstGeom>
                    <a:noFill/>
                    <a:ln w="9525">
                      <a:noFill/>
                    </a:ln>
                  </pic:spPr>
                </pic:pic>
              </a:graphicData>
            </a:graphic>
          </wp:inline>
        </w:drawing>
      </w:r>
    </w:p>
    <w:p w14:paraId="39830F8B">
      <w:pPr>
        <w:spacing w:line="360" w:lineRule="auto"/>
        <w:rPr>
          <w:rFonts w:hint="eastAsia" w:ascii="华文中宋" w:hAnsi="华文中宋" w:eastAsia="华文中宋" w:cs="Times New Roman"/>
          <w:spacing w:val="20"/>
          <w:kern w:val="2"/>
          <w:sz w:val="32"/>
          <w:szCs w:val="32"/>
          <w:highlight w:val="none"/>
        </w:rPr>
        <w:sectPr>
          <w:footerReference r:id="rId9" w:type="default"/>
          <w:pgSz w:w="11906" w:h="16838"/>
          <w:pgMar w:top="1418" w:right="1028" w:bottom="1418" w:left="998" w:header="851" w:footer="907" w:gutter="0"/>
          <w:pgNumType w:fmt="decimal"/>
          <w:cols w:space="720" w:num="1"/>
          <w:docGrid w:type="lines" w:linePitch="312" w:charSpace="0"/>
        </w:sectPr>
      </w:pPr>
    </w:p>
    <w:p w14:paraId="5790D118">
      <w:pPr>
        <w:keepNext w:val="0"/>
        <w:keepLines w:val="0"/>
        <w:widowControl w:val="0"/>
        <w:suppressLineNumbers w:val="0"/>
        <w:adjustRightInd w:val="0"/>
        <w:snapToGrid w:val="0"/>
        <w:spacing w:before="0" w:beforeAutospacing="0" w:after="0" w:afterAutospacing="0" w:line="440" w:lineRule="exact"/>
        <w:ind w:left="0" w:right="0"/>
        <w:jc w:val="center"/>
        <w:rPr>
          <w:rFonts w:hint="eastAsia" w:ascii="宋体" w:hAnsi="Times New Roman" w:eastAsia="宋体" w:cs="宋体"/>
          <w:b/>
          <w:bCs w:val="0"/>
          <w:kern w:val="0"/>
          <w:sz w:val="28"/>
          <w:szCs w:val="28"/>
          <w:highlight w:val="none"/>
        </w:rPr>
      </w:pPr>
      <w:r>
        <w:rPr>
          <w:rFonts w:hint="eastAsia" w:ascii="宋体" w:hAnsi="宋体" w:cs="宋体"/>
          <w:b/>
          <w:bCs w:val="0"/>
          <w:kern w:val="0"/>
          <w:sz w:val="28"/>
          <w:szCs w:val="28"/>
          <w:highlight w:val="none"/>
          <w:lang w:val="en-US" w:eastAsia="zh-CN" w:bidi="ar"/>
        </w:rPr>
        <w:t>北门游客中心“六一书苑”场馆提升项目审计</w:t>
      </w:r>
      <w:r>
        <w:rPr>
          <w:rFonts w:hint="eastAsia" w:ascii="宋体" w:hAnsi="宋体" w:eastAsia="宋体" w:cs="宋体"/>
          <w:b/>
          <w:bCs w:val="0"/>
          <w:kern w:val="0"/>
          <w:sz w:val="28"/>
          <w:szCs w:val="28"/>
          <w:highlight w:val="none"/>
          <w:lang w:val="en-US" w:eastAsia="zh-CN" w:bidi="ar"/>
        </w:rPr>
        <w:t>委托协议</w:t>
      </w:r>
    </w:p>
    <w:p w14:paraId="0E18BB66">
      <w:pPr>
        <w:keepNext w:val="0"/>
        <w:keepLines w:val="0"/>
        <w:widowControl w:val="0"/>
        <w:suppressLineNumbers w:val="0"/>
        <w:autoSpaceDE w:val="0"/>
        <w:autoSpaceDN/>
        <w:adjustRightInd w:val="0"/>
        <w:snapToGrid w:val="0"/>
        <w:spacing w:before="0" w:beforeAutospacing="0" w:after="0" w:afterAutospacing="0" w:line="312" w:lineRule="auto"/>
        <w:ind w:left="0" w:right="0"/>
        <w:jc w:val="both"/>
        <w:rPr>
          <w:rFonts w:hint="eastAsia" w:ascii="宋体" w:hAnsi="Times New Roman" w:eastAsia="宋体" w:cs="宋体"/>
          <w:kern w:val="0"/>
          <w:sz w:val="24"/>
          <w:szCs w:val="24"/>
          <w:highlight w:val="none"/>
        </w:rPr>
      </w:pPr>
      <w:r>
        <w:rPr>
          <w:rFonts w:hint="eastAsia" w:ascii="宋体" w:hAnsi="Times New Roman" w:eastAsia="宋体" w:cs="宋体"/>
          <w:kern w:val="0"/>
          <w:sz w:val="24"/>
          <w:szCs w:val="24"/>
          <w:highlight w:val="none"/>
          <w:lang w:val="en-US" w:eastAsia="zh-CN" w:bidi="ar"/>
        </w:rPr>
        <w:t xml:space="preserve"> </w:t>
      </w:r>
    </w:p>
    <w:p w14:paraId="3BE19E27">
      <w:pPr>
        <w:keepNext w:val="0"/>
        <w:keepLines w:val="0"/>
        <w:widowControl w:val="0"/>
        <w:suppressLineNumbers w:val="0"/>
        <w:autoSpaceDE w:val="0"/>
        <w:autoSpaceDN/>
        <w:adjustRightInd w:val="0"/>
        <w:snapToGrid w:val="0"/>
        <w:spacing w:before="0" w:beforeAutospacing="0" w:after="0" w:afterAutospacing="0" w:line="500" w:lineRule="exact"/>
        <w:ind w:left="0" w:right="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委托方（甲方）：</w:t>
      </w:r>
      <w:r>
        <w:rPr>
          <w:rFonts w:hint="eastAsia" w:ascii="宋体" w:hAnsi="Times New Roman" w:eastAsia="宋体" w:cs="宋体"/>
          <w:kern w:val="0"/>
          <w:sz w:val="21"/>
          <w:szCs w:val="21"/>
          <w:highlight w:val="none"/>
          <w:u w:val="single"/>
          <w:lang w:val="en-US" w:eastAsia="zh-CN" w:bidi="ar"/>
        </w:rPr>
        <w:t xml:space="preserve">                      </w:t>
      </w:r>
    </w:p>
    <w:p w14:paraId="68900B60">
      <w:pPr>
        <w:keepNext w:val="0"/>
        <w:keepLines w:val="0"/>
        <w:widowControl w:val="0"/>
        <w:suppressLineNumbers w:val="0"/>
        <w:autoSpaceDE w:val="0"/>
        <w:autoSpaceDN/>
        <w:adjustRightInd w:val="0"/>
        <w:snapToGrid w:val="0"/>
        <w:spacing w:before="0" w:beforeAutospacing="0" w:after="0" w:afterAutospacing="0" w:line="500" w:lineRule="exact"/>
        <w:ind w:left="0" w:right="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受托方（乙方）：</w:t>
      </w:r>
      <w:r>
        <w:rPr>
          <w:rFonts w:hint="eastAsia" w:ascii="宋体" w:hAnsi="Times New Roman" w:eastAsia="宋体" w:cs="宋体"/>
          <w:kern w:val="0"/>
          <w:sz w:val="21"/>
          <w:szCs w:val="21"/>
          <w:highlight w:val="none"/>
          <w:u w:val="single"/>
          <w:lang w:val="en-US" w:eastAsia="zh-CN" w:bidi="ar"/>
        </w:rPr>
        <w:t xml:space="preserve">                      </w:t>
      </w:r>
    </w:p>
    <w:p w14:paraId="3FF9245A">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为保证滁州市政府投资项目审计工作质量和效率，依据《中华人民共和国审计法》、《中华人民共和国民法典》、《滁州市政府投资项目管理暂行办法》、《滁州市政府投资建设项目审计监督办法》等有关法律法规，甲、乙双方经协商一致，自愿签订本协议。</w:t>
      </w:r>
    </w:p>
    <w:p w14:paraId="7B4EEC3A">
      <w:pPr>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both"/>
        <w:rPr>
          <w:rFonts w:hint="eastAsia" w:ascii="宋体" w:hAnsi="Times New Roman"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一、跟踪（结算）审计项目</w:t>
      </w:r>
    </w:p>
    <w:p w14:paraId="194AC8DD">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1.项目名称：</w:t>
      </w:r>
      <w:r>
        <w:rPr>
          <w:rFonts w:hint="eastAsia" w:ascii="宋体" w:hAnsi="宋体" w:cs="宋体"/>
          <w:kern w:val="0"/>
          <w:sz w:val="21"/>
          <w:szCs w:val="21"/>
          <w:highlight w:val="none"/>
          <w:lang w:val="en-US" w:eastAsia="zh-CN" w:bidi="ar"/>
        </w:rPr>
        <w:t>北门游客中心“六一书苑”场馆提升项目审计</w:t>
      </w:r>
    </w:p>
    <w:p w14:paraId="3588FF33">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2.项目投资额：</w:t>
      </w:r>
      <w:r>
        <w:rPr>
          <w:rFonts w:hint="eastAsia" w:ascii="宋体" w:hAnsi="宋体" w:cs="宋体"/>
          <w:kern w:val="2"/>
          <w:sz w:val="21"/>
          <w:szCs w:val="21"/>
          <w:highlight w:val="none"/>
          <w:lang w:val="en-US" w:eastAsia="zh-CN" w:bidi="ar"/>
        </w:rPr>
        <w:t>北门游客中心“六一书苑”场馆提升项目</w:t>
      </w:r>
      <w:r>
        <w:rPr>
          <w:rFonts w:hint="eastAsia" w:ascii="宋体" w:hAnsi="宋体" w:eastAsia="宋体" w:cs="宋体"/>
          <w:kern w:val="2"/>
          <w:sz w:val="21"/>
          <w:szCs w:val="21"/>
          <w:highlight w:val="none"/>
          <w:lang w:val="en-US" w:eastAsia="zh-CN" w:bidi="ar"/>
        </w:rPr>
        <w:t>，投资金额约</w:t>
      </w:r>
      <w:r>
        <w:rPr>
          <w:rFonts w:hint="eastAsia" w:ascii="宋体" w:hAnsi="宋体" w:cs="宋体"/>
          <w:kern w:val="2"/>
          <w:sz w:val="21"/>
          <w:szCs w:val="21"/>
          <w:highlight w:val="none"/>
          <w:lang w:val="en-US" w:eastAsia="zh-CN" w:bidi="ar"/>
        </w:rPr>
        <w:t>190万元</w:t>
      </w:r>
      <w:r>
        <w:rPr>
          <w:rFonts w:hint="eastAsia" w:ascii="宋体" w:hAnsi="宋体" w:eastAsia="宋体" w:cs="宋体"/>
          <w:kern w:val="2"/>
          <w:sz w:val="21"/>
          <w:szCs w:val="21"/>
          <w:highlight w:val="none"/>
          <w:lang w:val="en-US" w:eastAsia="zh-CN" w:bidi="ar"/>
        </w:rPr>
        <w:t>（具体以实际发生为准），跟踪审计服务费约</w:t>
      </w:r>
      <w:r>
        <w:rPr>
          <w:rFonts w:hint="eastAsia" w:ascii="宋体" w:hAnsi="宋体" w:cs="宋体"/>
          <w:kern w:val="2"/>
          <w:sz w:val="21"/>
          <w:szCs w:val="21"/>
          <w:highlight w:val="none"/>
          <w:lang w:val="en-US" w:eastAsia="zh-CN" w:bidi="ar"/>
        </w:rPr>
        <w:t>1万元</w:t>
      </w:r>
      <w:r>
        <w:rPr>
          <w:rFonts w:hint="eastAsia" w:ascii="宋体" w:hAnsi="宋体" w:eastAsia="宋体" w:cs="宋体"/>
          <w:kern w:val="0"/>
          <w:sz w:val="21"/>
          <w:szCs w:val="21"/>
          <w:highlight w:val="none"/>
          <w:lang w:val="en-US" w:eastAsia="zh-CN" w:bidi="ar"/>
        </w:rPr>
        <w:t>。</w:t>
      </w:r>
    </w:p>
    <w:p w14:paraId="5F3EFE9A">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宋体"/>
          <w:kern w:val="0"/>
          <w:sz w:val="21"/>
          <w:szCs w:val="21"/>
          <w:highlight w:val="none"/>
        </w:rPr>
      </w:pPr>
      <w:r>
        <w:rPr>
          <w:rFonts w:hint="eastAsia" w:ascii="宋体" w:hAnsi="宋体" w:eastAsia="宋体" w:cs="宋体"/>
          <w:kern w:val="0"/>
          <w:sz w:val="21"/>
          <w:szCs w:val="21"/>
          <w:highlight w:val="none"/>
          <w:lang w:val="en-US" w:eastAsia="zh-CN" w:bidi="ar"/>
        </w:rPr>
        <w:t>3.委托内容：跟踪审计</w:t>
      </w:r>
    </w:p>
    <w:p w14:paraId="1AA27B75">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（1）成立项目跟踪（结算）审计组，编制跟踪（结算）审计实施方案，确定投资控制目标、重点环节及应对措施；</w:t>
      </w:r>
      <w:r>
        <w:rPr>
          <w:rFonts w:hint="eastAsia" w:ascii="宋体" w:hAnsi="Times New Roman" w:eastAsia="宋体" w:cs="Times New Roman"/>
          <w:kern w:val="2"/>
          <w:sz w:val="21"/>
          <w:szCs w:val="21"/>
          <w:highlight w:val="none"/>
          <w:lang w:val="en-US" w:eastAsia="zh-CN" w:bidi="ar"/>
        </w:rPr>
        <w:t xml:space="preserve"> </w:t>
      </w:r>
    </w:p>
    <w:p w14:paraId="0AC5BCAA">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（2）审核项目前期资料（图纸、工程量清单及控制价、招标投标文件、施工合同等），向甲方提交审核结果；</w:t>
      </w:r>
    </w:p>
    <w:p w14:paraId="16C56C85">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（3）对承包方上报的请款期已完成合格工程量的计量、计价进行审核，并提供按工程形象进度付款的意见、建议；</w:t>
      </w:r>
    </w:p>
    <w:p w14:paraId="7384B11A">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（4）及时核定分阶段完工的项目分部、分项工程价款结算，项目竣工后，及时提交完整的竣工结算审核报告；</w:t>
      </w:r>
    </w:p>
    <w:p w14:paraId="4902E366">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（5）协助甲方及时审核设计变更、经济签证等发生的费用，超过一定限额的，提请甲方履行报批程序；</w:t>
      </w:r>
    </w:p>
    <w:p w14:paraId="6CA4931A">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（6）项目承、发包方发生工程价款结算争议时，为甲方提供咨询意见；</w:t>
      </w:r>
    </w:p>
    <w:p w14:paraId="7CF9DA3B">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（7）参与项目建设管理的有关会议，对项目投资控制的有关事项发表独立审计意见；</w:t>
      </w:r>
      <w:r>
        <w:rPr>
          <w:rFonts w:hint="eastAsia" w:ascii="宋体" w:hAnsi="Times New Roman" w:eastAsia="宋体" w:cs="Times New Roman"/>
          <w:kern w:val="2"/>
          <w:sz w:val="21"/>
          <w:szCs w:val="21"/>
          <w:highlight w:val="none"/>
          <w:lang w:val="en-US" w:eastAsia="zh-CN" w:bidi="ar"/>
        </w:rPr>
        <w:t xml:space="preserve"> </w:t>
      </w:r>
    </w:p>
    <w:p w14:paraId="79020D26">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（8）其他与项目投资控制相关的工作。</w:t>
      </w:r>
    </w:p>
    <w:p w14:paraId="7D6C3ED8">
      <w:pPr>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both"/>
        <w:rPr>
          <w:rFonts w:hint="eastAsia" w:ascii="宋体" w:hAnsi="Times New Roman" w:eastAsia="宋体" w:cs="Times New Roman"/>
          <w:kern w:val="2"/>
          <w:sz w:val="24"/>
          <w:szCs w:val="24"/>
          <w:highlight w:val="none"/>
        </w:rPr>
      </w:pPr>
      <w:r>
        <w:rPr>
          <w:rFonts w:hint="eastAsia" w:ascii="宋体" w:hAnsi="宋体" w:eastAsia="宋体" w:cs="宋体"/>
          <w:b/>
          <w:bCs/>
          <w:kern w:val="0"/>
          <w:sz w:val="24"/>
          <w:szCs w:val="24"/>
          <w:highlight w:val="none"/>
          <w:lang w:val="en-US" w:eastAsia="zh-CN" w:bidi="ar"/>
        </w:rPr>
        <w:t>二、项目跟踪（结算）审计制度及相关要求</w:t>
      </w:r>
    </w:p>
    <w:p w14:paraId="227468E6">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1.滁州市政府投资项目审计“八不准制度”；</w:t>
      </w:r>
    </w:p>
    <w:p w14:paraId="1464CA70">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2.滁州市政府投资项目竣工结算审计结果备案制度；</w:t>
      </w:r>
    </w:p>
    <w:p w14:paraId="2752E1AC">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3.滁州市建设项目施工阶段全过程造价控制管理暂行办法；</w:t>
      </w:r>
    </w:p>
    <w:p w14:paraId="30A892C8">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4.实行定期、分段报告制度。乙方应及时提交项目前期资料审核结果、跟踪（结算）审计月报、竣工结算审核报告；</w:t>
      </w:r>
    </w:p>
    <w:p w14:paraId="2CB00661">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5.加强对项目变更事项的合理性、经济性审核。对涉及工程造价的重大事项须及时书面报告甲方，否则项目竣工结算不予审核备案，由此造成的后果由乙方承担；</w:t>
      </w:r>
    </w:p>
    <w:p w14:paraId="34FF5E9C">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6.协助甲方完成项目投资控制的各项工作，接受甲方的项目现场管理。</w:t>
      </w:r>
    </w:p>
    <w:p w14:paraId="29EFDC81">
      <w:pPr>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both"/>
        <w:rPr>
          <w:rFonts w:hint="eastAsia" w:ascii="宋体" w:hAnsi="Times New Roman" w:eastAsia="宋体" w:cs="Times New Roman"/>
          <w:kern w:val="2"/>
          <w:sz w:val="24"/>
          <w:szCs w:val="24"/>
          <w:highlight w:val="none"/>
        </w:rPr>
      </w:pPr>
      <w:r>
        <w:rPr>
          <w:rFonts w:hint="eastAsia" w:ascii="宋体" w:hAnsi="宋体" w:eastAsia="宋体" w:cs="宋体"/>
          <w:b/>
          <w:bCs/>
          <w:kern w:val="0"/>
          <w:sz w:val="24"/>
          <w:szCs w:val="24"/>
          <w:highlight w:val="none"/>
          <w:lang w:val="en-US" w:eastAsia="zh-CN" w:bidi="ar"/>
        </w:rPr>
        <w:t>三、项目跟踪（结算）审计组及人员配备要求</w:t>
      </w:r>
    </w:p>
    <w:p w14:paraId="36410E87">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1.乙方须成立项目跟踪（结算）审计组，配备相应数量具有相关专业执业资质的审计人员（须为备选库入库人员）。本项目审计组负责人为</w:t>
      </w:r>
      <w:r>
        <w:rPr>
          <w:rFonts w:hint="eastAsia" w:ascii="宋体" w:hAnsi="宋体" w:eastAsia="宋体" w:cs="宋体"/>
          <w:kern w:val="2"/>
          <w:sz w:val="21"/>
          <w:szCs w:val="21"/>
          <w:highlight w:val="none"/>
          <w:u w:val="single"/>
          <w:lang w:val="en-US" w:eastAsia="zh-CN" w:bidi="ar"/>
        </w:rPr>
        <w:t>姓名、注册造价师证书号、联系电话</w:t>
      </w:r>
      <w:r>
        <w:rPr>
          <w:rFonts w:hint="eastAsia" w:ascii="宋体" w:hAnsi="宋体" w:eastAsia="宋体" w:cs="宋体"/>
          <w:kern w:val="2"/>
          <w:sz w:val="21"/>
          <w:szCs w:val="21"/>
          <w:highlight w:val="none"/>
          <w:lang w:val="en-US" w:eastAsia="zh-CN" w:bidi="ar"/>
        </w:rPr>
        <w:t>，成员为</w:t>
      </w:r>
      <w:r>
        <w:rPr>
          <w:rFonts w:hint="eastAsia" w:ascii="宋体" w:hAnsi="宋体" w:eastAsia="宋体" w:cs="宋体"/>
          <w:kern w:val="2"/>
          <w:sz w:val="21"/>
          <w:szCs w:val="21"/>
          <w:highlight w:val="none"/>
          <w:u w:val="single"/>
          <w:lang w:val="en-US" w:eastAsia="zh-CN" w:bidi="ar"/>
        </w:rPr>
        <w:t>姓名、造价师证书号、联系电话（现场负责人）</w:t>
      </w:r>
      <w:r>
        <w:rPr>
          <w:rFonts w:hint="eastAsia" w:ascii="宋体" w:hAnsi="宋体" w:eastAsia="宋体" w:cs="宋体"/>
          <w:kern w:val="2"/>
          <w:sz w:val="21"/>
          <w:szCs w:val="21"/>
          <w:highlight w:val="none"/>
          <w:lang w:val="en-US" w:eastAsia="zh-CN" w:bidi="ar"/>
        </w:rPr>
        <w:t>；</w:t>
      </w:r>
    </w:p>
    <w:p w14:paraId="5447618C">
      <w:pPr>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both"/>
        <w:rPr>
          <w:rFonts w:hint="eastAsia" w:ascii="宋体"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2.项目审计人员须服从甲方的工作安排，未经甲方许可，乙方不得随意更换、调整审计组人员。</w:t>
      </w:r>
    </w:p>
    <w:p w14:paraId="2DB27A04">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宋体" w:eastAsia="宋体" w:cs="Times New Roman"/>
          <w:kern w:val="2"/>
          <w:sz w:val="24"/>
          <w:szCs w:val="24"/>
          <w:highlight w:val="none"/>
        </w:rPr>
      </w:pPr>
      <w:r>
        <w:rPr>
          <w:rFonts w:hint="eastAsia" w:ascii="宋体" w:hAnsi="宋体" w:eastAsia="宋体" w:cs="宋体"/>
          <w:b/>
          <w:bCs/>
          <w:kern w:val="0"/>
          <w:sz w:val="24"/>
          <w:szCs w:val="24"/>
          <w:highlight w:val="none"/>
          <w:lang w:val="en-US" w:eastAsia="zh-CN" w:bidi="ar"/>
        </w:rPr>
        <w:t>四、项目跟踪（结算）审计质量要求</w:t>
      </w:r>
    </w:p>
    <w:p w14:paraId="47DF04D8">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招标人对协审机构出具的项目竣工结算审核报告进行抽查或复审，审查结果误差按以下办法处理：</w:t>
      </w:r>
    </w:p>
    <w:p w14:paraId="436537B5">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（一）审查结果误差率在2%以内（含），协审机构可按照委托协议约定收取审计服务费用；</w:t>
      </w:r>
    </w:p>
    <w:p w14:paraId="5A7B424E">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（二）审查结果误差在2%-3%（含）之间，审计服务费用扣除15%；</w:t>
      </w:r>
    </w:p>
    <w:p w14:paraId="19663353">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（三）审查结果误差在3%-4%（含）之间，审计服务费用扣除30%；</w:t>
      </w:r>
    </w:p>
    <w:p w14:paraId="6C37124A">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（四）工程造价审查结果误差超过4%的项目, 全额扣除该项目审计服务费用，同时，对工程造价1000（含）-5000万元以上审查结果误差超过4%项目的协审机构，停止委托审计业务半年，对工程造价5000万元以上（含）审查结果误差超过4%项目的协审机构，停止委托审计业务一年。</w:t>
      </w:r>
    </w:p>
    <w:p w14:paraId="12A84AD0">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Times New Roman"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五、项目跟踪（结算）审计服务费用标准及结算方式</w:t>
      </w:r>
    </w:p>
    <w:p w14:paraId="4A9BE13D">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（一）项目跟踪（结算）审计基本费率</w:t>
      </w:r>
      <w:r>
        <w:rPr>
          <w:rFonts w:hint="eastAsia" w:cs="宋体"/>
          <w:kern w:val="2"/>
          <w:sz w:val="21"/>
          <w:szCs w:val="21"/>
          <w:highlight w:val="none"/>
          <w:lang w:val="en-US" w:eastAsia="zh-CN" w:bidi="ar"/>
        </w:rPr>
        <w:t>为</w:t>
      </w:r>
      <w:r>
        <w:rPr>
          <w:rFonts w:hint="eastAsia" w:cs="Times New Roman"/>
          <w:kern w:val="2"/>
          <w:sz w:val="21"/>
          <w:szCs w:val="21"/>
          <w:highlight w:val="none"/>
          <w:u w:val="single"/>
          <w:lang w:val="en-US" w:eastAsia="zh-CN" w:bidi="ar"/>
        </w:rPr>
        <w:t>3</w:t>
      </w:r>
      <w:r>
        <w:rPr>
          <w:rFonts w:hint="eastAsia" w:ascii="宋体" w:hAnsi="宋体" w:eastAsia="宋体" w:cs="宋体"/>
          <w:kern w:val="2"/>
          <w:sz w:val="21"/>
          <w:szCs w:val="21"/>
          <w:highlight w:val="none"/>
          <w:lang w:val="en-US" w:eastAsia="zh-CN" w:bidi="ar"/>
        </w:rPr>
        <w:t>‰、审核成果费率</w:t>
      </w:r>
      <w:r>
        <w:rPr>
          <w:rFonts w:hint="eastAsia" w:cs="宋体"/>
          <w:kern w:val="2"/>
          <w:sz w:val="21"/>
          <w:szCs w:val="21"/>
          <w:highlight w:val="none"/>
          <w:lang w:val="en-US" w:eastAsia="zh-CN" w:bidi="ar"/>
        </w:rPr>
        <w:t>为</w:t>
      </w:r>
      <w:r>
        <w:rPr>
          <w:rFonts w:hint="eastAsia" w:ascii="宋体" w:hAnsi="宋体" w:eastAsia="宋体" w:cs="宋体"/>
          <w:kern w:val="2"/>
          <w:sz w:val="21"/>
          <w:szCs w:val="21"/>
          <w:highlight w:val="none"/>
          <w:u w:val="single"/>
          <w:lang w:val="en-US" w:eastAsia="zh-CN" w:bidi="ar"/>
        </w:rPr>
        <w:t>1.5</w:t>
      </w:r>
      <w:r>
        <w:rPr>
          <w:rFonts w:hint="eastAsia" w:ascii="宋体" w:hAnsi="宋体" w:eastAsia="宋体" w:cs="宋体"/>
          <w:kern w:val="2"/>
          <w:sz w:val="21"/>
          <w:szCs w:val="21"/>
          <w:highlight w:val="none"/>
          <w:lang w:val="en-US" w:eastAsia="zh-CN" w:bidi="ar"/>
        </w:rPr>
        <w:t>%</w:t>
      </w:r>
      <w:r>
        <w:rPr>
          <w:rFonts w:hint="eastAsia" w:cs="宋体"/>
          <w:kern w:val="2"/>
          <w:sz w:val="21"/>
          <w:szCs w:val="21"/>
          <w:highlight w:val="none"/>
          <w:lang w:val="en-US" w:eastAsia="zh-CN" w:bidi="ar"/>
        </w:rPr>
        <w:t>，</w:t>
      </w:r>
      <w:r>
        <w:rPr>
          <w:rFonts w:hint="eastAsia" w:cs="宋体"/>
          <w:color w:val="0000FF"/>
          <w:kern w:val="2"/>
          <w:sz w:val="21"/>
          <w:szCs w:val="21"/>
          <w:highlight w:val="none"/>
          <w:lang w:val="en-US" w:eastAsia="zh-CN" w:bidi="ar"/>
        </w:rPr>
        <w:t>中标费率为</w:t>
      </w:r>
      <w:r>
        <w:rPr>
          <w:rFonts w:hint="eastAsia" w:ascii="宋体" w:hAnsi="宋体" w:eastAsia="宋体" w:cs="宋体"/>
          <w:color w:val="0000FF"/>
          <w:kern w:val="2"/>
          <w:sz w:val="21"/>
          <w:szCs w:val="21"/>
          <w:highlight w:val="none"/>
          <w:lang w:val="en-US" w:eastAsia="zh-CN" w:bidi="ar"/>
        </w:rPr>
        <w:t>：</w:t>
      </w:r>
      <w:r>
        <w:rPr>
          <w:rFonts w:hint="eastAsia" w:cs="宋体"/>
          <w:color w:val="0000FF"/>
          <w:kern w:val="2"/>
          <w:sz w:val="21"/>
          <w:szCs w:val="21"/>
          <w:highlight w:val="none"/>
          <w:u w:val="single"/>
          <w:lang w:val="en-US" w:eastAsia="zh-CN" w:bidi="ar"/>
        </w:rPr>
        <w:t xml:space="preserve">     </w:t>
      </w:r>
      <w:r>
        <w:rPr>
          <w:rFonts w:hint="eastAsia" w:cs="宋体"/>
          <w:color w:val="0000FF"/>
          <w:kern w:val="2"/>
          <w:sz w:val="21"/>
          <w:szCs w:val="21"/>
          <w:highlight w:val="none"/>
          <w:lang w:val="en-US" w:eastAsia="zh-CN" w:bidi="ar"/>
        </w:rPr>
        <w:t>%</w:t>
      </w:r>
      <w:r>
        <w:rPr>
          <w:rFonts w:hint="eastAsia" w:ascii="宋体" w:hAnsi="宋体" w:eastAsia="宋体" w:cs="宋体"/>
          <w:color w:val="0000FF"/>
          <w:kern w:val="2"/>
          <w:sz w:val="21"/>
          <w:szCs w:val="21"/>
          <w:highlight w:val="none"/>
          <w:lang w:val="en-US" w:eastAsia="zh-CN" w:bidi="ar"/>
        </w:rPr>
        <w:t>。</w:t>
      </w:r>
    </w:p>
    <w:p w14:paraId="30A30DF8">
      <w:pPr>
        <w:keepNext w:val="0"/>
        <w:keepLines w:val="0"/>
        <w:widowControl w:val="0"/>
        <w:suppressLineNumbers w:val="0"/>
        <w:autoSpaceDE w:val="0"/>
        <w:autoSpaceDN/>
        <w:spacing w:before="0" w:beforeAutospacing="0" w:after="0" w:afterAutospacing="0" w:line="500" w:lineRule="exact"/>
        <w:ind w:left="0" w:leftChars="0" w:right="0"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注：1. 服务费计算方式为：（基本费+审核成果费）×中标费率。其中，跟踪审计服务基本费计算基数为审定金额；审核成果费计算基数为独立核减金额。</w:t>
      </w:r>
    </w:p>
    <w:p w14:paraId="7F4678C6">
      <w:pPr>
        <w:keepNext w:val="0"/>
        <w:keepLines w:val="0"/>
        <w:widowControl w:val="0"/>
        <w:suppressLineNumbers w:val="0"/>
        <w:autoSpaceDE w:val="0"/>
        <w:autoSpaceDN/>
        <w:spacing w:before="0" w:beforeAutospacing="0" w:after="0" w:afterAutospacing="0" w:line="500" w:lineRule="exact"/>
        <w:ind w:left="0" w:right="0"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2.工程造价审减率超过</w:t>
      </w:r>
      <w:r>
        <w:rPr>
          <w:rFonts w:hint="eastAsia" w:ascii="宋体" w:hAnsi="宋体" w:eastAsia="宋体" w:cs="宋体"/>
          <w:b/>
          <w:bCs/>
          <w:kern w:val="2"/>
          <w:sz w:val="21"/>
          <w:szCs w:val="21"/>
          <w:highlight w:val="none"/>
          <w:lang w:val="en-US" w:eastAsia="zh-CN" w:bidi="ar"/>
        </w:rPr>
        <w:t>5%</w:t>
      </w:r>
      <w:r>
        <w:rPr>
          <w:rFonts w:hint="eastAsia" w:ascii="宋体" w:hAnsi="宋体" w:eastAsia="宋体" w:cs="宋体"/>
          <w:kern w:val="2"/>
          <w:sz w:val="21"/>
          <w:szCs w:val="21"/>
          <w:highlight w:val="none"/>
          <w:lang w:val="en-US" w:eastAsia="zh-CN" w:bidi="ar"/>
        </w:rPr>
        <w:t>时，将对施工单位进行处罚，处罚金额为审减率超出</w:t>
      </w:r>
      <w:r>
        <w:rPr>
          <w:rFonts w:hint="eastAsia" w:ascii="宋体" w:hAnsi="宋体" w:eastAsia="宋体" w:cs="宋体"/>
          <w:b/>
          <w:bCs/>
          <w:kern w:val="2"/>
          <w:sz w:val="21"/>
          <w:szCs w:val="21"/>
          <w:highlight w:val="none"/>
          <w:lang w:val="en-US" w:eastAsia="zh-CN" w:bidi="ar"/>
        </w:rPr>
        <w:t>5%</w:t>
      </w:r>
      <w:r>
        <w:rPr>
          <w:rFonts w:hint="eastAsia" w:ascii="宋体" w:hAnsi="宋体" w:eastAsia="宋体" w:cs="宋体"/>
          <w:kern w:val="2"/>
          <w:sz w:val="21"/>
          <w:szCs w:val="21"/>
          <w:highlight w:val="none"/>
          <w:lang w:val="en-US" w:eastAsia="zh-CN" w:bidi="ar"/>
        </w:rPr>
        <w:t>以上的报送金额的</w:t>
      </w:r>
      <w:r>
        <w:rPr>
          <w:rFonts w:hint="eastAsia" w:ascii="宋体" w:hAnsi="宋体" w:eastAsia="宋体" w:cs="宋体"/>
          <w:b/>
          <w:bCs/>
          <w:kern w:val="2"/>
          <w:sz w:val="21"/>
          <w:szCs w:val="21"/>
          <w:highlight w:val="none"/>
          <w:lang w:val="en-US" w:eastAsia="zh-CN" w:bidi="ar"/>
        </w:rPr>
        <w:t>5%</w:t>
      </w:r>
      <w:r>
        <w:rPr>
          <w:rFonts w:hint="eastAsia" w:ascii="宋体" w:hAnsi="宋体" w:eastAsia="宋体" w:cs="宋体"/>
          <w:kern w:val="2"/>
          <w:sz w:val="21"/>
          <w:szCs w:val="21"/>
          <w:highlight w:val="none"/>
          <w:lang w:val="en-US" w:eastAsia="zh-CN" w:bidi="ar"/>
        </w:rPr>
        <w:t>,</w:t>
      </w:r>
      <w:r>
        <w:rPr>
          <w:rFonts w:hint="eastAsia" w:ascii="宋体" w:hAnsi="宋体" w:eastAsia="宋体" w:cs="宋体"/>
          <w:b w:val="0"/>
          <w:bCs w:val="0"/>
          <w:kern w:val="2"/>
          <w:sz w:val="21"/>
          <w:szCs w:val="21"/>
          <w:highlight w:val="none"/>
          <w:lang w:val="en-US" w:eastAsia="zh-CN" w:bidi="ar"/>
        </w:rPr>
        <w:t>由招标人落实处罚。</w:t>
      </w:r>
    </w:p>
    <w:p w14:paraId="248CF638">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（二）项目跟踪（结算）审计费用结算方式</w:t>
      </w:r>
    </w:p>
    <w:p w14:paraId="3E765A49">
      <w:pPr>
        <w:pStyle w:val="29"/>
        <w:keepNext w:val="0"/>
        <w:keepLines w:val="0"/>
        <w:widowControl w:val="0"/>
        <w:suppressLineNumbers w:val="0"/>
        <w:autoSpaceDE w:val="0"/>
        <w:autoSpaceDN/>
        <w:snapToGrid w:val="0"/>
        <w:spacing w:before="0" w:beforeAutospacing="0" w:after="0" w:afterAutospacing="0" w:line="500" w:lineRule="exact"/>
        <w:ind w:left="0" w:right="0" w:firstLine="422" w:firstLineChars="200"/>
        <w:jc w:val="left"/>
        <w:rPr>
          <w:rFonts w:hint="eastAsia" w:ascii="宋体" w:hAnsi="宋体" w:eastAsia="宋体" w:cs="Times New Roman"/>
          <w:b/>
          <w:bCs/>
          <w:kern w:val="2"/>
          <w:sz w:val="21"/>
          <w:szCs w:val="21"/>
          <w:highlight w:val="none"/>
        </w:rPr>
      </w:pPr>
      <w:r>
        <w:rPr>
          <w:rFonts w:hint="eastAsia" w:ascii="宋体" w:hAnsi="宋体" w:eastAsia="宋体" w:cs="宋体"/>
          <w:b/>
          <w:bCs/>
          <w:kern w:val="2"/>
          <w:sz w:val="21"/>
          <w:szCs w:val="21"/>
          <w:highlight w:val="none"/>
          <w:lang w:val="en-US" w:eastAsia="zh-CN" w:bidi="ar"/>
        </w:rPr>
        <w:t>付款方式：</w:t>
      </w:r>
      <w:r>
        <w:rPr>
          <w:rFonts w:hint="eastAsia" w:ascii="宋体" w:hAnsi="宋体" w:eastAsia="宋体" w:cs="宋体"/>
          <w:b/>
          <w:bCs/>
          <w:kern w:val="0"/>
          <w:sz w:val="21"/>
          <w:szCs w:val="21"/>
          <w:highlight w:val="none"/>
          <w:lang w:val="en-US" w:eastAsia="zh-CN" w:bidi="ar"/>
        </w:rPr>
        <w:t>工程竣工验收合格并审计结算完成后一次性付清</w:t>
      </w:r>
      <w:r>
        <w:rPr>
          <w:rFonts w:hint="eastAsia" w:ascii="宋体" w:hAnsi="宋体" w:eastAsia="宋体" w:cs="宋体"/>
          <w:b/>
          <w:bCs/>
          <w:kern w:val="2"/>
          <w:sz w:val="21"/>
          <w:szCs w:val="21"/>
          <w:highlight w:val="none"/>
          <w:lang w:val="en-US" w:eastAsia="zh-CN" w:bidi="ar"/>
        </w:rPr>
        <w:t>。</w:t>
      </w:r>
    </w:p>
    <w:p w14:paraId="47A4AAB5">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Times New Roman"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六、审计质量、时限及过程管理要求</w:t>
      </w:r>
    </w:p>
    <w:p w14:paraId="74B578EA">
      <w:pPr>
        <w:keepNext w:val="0"/>
        <w:keepLines w:val="0"/>
        <w:widowControl w:val="0"/>
        <w:suppressLineNumbers w:val="0"/>
        <w:autoSpaceDE w:val="0"/>
        <w:autoSpaceDN/>
        <w:spacing w:before="0" w:beforeAutospacing="0" w:after="0" w:afterAutospacing="0" w:line="500" w:lineRule="exact"/>
        <w:ind w:left="0" w:right="0" w:firstLine="420" w:firstLineChars="200"/>
        <w:jc w:val="left"/>
        <w:rPr>
          <w:rFonts w:hint="eastAsia" w:ascii="Times New Roman" w:hAnsi="Times New Roman"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跟踪审计机构应及时认真地分析阅读工程量清单及控制价、招投标文件、合同（协议）、施工图纸、设计变更、技术签证等相关文件资料，在施工现场勘察测量和了解实际情况并做好记录。跟踪审计机构应根据建设单位、监理单位、施工单位提供的有关资料在招标人规定的工作日内完成审核工作，不得无故拖延时间</w:t>
      </w:r>
      <w:r>
        <w:rPr>
          <w:rFonts w:hint="eastAsia" w:ascii="宋体" w:hAnsi="宋体" w:eastAsia="宋体" w:cs="宋体"/>
          <w:kern w:val="2"/>
          <w:sz w:val="21"/>
          <w:szCs w:val="21"/>
          <w:highlight w:val="none"/>
        </w:rPr>
        <w:t>。</w:t>
      </w:r>
    </w:p>
    <w:p w14:paraId="1B5BA6A1">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宋体" w:eastAsia="宋体" w:cs="Times New Roman"/>
          <w:b/>
          <w:bCs/>
          <w:kern w:val="2"/>
          <w:sz w:val="24"/>
          <w:szCs w:val="24"/>
          <w:highlight w:val="none"/>
        </w:rPr>
      </w:pPr>
      <w:r>
        <w:rPr>
          <w:rFonts w:hint="eastAsia" w:ascii="宋体" w:hAnsi="宋体" w:eastAsia="宋体" w:cs="宋体"/>
          <w:b/>
          <w:bCs/>
          <w:kern w:val="2"/>
          <w:sz w:val="24"/>
          <w:szCs w:val="24"/>
          <w:highlight w:val="none"/>
          <w:lang w:val="en-US" w:eastAsia="zh-CN" w:bidi="ar"/>
        </w:rPr>
        <w:t>七、项目跟踪（结算）审计工作处罚</w:t>
      </w:r>
    </w:p>
    <w:p w14:paraId="281D02DF">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造价企业有下列情形之一的，可扣减审计服务费用，终止审计委托协议，提请行政主管部门给予警告、通报，有限期或无限期禁止从事我处项目等处罚，构成犯罪的，依法追究刑事责任：</w:t>
      </w:r>
    </w:p>
    <w:p w14:paraId="47DD84DC">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（1）工程结算审核报告存在重大失误或质量低劣；</w:t>
      </w:r>
    </w:p>
    <w:p w14:paraId="11B6ED3D">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（2）因自身工作错误或过失造成重大损失；</w:t>
      </w:r>
    </w:p>
    <w:p w14:paraId="569670A6">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（3）未经允许私自向施工单位透露审核情况或信息；</w:t>
      </w:r>
    </w:p>
    <w:p w14:paraId="213608A7">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（4）向相关单位或个人索要财物等谋取不正当利益；</w:t>
      </w:r>
    </w:p>
    <w:p w14:paraId="323A4F07">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（5）单独或与其他各方串通舞弊、弄虚作假；</w:t>
      </w:r>
    </w:p>
    <w:p w14:paraId="65226A5B">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（6）其他违反法律法规和规定的行为。</w:t>
      </w:r>
    </w:p>
    <w:p w14:paraId="142B6A81">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宋体" w:eastAsia="宋体" w:cs="Times New Roman"/>
          <w:kern w:val="2"/>
          <w:sz w:val="24"/>
          <w:szCs w:val="24"/>
          <w:highlight w:val="none"/>
        </w:rPr>
      </w:pPr>
      <w:r>
        <w:rPr>
          <w:rFonts w:hint="eastAsia" w:ascii="宋体" w:hAnsi="宋体" w:eastAsia="宋体" w:cs="宋体"/>
          <w:b/>
          <w:bCs/>
          <w:kern w:val="2"/>
          <w:sz w:val="24"/>
          <w:szCs w:val="24"/>
          <w:highlight w:val="none"/>
          <w:lang w:val="en-US" w:eastAsia="zh-CN" w:bidi="ar"/>
        </w:rPr>
        <w:t>八、甲乙双方的权利和义务</w:t>
      </w:r>
      <w:r>
        <w:rPr>
          <w:rFonts w:hint="eastAsia" w:ascii="宋体" w:hAnsi="宋体" w:eastAsia="宋体" w:cs="Times New Roman"/>
          <w:kern w:val="2"/>
          <w:sz w:val="24"/>
          <w:szCs w:val="24"/>
          <w:highlight w:val="none"/>
          <w:lang w:val="en-US" w:eastAsia="zh-CN" w:bidi="ar"/>
        </w:rPr>
        <w:t xml:space="preserve"> </w:t>
      </w:r>
    </w:p>
    <w:p w14:paraId="211EEBB5">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 xml:space="preserve">1.甲方权利和义务 </w:t>
      </w:r>
    </w:p>
    <w:p w14:paraId="22D5431F">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（1）甲方有权对乙方的跟踪（结算）审计项目实施监督，配合市跟审办对乙方审计工作程序、质量和效率等进行检查考核，考核结果作为奖惩和参与政府投资项目跟踪（结算）审计的重要依据；</w:t>
      </w:r>
    </w:p>
    <w:p w14:paraId="34690C11">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（2）项目跟踪（结算）审计过程中，甲方如发现乙方所派审计人员不符合要求或不能胜任岗位工作职责的，甲方有权要求乙方及时调换，或视情况给予相应的处理、处罚；</w:t>
      </w:r>
    </w:p>
    <w:p w14:paraId="30C10599">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（3）甲方保证乙方审计服务费用的按时到位。</w:t>
      </w:r>
    </w:p>
    <w:p w14:paraId="2F978D8F">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2.乙方权利和义务</w:t>
      </w:r>
    </w:p>
    <w:p w14:paraId="5E4AA29A">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（1）乙方在完成审计任务后，有权及时取得审计服务费用；</w:t>
      </w:r>
    </w:p>
    <w:p w14:paraId="62CAEF59">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（2）乙方须依照甲方工作要求及行业准则、规范，按时、保质、保量完成所承担的审计任务；</w:t>
      </w:r>
    </w:p>
    <w:p w14:paraId="5B92AEDC">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乙方必须对审计人员进行廉政教育，如发现有违反廉洁自律规定的行为，应立即更换人员，并对其严肃处理。同时，甲方可根据性质及情节，扣减相应审计服务费用，并可提请市跟审办没收相应的质量及廉政保证金。</w:t>
      </w:r>
    </w:p>
    <w:p w14:paraId="1E9901EB">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3、双方权力和责任</w:t>
      </w:r>
    </w:p>
    <w:p w14:paraId="53736E45">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3.1 招标人有权进行现场调查和监督，随时调阅有关资料，参与审计的查证、对账和答疑等有关活动。若跟踪审计机构未按委托协议完成业务或审计工作中出现严重差错，招标人有权追究跟踪审计机构法律和经济责任，并视情节扣减部分或全部审计服务费用，直至终止委托关系。</w:t>
      </w:r>
    </w:p>
    <w:p w14:paraId="271812A7">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3.2 招标人监督协议的执行，协调和处理履约过程中的问题，对跟踪审计机构审计工作开展情况进行考核，主要内容包括审计程序、现场履职、审计质量和效率、廉政纪律等方面，考核结果作为经济奖惩和以后参与政府投资项目审计服务的重要依据。</w:t>
      </w:r>
    </w:p>
    <w:p w14:paraId="2775E359">
      <w:pPr>
        <w:pStyle w:val="29"/>
        <w:keepNext w:val="0"/>
        <w:keepLines w:val="0"/>
        <w:widowControl/>
        <w:suppressLineNumbers w:val="0"/>
        <w:autoSpaceDE w:val="0"/>
        <w:autoSpaceDN/>
        <w:snapToGrid w:val="0"/>
        <w:spacing w:before="0" w:beforeAutospacing="0" w:after="0" w:afterAutospacing="0" w:line="48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3.3 跟踪审计机构应本着客观、公正、公平的原则，正确履行审计职责，同时承担相应的法律责任。对跟踪审计机构滥用职权、与施工单位串通、徇私舞弊、玩忽职守的，视情节，按有关规定对跟踪审计机构及其当事人进行处理处罚；情节严重，涉嫌违法违纪的，依法移送纪检、司法机关查处。</w:t>
      </w:r>
    </w:p>
    <w:p w14:paraId="5842F093">
      <w:pPr>
        <w:pStyle w:val="29"/>
        <w:keepNext w:val="0"/>
        <w:keepLines w:val="0"/>
        <w:widowControl w:val="0"/>
        <w:suppressLineNumbers w:val="0"/>
        <w:autoSpaceDE w:val="0"/>
        <w:autoSpaceDN/>
        <w:snapToGrid w:val="0"/>
        <w:spacing w:before="0" w:beforeAutospacing="0" w:after="0" w:afterAutospacing="0" w:line="500" w:lineRule="exact"/>
        <w:ind w:left="0" w:right="0" w:firstLine="482" w:firstLineChars="200"/>
        <w:jc w:val="left"/>
        <w:rPr>
          <w:rFonts w:hint="eastAsia" w:ascii="宋体" w:hAnsi="宋体" w:eastAsia="宋体" w:cs="Times New Roman"/>
          <w:b/>
          <w:bCs/>
          <w:kern w:val="2"/>
          <w:sz w:val="24"/>
          <w:szCs w:val="24"/>
          <w:highlight w:val="none"/>
        </w:rPr>
      </w:pPr>
      <w:r>
        <w:rPr>
          <w:rFonts w:hint="eastAsia" w:ascii="宋体" w:hAnsi="宋体" w:eastAsia="宋体" w:cs="宋体"/>
          <w:b/>
          <w:bCs/>
          <w:kern w:val="2"/>
          <w:sz w:val="24"/>
          <w:szCs w:val="24"/>
          <w:highlight w:val="none"/>
          <w:lang w:val="en-US" w:eastAsia="zh-CN" w:bidi="ar"/>
        </w:rPr>
        <w:t>九、附则</w:t>
      </w:r>
    </w:p>
    <w:p w14:paraId="22086CE9">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1.本协议一式肆份，具有同等法律效力，甲方、乙方各执贰份。</w:t>
      </w:r>
    </w:p>
    <w:p w14:paraId="6027D390">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 xml:space="preserve">2.本协议未尽事宜，由甲乙双方协商解决。协商不成，提请滁州仲裁委员会裁决。  </w:t>
      </w:r>
    </w:p>
    <w:p w14:paraId="77E88452">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3.本合同自双方签章后生效。</w:t>
      </w:r>
    </w:p>
    <w:p w14:paraId="175560F7">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lang w:val="en-US" w:eastAsia="zh-CN" w:bidi="ar"/>
        </w:rPr>
        <w:t xml:space="preserve"> </w:t>
      </w:r>
    </w:p>
    <w:p w14:paraId="1D6468A0">
      <w:pPr>
        <w:pStyle w:val="29"/>
        <w:keepNext w:val="0"/>
        <w:keepLines w:val="0"/>
        <w:widowControl w:val="0"/>
        <w:suppressLineNumbers w:val="0"/>
        <w:autoSpaceDE w:val="0"/>
        <w:autoSpaceDN/>
        <w:snapToGrid w:val="0"/>
        <w:spacing w:before="0" w:beforeAutospacing="0" w:after="0" w:afterAutospacing="0" w:line="500" w:lineRule="exact"/>
        <w:ind w:left="0" w:right="0" w:firstLine="420" w:firstLineChars="200"/>
        <w:jc w:val="left"/>
        <w:rPr>
          <w:rFonts w:hint="eastAsia" w:ascii="宋体" w:hAnsi="宋体"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甲方（签章）</w:t>
      </w:r>
      <w:r>
        <w:rPr>
          <w:rFonts w:hint="eastAsia" w:ascii="宋体" w:hAnsi="宋体"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乙方（签章）</w:t>
      </w:r>
      <w:r>
        <w:rPr>
          <w:rFonts w:hint="eastAsia" w:ascii="宋体" w:hAnsi="宋体" w:eastAsia="宋体" w:cs="Times New Roman"/>
          <w:kern w:val="2"/>
          <w:sz w:val="21"/>
          <w:szCs w:val="21"/>
          <w:highlight w:val="none"/>
          <w:lang w:val="en-US" w:eastAsia="zh-CN" w:bidi="ar"/>
        </w:rPr>
        <w:t xml:space="preserve">           </w:t>
      </w:r>
    </w:p>
    <w:p w14:paraId="71F28EE4">
      <w:pPr>
        <w:keepNext w:val="0"/>
        <w:keepLines w:val="0"/>
        <w:widowControl w:val="0"/>
        <w:suppressLineNumbers w:val="0"/>
        <w:spacing w:before="0" w:beforeAutospacing="0" w:after="0" w:afterAutospacing="0"/>
        <w:ind w:left="0" w:right="0" w:firstLine="1470" w:firstLineChars="70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年</w:t>
      </w:r>
      <w:r>
        <w:rPr>
          <w:rFonts w:hint="eastAsia"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月</w:t>
      </w:r>
      <w:r>
        <w:rPr>
          <w:rFonts w:hint="eastAsia"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日</w:t>
      </w:r>
      <w:r>
        <w:rPr>
          <w:rFonts w:hint="eastAsia"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年</w:t>
      </w:r>
      <w:r>
        <w:rPr>
          <w:rFonts w:hint="eastAsia"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月</w:t>
      </w:r>
      <w:r>
        <w:rPr>
          <w:rFonts w:hint="eastAsia"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日</w:t>
      </w:r>
    </w:p>
    <w:p w14:paraId="3B040AC5">
      <w:pPr>
        <w:rPr>
          <w:rFonts w:hint="eastAsia" w:ascii="宋体" w:hAnsi="宋体"/>
          <w:b/>
          <w:color w:val="auto"/>
          <w:szCs w:val="21"/>
          <w:highlight w:val="none"/>
        </w:rPr>
      </w:pPr>
    </w:p>
    <w:bookmarkEnd w:id="74"/>
    <w:p w14:paraId="6A31B2FE">
      <w:pPr>
        <w:rPr>
          <w:rFonts w:hint="eastAsia" w:ascii="宋体"/>
          <w:b/>
          <w:color w:val="auto"/>
          <w:sz w:val="32"/>
          <w:szCs w:val="32"/>
          <w:highlight w:val="none"/>
        </w:rPr>
      </w:pPr>
      <w:r>
        <w:rPr>
          <w:rFonts w:hint="eastAsia" w:ascii="宋体"/>
          <w:b/>
          <w:color w:val="auto"/>
          <w:sz w:val="32"/>
          <w:szCs w:val="32"/>
          <w:highlight w:val="none"/>
        </w:rPr>
        <w:br w:type="page"/>
      </w:r>
    </w:p>
    <w:p w14:paraId="6E698501">
      <w:pPr>
        <w:spacing w:before="156" w:beforeLines="50" w:after="156" w:afterLines="50"/>
        <w:jc w:val="center"/>
        <w:outlineLvl w:val="0"/>
        <w:rPr>
          <w:rFonts w:hint="eastAsia" w:ascii="宋体"/>
          <w:b/>
          <w:color w:val="auto"/>
          <w:sz w:val="32"/>
          <w:szCs w:val="32"/>
          <w:highlight w:val="none"/>
        </w:rPr>
      </w:pPr>
      <w:bookmarkStart w:id="75" w:name="_Toc23341"/>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75"/>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76" w:name="_Toc449028949"/>
      <w:bookmarkStart w:id="77" w:name="_Toc350698753"/>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76"/>
      <w:bookmarkEnd w:id="77"/>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jc w:val="center"/>
        <w:rPr>
          <w:rFonts w:hint="eastAsia" w:ascii="宋体"/>
          <w:color w:val="auto"/>
          <w:sz w:val="28"/>
          <w:szCs w:val="28"/>
          <w:highlight w:val="none"/>
        </w:rPr>
      </w:pPr>
      <w:r>
        <w:rPr>
          <w:rFonts w:hint="eastAsia" w:ascii="宋体"/>
          <w:color w:val="auto"/>
          <w:sz w:val="28"/>
          <w:szCs w:val="28"/>
          <w:highlight w:val="none"/>
        </w:rPr>
        <w:t>项目编号：</w:t>
      </w: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61E6DA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（1）法定代表人身份证明及其有效身份证复印件（或法定代表人授权委托书及其有效身份证复印件）（格式见附件）；</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营业执照</w:t>
      </w:r>
      <w:r>
        <w:rPr>
          <w:rFonts w:hint="eastAsia" w:ascii="宋体"/>
          <w:color w:val="auto"/>
          <w:szCs w:val="21"/>
          <w:highlight w:val="none"/>
        </w:rPr>
        <w:t>；</w:t>
      </w:r>
    </w:p>
    <w:p w14:paraId="4EB04C27">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3）项目负责人有效身份证及证书（若注册证书上无法体现专业的，还需另行提供证明专业的证明材料）；</w:t>
      </w:r>
    </w:p>
    <w:p w14:paraId="63323ABE">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4）项目组人员配备表（格式自拟）、人员有效身份证及对应证书；</w:t>
      </w:r>
    </w:p>
    <w:p w14:paraId="052A4512">
      <w:pPr>
        <w:spacing w:line="500" w:lineRule="exact"/>
        <w:ind w:firstLine="420" w:firstLineChars="200"/>
        <w:jc w:val="left"/>
        <w:rPr>
          <w:rFonts w:hint="eastAsia" w:ascii="宋体" w:hAnsi="宋体" w:eastAsia="宋体" w:cs="宋体-18030"/>
          <w:color w:val="auto"/>
          <w:szCs w:val="21"/>
          <w:highlight w:val="none"/>
          <w:lang w:eastAsia="zh-CN"/>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rPr>
        <w:t>）投标申请人的法定代表人(或委托代理人)、拟派项目负责人和项目组人员须持有社保部门出具的本单位为其缴纳的投标前近三个月中任意一个月的养老保险证明（含官网在线打印件）或投标人提供承诺已为上述人员缴纳养老保险证明的承诺书（格式自拟），证明文件两个月内有效，投标申请人是事业单位的，暂未缴纳社保的，须由其主管部门出具证明。注：社保的缴纳单位为投标人或者投标人不具备独立法人资格的分支机构。如为事业单位附属的投标人参与投标，须同时提供投标人所属事业单位为其缴纳社保的证明材料和该事业单位出具的附属证明材料</w:t>
      </w:r>
      <w:r>
        <w:rPr>
          <w:rFonts w:hint="eastAsia" w:ascii="宋体" w:hAnsi="宋体" w:cs="宋体-18030"/>
          <w:color w:val="auto"/>
          <w:szCs w:val="21"/>
          <w:highlight w:val="none"/>
          <w:lang w:eastAsia="zh-CN"/>
        </w:rPr>
        <w:t>；</w:t>
      </w:r>
    </w:p>
    <w:p w14:paraId="72E58AC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lang w:eastAsia="zh-CN"/>
        </w:rPr>
        <w:t>（</w:t>
      </w:r>
      <w:r>
        <w:rPr>
          <w:rFonts w:hint="eastAsia" w:ascii="宋体"/>
          <w:color w:val="auto"/>
          <w:szCs w:val="21"/>
          <w:highlight w:val="none"/>
          <w:lang w:val="en-US" w:eastAsia="zh-CN"/>
        </w:rPr>
        <w:t>6</w:t>
      </w:r>
      <w:r>
        <w:rPr>
          <w:rFonts w:hint="eastAsia" w:ascii="宋体"/>
          <w:color w:val="auto"/>
          <w:szCs w:val="21"/>
          <w:highlight w:val="none"/>
          <w:lang w:eastAsia="zh-CN"/>
        </w:rPr>
        <w:t>）</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7）服务承诺书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9</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10</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highlight w:val="none"/>
        </w:rPr>
      </w:pPr>
      <w:r>
        <w:rPr>
          <w:rFonts w:hint="eastAsia" w:ascii="宋体"/>
          <w:color w:val="auto"/>
          <w:sz w:val="24"/>
          <w:highlight w:val="none"/>
        </w:rPr>
        <w:t xml:space="preserve">                                     投标人：             </w:t>
      </w:r>
      <w:r>
        <w:rPr>
          <w:rFonts w:hint="eastAsia" w:ascii="宋体"/>
          <w:color w:val="auto"/>
          <w:sz w:val="28"/>
          <w:szCs w:val="28"/>
          <w:highlight w:val="none"/>
        </w:rPr>
        <w:t>（盖单位章）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5D81EF35">
      <w:pPr>
        <w:spacing w:line="360" w:lineRule="exact"/>
        <w:rPr>
          <w:rFonts w:hint="eastAsia" w:ascii="宋体"/>
          <w:b/>
          <w:color w:val="auto"/>
          <w:sz w:val="30"/>
          <w:szCs w:val="30"/>
          <w:highlight w:val="none"/>
        </w:rPr>
      </w:pPr>
      <w:r>
        <w:rPr>
          <w:rFonts w:hint="eastAsia" w:ascii="宋体"/>
          <w:b/>
          <w:color w:val="auto"/>
          <w:sz w:val="30"/>
          <w:szCs w:val="30"/>
          <w:highlight w:val="none"/>
        </w:rPr>
        <w:t>附件2</w:t>
      </w:r>
    </w:p>
    <w:p w14:paraId="66A28F69">
      <w:pPr>
        <w:spacing w:line="360" w:lineRule="auto"/>
        <w:jc w:val="center"/>
        <w:rPr>
          <w:rFonts w:hint="eastAsia"/>
          <w:b/>
          <w:color w:val="auto"/>
          <w:sz w:val="28"/>
          <w:szCs w:val="28"/>
          <w:highlight w:val="none"/>
        </w:rPr>
      </w:pPr>
      <w:bookmarkStart w:id="78" w:name="_Toc440443268"/>
      <w:bookmarkStart w:id="79"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right="0" w:rightChars="0"/>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w:t>
      </w:r>
    </w:p>
    <w:p w14:paraId="67F534F7">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二、所提供的一切材料都是真实、有效、合法的；</w:t>
      </w:r>
    </w:p>
    <w:p w14:paraId="4EBCC0C1">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026B037B">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lang w:val="en-US" w:eastAsia="zh-CN"/>
        </w:rPr>
        <w:t>我公司</w:t>
      </w:r>
      <w:r>
        <w:rPr>
          <w:rFonts w:hint="eastAsia" w:ascii="宋体" w:hAnsi="宋体"/>
          <w:color w:val="auto"/>
          <w:szCs w:val="21"/>
          <w:highlight w:val="none"/>
        </w:rPr>
        <w:t>（包括联合体各成员）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若招标文件对投标人（包括联合体各成员）所属分公司、办事处等分支机构有上述1-5项信誉要求，在此一并承诺我公司（包括联合体各成员）所属分公司、办事处等分支机构没有上述1-5项情形）</w:t>
      </w:r>
    </w:p>
    <w:p w14:paraId="20CDDA7F">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xml:space="preserve">投标单位（盖单位章）：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78"/>
    <w:bookmarkEnd w:id="79"/>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3</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34"/>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8"/>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6"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投标报价\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5DCC4EAC">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rPr>
            </w:pPr>
            <w:r>
              <w:rPr>
                <w:rFonts w:hint="eastAsia" w:ascii="宋体"/>
                <w:color w:val="auto"/>
                <w:sz w:val="24"/>
                <w:highlight w:val="none"/>
              </w:rPr>
              <w:t>投标报价（费率）（大写）：</w:t>
            </w:r>
            <w:r>
              <w:rPr>
                <w:rFonts w:hint="eastAsia" w:ascii="宋体"/>
                <w:color w:val="auto"/>
                <w:sz w:val="24"/>
                <w:highlight w:val="none"/>
                <w:u w:val="single"/>
                <w:lang w:val="en-US" w:eastAsia="zh-CN"/>
              </w:rPr>
              <w:t xml:space="preserve">                   </w:t>
            </w:r>
            <w:r>
              <w:rPr>
                <w:rFonts w:hint="eastAsia" w:ascii="宋体"/>
                <w:color w:val="auto"/>
                <w:sz w:val="24"/>
                <w:highlight w:val="none"/>
              </w:rPr>
              <w:t>；</w:t>
            </w:r>
          </w:p>
          <w:p w14:paraId="62CE92A6">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rPr>
            </w:pPr>
            <w:r>
              <w:rPr>
                <w:rFonts w:hint="eastAsia" w:ascii="宋体"/>
                <w:color w:val="auto"/>
                <w:sz w:val="24"/>
                <w:highlight w:val="none"/>
              </w:rPr>
              <w:t>(小写) ：</w:t>
            </w:r>
            <w:r>
              <w:rPr>
                <w:rFonts w:hint="eastAsia" w:ascii="宋体"/>
                <w:color w:val="auto"/>
                <w:sz w:val="24"/>
                <w:highlight w:val="none"/>
                <w:u w:val="single"/>
                <w:lang w:val="en-US" w:eastAsia="zh-CN"/>
              </w:rPr>
              <w:t xml:space="preserve">                   </w:t>
            </w:r>
            <w:r>
              <w:rPr>
                <w:rFonts w:hint="eastAsia" w:ascii="宋体"/>
                <w:color w:val="auto"/>
                <w:sz w:val="24"/>
                <w:highlight w:val="none"/>
                <w:u w:val="single"/>
                <w:lang w:eastAsia="zh-CN"/>
              </w:rPr>
              <w:t>%</w:t>
            </w:r>
            <w:r>
              <w:rPr>
                <w:rFonts w:hint="eastAsia" w:ascii="宋体"/>
                <w:color w:val="auto"/>
                <w:sz w:val="24"/>
                <w:highlight w:val="none"/>
              </w:rPr>
              <w:t>；</w:t>
            </w:r>
          </w:p>
          <w:p w14:paraId="5BA702FC">
            <w:pPr>
              <w:keepNext w:val="0"/>
              <w:keepLines w:val="0"/>
              <w:pageBreakBefore w:val="0"/>
              <w:widowControl w:val="0"/>
              <w:kinsoku/>
              <w:wordWrap/>
              <w:overflowPunct/>
              <w:topLinePunct w:val="0"/>
              <w:autoSpaceDE/>
              <w:autoSpaceDN/>
              <w:bidi w:val="0"/>
              <w:adjustRightInd/>
              <w:snapToGrid/>
              <w:spacing w:line="900" w:lineRule="exact"/>
              <w:textAlignment w:val="auto"/>
              <w:rPr>
                <w:rFonts w:hint="default"/>
                <w:color w:val="auto"/>
                <w:sz w:val="24"/>
                <w:highlight w:val="none"/>
                <w:lang w:val="en-US"/>
              </w:rPr>
            </w:pPr>
            <w:r>
              <w:rPr>
                <w:rFonts w:hint="eastAsia" w:ascii="宋体"/>
                <w:color w:val="auto"/>
                <w:sz w:val="24"/>
                <w:highlight w:val="none"/>
                <w:lang w:val="en-US" w:eastAsia="zh-CN"/>
              </w:rPr>
              <w:t>服务期</w:t>
            </w:r>
            <w:r>
              <w:rPr>
                <w:rFonts w:hint="eastAsia" w:ascii="宋体"/>
                <w:color w:val="auto"/>
                <w:sz w:val="24"/>
                <w:highlight w:val="none"/>
              </w:rPr>
              <w:t>：</w:t>
            </w:r>
            <w:r>
              <w:rPr>
                <w:rFonts w:hint="eastAsia" w:ascii="宋体" w:cs="Times New Roman"/>
                <w:color w:val="auto"/>
                <w:sz w:val="24"/>
                <w:highlight w:val="none"/>
                <w:lang w:val="en-US" w:eastAsia="zh-CN"/>
              </w:rPr>
              <w:t>自签订合同之日起至完成结算审核报告</w:t>
            </w:r>
            <w:r>
              <w:rPr>
                <w:rFonts w:hint="eastAsia" w:ascii="宋体" w:hAnsi="Times New Roman" w:eastAsia="宋体" w:cs="Times New Roman"/>
                <w:color w:val="auto"/>
                <w:sz w:val="24"/>
                <w:highlight w:val="none"/>
                <w:lang w:val="en-US" w:eastAsia="zh-CN"/>
              </w:rPr>
              <w:t>。</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hint="eastAsia" w:eastAsia="宋体" w:cs="Arial"/>
          <w:b/>
          <w:bCs/>
          <w:color w:val="auto"/>
          <w:sz w:val="30"/>
          <w:szCs w:val="30"/>
          <w:highlight w:val="none"/>
          <w:lang w:val="en-US" w:eastAsia="zh-CN"/>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none"/>
          <w:lang w:val="en-US" w:eastAsia="zh-CN"/>
        </w:rPr>
        <w:t>日</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5</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（项目名称）    </w:t>
      </w:r>
      <w:r>
        <w:rPr>
          <w:rFonts w:hint="eastAsia" w:ascii="宋体" w:hAnsi="宋体" w:cs="宋体"/>
          <w:color w:val="auto"/>
          <w:sz w:val="24"/>
          <w:highlight w:val="none"/>
        </w:rPr>
        <w:t>”的采购。我方授权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cs="宋体"/>
          <w:color w:val="auto"/>
          <w:sz w:val="24"/>
          <w:highlight w:val="none"/>
          <w:lang w:val="en-US" w:eastAsia="zh-CN"/>
        </w:rPr>
        <w:t>投标报价（费率）</w:t>
      </w:r>
      <w:r>
        <w:rPr>
          <w:rFonts w:hint="eastAsia" w:ascii="宋体" w:hAnsi="宋体" w:cs="宋体"/>
          <w:color w:val="auto"/>
          <w:sz w:val="24"/>
          <w:highlight w:val="none"/>
        </w:rPr>
        <w:t>为（大写）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（小写）     %（最多保留两位小数），项目负责人为           。</w:t>
      </w:r>
      <w:r>
        <w:rPr>
          <w:rFonts w:hint="eastAsia" w:ascii="宋体" w:hAnsi="宋体" w:cs="宋体"/>
          <w:color w:val="auto"/>
          <w:sz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90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7B105019">
      <w:pPr>
        <w:spacing w:line="440" w:lineRule="exact"/>
        <w:rPr>
          <w:rFonts w:hint="eastAsia" w:ascii="宋体"/>
          <w:color w:val="auto"/>
          <w:sz w:val="24"/>
          <w:highlight w:val="none"/>
        </w:rPr>
      </w:pPr>
    </w:p>
    <w:p w14:paraId="4B1AD082">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1"/>
    <w:bookmarkEnd w:id="72"/>
    <w:p w14:paraId="59C5F8C7">
      <w:pPr>
        <w:spacing w:line="440" w:lineRule="exact"/>
        <w:jc w:val="center"/>
        <w:outlineLvl w:val="0"/>
        <w:rPr>
          <w:rFonts w:hint="eastAsia" w:ascii="宋体"/>
          <w:b/>
          <w:color w:val="auto"/>
          <w:sz w:val="32"/>
          <w:szCs w:val="32"/>
          <w:highlight w:val="none"/>
        </w:rPr>
      </w:pPr>
      <w:bookmarkStart w:id="80" w:name="_Toc58430333"/>
      <w:bookmarkStart w:id="81" w:name="_Toc13076"/>
      <w:bookmarkStart w:id="82" w:name="_Toc449028957"/>
      <w:r>
        <w:rPr>
          <w:rFonts w:hint="eastAsia" w:ascii="宋体"/>
          <w:b/>
          <w:color w:val="auto"/>
          <w:sz w:val="32"/>
          <w:szCs w:val="32"/>
          <w:highlight w:val="none"/>
          <w:lang w:val="en-US" w:eastAsia="zh-CN"/>
        </w:rPr>
        <w:t>第六章  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80"/>
      <w:bookmarkEnd w:id="81"/>
      <w:bookmarkEnd w:id="82"/>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val="en-US" w:eastAsia="zh-CN"/>
              </w:rPr>
              <w:t xml:space="preserve"> </w:t>
            </w:r>
            <w:r>
              <w:rPr>
                <w:rFonts w:hint="eastAsia" w:ascii="宋体" w:cs="宋体"/>
                <w:color w:val="auto"/>
                <w:sz w:val="28"/>
                <w:szCs w:val="28"/>
                <w:highlight w:val="none"/>
                <w:u w:val="single"/>
                <w:lang w:eastAsia="zh-CN"/>
              </w:rPr>
              <w:t>北门游客中心“六一书苑”场馆提升项目审计</w:t>
            </w:r>
            <w:r>
              <w:rPr>
                <w:rFonts w:hint="eastAsia" w:ascii="宋体" w:cs="宋体"/>
                <w:color w:val="auto"/>
                <w:sz w:val="28"/>
                <w:szCs w:val="28"/>
                <w:highlight w:val="none"/>
                <w:u w:val="single"/>
                <w:lang w:val="en-US" w:eastAsia="zh-CN"/>
              </w:rPr>
              <w:t xml:space="preserve"> </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 xml:space="preserve">安徽省琅琊山旅游发展有限公司 </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代工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0550-3525595</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w:t>
            </w:r>
            <w:r>
              <w:rPr>
                <w:rFonts w:hint="eastAsia" w:ascii="宋体" w:cs="宋体"/>
                <w:color w:val="auto"/>
                <w:sz w:val="28"/>
                <w:szCs w:val="28"/>
                <w:highlight w:val="none"/>
                <w:lang w:val="en-US" w:eastAsia="zh-CN"/>
              </w:rPr>
              <w:t xml:space="preserve"> </w:t>
            </w:r>
            <w:r>
              <w:rPr>
                <w:rFonts w:hint="eastAsia" w:ascii="宋体" w:cs="宋体"/>
                <w:color w:val="auto"/>
                <w:sz w:val="28"/>
                <w:szCs w:val="28"/>
                <w:highlight w:val="none"/>
              </w:rPr>
              <w:t>办</w:t>
            </w:r>
            <w:r>
              <w:rPr>
                <w:rFonts w:hint="eastAsia" w:ascii="宋体" w:cs="宋体"/>
                <w:color w:val="auto"/>
                <w:sz w:val="28"/>
                <w:szCs w:val="28"/>
                <w:highlight w:val="none"/>
                <w:lang w:val="en-US" w:eastAsia="zh-CN"/>
              </w:rPr>
              <w:t xml:space="preserve"> </w:t>
            </w:r>
            <w:r>
              <w:rPr>
                <w:rFonts w:hint="eastAsia" w:ascii="宋体" w:cs="宋体"/>
                <w:color w:val="auto"/>
                <w:sz w:val="28"/>
                <w:szCs w:val="28"/>
                <w:highlight w:val="none"/>
              </w:rPr>
              <w:t>人：</w:t>
            </w:r>
            <w:r>
              <w:rPr>
                <w:rFonts w:hint="eastAsia" w:ascii="宋体" w:cs="宋体"/>
                <w:color w:val="auto"/>
                <w:sz w:val="28"/>
                <w:szCs w:val="28"/>
                <w:highlight w:val="none"/>
                <w:lang w:eastAsia="zh-CN"/>
              </w:rPr>
              <w:t>胡国庆</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联系电话：</w:t>
            </w:r>
            <w:r>
              <w:rPr>
                <w:rFonts w:hint="eastAsia" w:ascii="宋体" w:cs="宋体"/>
                <w:color w:val="auto"/>
                <w:sz w:val="28"/>
                <w:szCs w:val="28"/>
                <w:highlight w:val="none"/>
                <w:lang w:eastAsia="zh-CN"/>
              </w:rPr>
              <w:t>0550-3519517、18005500950</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宋体-18030">
    <w:altName w:val="宋体"/>
    <w:panose1 w:val="02010609060101010101"/>
    <w:charset w:val="86"/>
    <w:family w:val="modern"/>
    <w:pitch w:val="default"/>
    <w:sig w:usb0="00000000" w:usb1="00000000" w:usb2="000A005E"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0CF"/>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140146"/>
    <w:rsid w:val="0123584C"/>
    <w:rsid w:val="012375FA"/>
    <w:rsid w:val="01255120"/>
    <w:rsid w:val="01317BAC"/>
    <w:rsid w:val="0156352C"/>
    <w:rsid w:val="0160078A"/>
    <w:rsid w:val="016025FC"/>
    <w:rsid w:val="016A6FD7"/>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F0F02"/>
    <w:rsid w:val="02AB3F80"/>
    <w:rsid w:val="02CD5A6F"/>
    <w:rsid w:val="02D50DC8"/>
    <w:rsid w:val="02F92D08"/>
    <w:rsid w:val="02FF011F"/>
    <w:rsid w:val="0306625F"/>
    <w:rsid w:val="0314369E"/>
    <w:rsid w:val="032B6C3A"/>
    <w:rsid w:val="03433F84"/>
    <w:rsid w:val="034D095E"/>
    <w:rsid w:val="034D4E02"/>
    <w:rsid w:val="03636F78"/>
    <w:rsid w:val="037D56E7"/>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013EC"/>
    <w:rsid w:val="05713E65"/>
    <w:rsid w:val="05777F14"/>
    <w:rsid w:val="057F7413"/>
    <w:rsid w:val="059302F0"/>
    <w:rsid w:val="05B55DC4"/>
    <w:rsid w:val="05C56ED2"/>
    <w:rsid w:val="05EB7E30"/>
    <w:rsid w:val="0600615C"/>
    <w:rsid w:val="0619721E"/>
    <w:rsid w:val="061F375B"/>
    <w:rsid w:val="06235109"/>
    <w:rsid w:val="062459A5"/>
    <w:rsid w:val="062478E7"/>
    <w:rsid w:val="062B6848"/>
    <w:rsid w:val="06304C93"/>
    <w:rsid w:val="064510DB"/>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61194E"/>
    <w:rsid w:val="076432D3"/>
    <w:rsid w:val="0781151E"/>
    <w:rsid w:val="078D1C71"/>
    <w:rsid w:val="079269DC"/>
    <w:rsid w:val="07987BFE"/>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D00FFA"/>
    <w:rsid w:val="08EF5F46"/>
    <w:rsid w:val="08FF094D"/>
    <w:rsid w:val="090441B5"/>
    <w:rsid w:val="09086D86"/>
    <w:rsid w:val="090F12E9"/>
    <w:rsid w:val="09367BAA"/>
    <w:rsid w:val="09381D73"/>
    <w:rsid w:val="09473B2C"/>
    <w:rsid w:val="096A3477"/>
    <w:rsid w:val="097C361B"/>
    <w:rsid w:val="09866978"/>
    <w:rsid w:val="099B68C7"/>
    <w:rsid w:val="09AB5942"/>
    <w:rsid w:val="09B064D1"/>
    <w:rsid w:val="09BF2ED7"/>
    <w:rsid w:val="09BF7674"/>
    <w:rsid w:val="09F45FD8"/>
    <w:rsid w:val="09F806A3"/>
    <w:rsid w:val="0A0B50CF"/>
    <w:rsid w:val="0A0D1190"/>
    <w:rsid w:val="0A164D7F"/>
    <w:rsid w:val="0A2456C5"/>
    <w:rsid w:val="0A2543E3"/>
    <w:rsid w:val="0A474057"/>
    <w:rsid w:val="0A53598C"/>
    <w:rsid w:val="0A5D6F88"/>
    <w:rsid w:val="0A641E3D"/>
    <w:rsid w:val="0AA34B1B"/>
    <w:rsid w:val="0AAD7CD9"/>
    <w:rsid w:val="0AB6328D"/>
    <w:rsid w:val="0ABD15CE"/>
    <w:rsid w:val="0ABF263A"/>
    <w:rsid w:val="0AD12B8F"/>
    <w:rsid w:val="0AE0387E"/>
    <w:rsid w:val="0AF618DB"/>
    <w:rsid w:val="0B0A6314"/>
    <w:rsid w:val="0B183F48"/>
    <w:rsid w:val="0B330D82"/>
    <w:rsid w:val="0B335CF7"/>
    <w:rsid w:val="0B470389"/>
    <w:rsid w:val="0B5C5BE2"/>
    <w:rsid w:val="0B6B051B"/>
    <w:rsid w:val="0B6E6353"/>
    <w:rsid w:val="0B7B2E88"/>
    <w:rsid w:val="0B8415DD"/>
    <w:rsid w:val="0B842ECF"/>
    <w:rsid w:val="0BA53A0C"/>
    <w:rsid w:val="0BA8462C"/>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D3A66"/>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875908"/>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E825FD"/>
    <w:rsid w:val="0FF61E2B"/>
    <w:rsid w:val="10260FB8"/>
    <w:rsid w:val="10280789"/>
    <w:rsid w:val="104D6442"/>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6016F"/>
    <w:rsid w:val="113E38BD"/>
    <w:rsid w:val="114E06C3"/>
    <w:rsid w:val="11531836"/>
    <w:rsid w:val="11633A20"/>
    <w:rsid w:val="11700B96"/>
    <w:rsid w:val="117A7D9D"/>
    <w:rsid w:val="117B6FDE"/>
    <w:rsid w:val="117D1895"/>
    <w:rsid w:val="1189681F"/>
    <w:rsid w:val="118D065E"/>
    <w:rsid w:val="119111DD"/>
    <w:rsid w:val="119D0D92"/>
    <w:rsid w:val="11B01C7F"/>
    <w:rsid w:val="11C049F1"/>
    <w:rsid w:val="11C72224"/>
    <w:rsid w:val="11D16BFE"/>
    <w:rsid w:val="11E20E0C"/>
    <w:rsid w:val="11EB5F12"/>
    <w:rsid w:val="11F63B39"/>
    <w:rsid w:val="11F811A4"/>
    <w:rsid w:val="12031EA5"/>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D010A"/>
    <w:rsid w:val="130E5DFE"/>
    <w:rsid w:val="1318492B"/>
    <w:rsid w:val="13195D86"/>
    <w:rsid w:val="133415D2"/>
    <w:rsid w:val="13390EFF"/>
    <w:rsid w:val="134659BB"/>
    <w:rsid w:val="13534D6F"/>
    <w:rsid w:val="135D699C"/>
    <w:rsid w:val="1362355A"/>
    <w:rsid w:val="136B46BF"/>
    <w:rsid w:val="13860D94"/>
    <w:rsid w:val="13863BCF"/>
    <w:rsid w:val="13873911"/>
    <w:rsid w:val="138A779A"/>
    <w:rsid w:val="138D2BCA"/>
    <w:rsid w:val="139879D4"/>
    <w:rsid w:val="13A12FBB"/>
    <w:rsid w:val="13C44C6D"/>
    <w:rsid w:val="13E9022F"/>
    <w:rsid w:val="13EB044B"/>
    <w:rsid w:val="13F53078"/>
    <w:rsid w:val="13FD017F"/>
    <w:rsid w:val="1400703C"/>
    <w:rsid w:val="14024E31"/>
    <w:rsid w:val="14033D19"/>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001A"/>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3F0DBD"/>
    <w:rsid w:val="17435B9A"/>
    <w:rsid w:val="17481711"/>
    <w:rsid w:val="17530278"/>
    <w:rsid w:val="1770488D"/>
    <w:rsid w:val="177251DB"/>
    <w:rsid w:val="179F403B"/>
    <w:rsid w:val="17A04DF8"/>
    <w:rsid w:val="17B46DA6"/>
    <w:rsid w:val="17E07B23"/>
    <w:rsid w:val="17F04282"/>
    <w:rsid w:val="181D21AB"/>
    <w:rsid w:val="18241EFA"/>
    <w:rsid w:val="182551D2"/>
    <w:rsid w:val="18302625"/>
    <w:rsid w:val="183C5221"/>
    <w:rsid w:val="184B770B"/>
    <w:rsid w:val="18553B5A"/>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10480"/>
    <w:rsid w:val="1AFA71C6"/>
    <w:rsid w:val="1B1E5236"/>
    <w:rsid w:val="1B267FBB"/>
    <w:rsid w:val="1B3C77DE"/>
    <w:rsid w:val="1B3E1360"/>
    <w:rsid w:val="1B453F87"/>
    <w:rsid w:val="1B4A02FA"/>
    <w:rsid w:val="1B61058A"/>
    <w:rsid w:val="1B6D0A69"/>
    <w:rsid w:val="1B7D2468"/>
    <w:rsid w:val="1B886580"/>
    <w:rsid w:val="1BAB30F2"/>
    <w:rsid w:val="1BB64807"/>
    <w:rsid w:val="1BC45815"/>
    <w:rsid w:val="1BCA6B98"/>
    <w:rsid w:val="1BEC2FB3"/>
    <w:rsid w:val="1BEE345E"/>
    <w:rsid w:val="1BF209FD"/>
    <w:rsid w:val="1BF530EC"/>
    <w:rsid w:val="1BFD529F"/>
    <w:rsid w:val="1C044843"/>
    <w:rsid w:val="1C165429"/>
    <w:rsid w:val="1C4C7B54"/>
    <w:rsid w:val="1C6D30D8"/>
    <w:rsid w:val="1C7911F1"/>
    <w:rsid w:val="1C7B60E4"/>
    <w:rsid w:val="1CAA7140"/>
    <w:rsid w:val="1CCB47C0"/>
    <w:rsid w:val="1CE27F12"/>
    <w:rsid w:val="1CF3330B"/>
    <w:rsid w:val="1D0B3F40"/>
    <w:rsid w:val="1D0C2883"/>
    <w:rsid w:val="1D1F4CC2"/>
    <w:rsid w:val="1D3B1144"/>
    <w:rsid w:val="1D436C7E"/>
    <w:rsid w:val="1D44297A"/>
    <w:rsid w:val="1D4E4561"/>
    <w:rsid w:val="1D703128"/>
    <w:rsid w:val="1D7C5FBA"/>
    <w:rsid w:val="1D81336E"/>
    <w:rsid w:val="1D8B67FB"/>
    <w:rsid w:val="1D9F19C4"/>
    <w:rsid w:val="1DA575B0"/>
    <w:rsid w:val="1DAF24EA"/>
    <w:rsid w:val="1DB375C5"/>
    <w:rsid w:val="1DB46449"/>
    <w:rsid w:val="1DBC69B5"/>
    <w:rsid w:val="1DC332DD"/>
    <w:rsid w:val="1DC53ABB"/>
    <w:rsid w:val="1DDB0E18"/>
    <w:rsid w:val="1DE80C95"/>
    <w:rsid w:val="1DEF6D8A"/>
    <w:rsid w:val="1E061E25"/>
    <w:rsid w:val="1E226345"/>
    <w:rsid w:val="1E37428D"/>
    <w:rsid w:val="1E384EE7"/>
    <w:rsid w:val="1E3A6C06"/>
    <w:rsid w:val="1E424E8A"/>
    <w:rsid w:val="1E6C5E06"/>
    <w:rsid w:val="1E736290"/>
    <w:rsid w:val="1E8C6387"/>
    <w:rsid w:val="1E8F5E77"/>
    <w:rsid w:val="1E9A6CF6"/>
    <w:rsid w:val="1EAA4A5F"/>
    <w:rsid w:val="1EB06519"/>
    <w:rsid w:val="1EB458DE"/>
    <w:rsid w:val="1EC00497"/>
    <w:rsid w:val="1EDA5344"/>
    <w:rsid w:val="1EE613D0"/>
    <w:rsid w:val="1EF1268E"/>
    <w:rsid w:val="1EF21855"/>
    <w:rsid w:val="1EF501D6"/>
    <w:rsid w:val="1EF80AEE"/>
    <w:rsid w:val="1F1830CB"/>
    <w:rsid w:val="1F1D4CEA"/>
    <w:rsid w:val="1F3431EF"/>
    <w:rsid w:val="1F3B4A10"/>
    <w:rsid w:val="1F412ACD"/>
    <w:rsid w:val="1F703EFB"/>
    <w:rsid w:val="1F717B90"/>
    <w:rsid w:val="1F896D6A"/>
    <w:rsid w:val="1FA51C58"/>
    <w:rsid w:val="1FA7649E"/>
    <w:rsid w:val="1FBE7B22"/>
    <w:rsid w:val="1FCD4EA9"/>
    <w:rsid w:val="1FF02C39"/>
    <w:rsid w:val="20061562"/>
    <w:rsid w:val="200A7EAB"/>
    <w:rsid w:val="2014753F"/>
    <w:rsid w:val="2017317A"/>
    <w:rsid w:val="201D0468"/>
    <w:rsid w:val="202857A9"/>
    <w:rsid w:val="202D76F6"/>
    <w:rsid w:val="203D7B26"/>
    <w:rsid w:val="20735A50"/>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547D9"/>
    <w:rsid w:val="21E36C06"/>
    <w:rsid w:val="21F841CB"/>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DF73CD"/>
    <w:rsid w:val="22F10EAE"/>
    <w:rsid w:val="2305495A"/>
    <w:rsid w:val="230D3F37"/>
    <w:rsid w:val="231128EB"/>
    <w:rsid w:val="23130BB1"/>
    <w:rsid w:val="23151041"/>
    <w:rsid w:val="23307C29"/>
    <w:rsid w:val="233415C5"/>
    <w:rsid w:val="234C07DB"/>
    <w:rsid w:val="23566F63"/>
    <w:rsid w:val="2362143C"/>
    <w:rsid w:val="23645B24"/>
    <w:rsid w:val="236C75A7"/>
    <w:rsid w:val="236F7F4F"/>
    <w:rsid w:val="23887A65"/>
    <w:rsid w:val="238E2BA1"/>
    <w:rsid w:val="239A6033"/>
    <w:rsid w:val="23A418A2"/>
    <w:rsid w:val="23AD1279"/>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9E5066"/>
    <w:rsid w:val="24A773D3"/>
    <w:rsid w:val="24B65FDB"/>
    <w:rsid w:val="24C364CA"/>
    <w:rsid w:val="24DB6D9D"/>
    <w:rsid w:val="24F904EE"/>
    <w:rsid w:val="25237319"/>
    <w:rsid w:val="25276E09"/>
    <w:rsid w:val="253311F6"/>
    <w:rsid w:val="253B3193"/>
    <w:rsid w:val="25552E9E"/>
    <w:rsid w:val="255866F6"/>
    <w:rsid w:val="25654FC9"/>
    <w:rsid w:val="25851E17"/>
    <w:rsid w:val="2586379D"/>
    <w:rsid w:val="25A91F14"/>
    <w:rsid w:val="25C10491"/>
    <w:rsid w:val="25DF1492"/>
    <w:rsid w:val="25EB1207"/>
    <w:rsid w:val="25F723E2"/>
    <w:rsid w:val="26377520"/>
    <w:rsid w:val="263C274B"/>
    <w:rsid w:val="264B7744"/>
    <w:rsid w:val="2651082C"/>
    <w:rsid w:val="26690388"/>
    <w:rsid w:val="267E7EE2"/>
    <w:rsid w:val="26A804CA"/>
    <w:rsid w:val="26C66AA9"/>
    <w:rsid w:val="26CD578F"/>
    <w:rsid w:val="26CF59AB"/>
    <w:rsid w:val="26DB434F"/>
    <w:rsid w:val="26DD1E76"/>
    <w:rsid w:val="26F64CE5"/>
    <w:rsid w:val="26F87EF2"/>
    <w:rsid w:val="271138CD"/>
    <w:rsid w:val="271703C5"/>
    <w:rsid w:val="27221F7E"/>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F84A8D"/>
    <w:rsid w:val="27FC3AE4"/>
    <w:rsid w:val="2800288E"/>
    <w:rsid w:val="28065AFB"/>
    <w:rsid w:val="280C4E96"/>
    <w:rsid w:val="281B7D88"/>
    <w:rsid w:val="282E4FCE"/>
    <w:rsid w:val="28342B35"/>
    <w:rsid w:val="2834568E"/>
    <w:rsid w:val="283F0442"/>
    <w:rsid w:val="28497097"/>
    <w:rsid w:val="284E32AF"/>
    <w:rsid w:val="286D1F27"/>
    <w:rsid w:val="287E1436"/>
    <w:rsid w:val="28924EE2"/>
    <w:rsid w:val="28975940"/>
    <w:rsid w:val="28A2738B"/>
    <w:rsid w:val="28A86838"/>
    <w:rsid w:val="28AE1756"/>
    <w:rsid w:val="28C4031B"/>
    <w:rsid w:val="28CB6760"/>
    <w:rsid w:val="28DA7C9C"/>
    <w:rsid w:val="28EC71CA"/>
    <w:rsid w:val="290B259E"/>
    <w:rsid w:val="291D0C4F"/>
    <w:rsid w:val="2924258A"/>
    <w:rsid w:val="29274E04"/>
    <w:rsid w:val="292E22E0"/>
    <w:rsid w:val="293F46A3"/>
    <w:rsid w:val="296D1EE4"/>
    <w:rsid w:val="298B44EB"/>
    <w:rsid w:val="29944EB8"/>
    <w:rsid w:val="299C4433"/>
    <w:rsid w:val="29DB4666"/>
    <w:rsid w:val="29E4351B"/>
    <w:rsid w:val="29E736D3"/>
    <w:rsid w:val="29EC0622"/>
    <w:rsid w:val="29FB1FE8"/>
    <w:rsid w:val="29FE68AE"/>
    <w:rsid w:val="2A031B89"/>
    <w:rsid w:val="2A070C32"/>
    <w:rsid w:val="2A0B0AA8"/>
    <w:rsid w:val="2A1C2CB5"/>
    <w:rsid w:val="2A1F6D8E"/>
    <w:rsid w:val="2A32072A"/>
    <w:rsid w:val="2A3C5105"/>
    <w:rsid w:val="2A444271"/>
    <w:rsid w:val="2A491993"/>
    <w:rsid w:val="2A501001"/>
    <w:rsid w:val="2A567D20"/>
    <w:rsid w:val="2A6F4131"/>
    <w:rsid w:val="2A782154"/>
    <w:rsid w:val="2A821832"/>
    <w:rsid w:val="2A8C2357"/>
    <w:rsid w:val="2A8E16D9"/>
    <w:rsid w:val="2AA77572"/>
    <w:rsid w:val="2ABC3312"/>
    <w:rsid w:val="2AC50660"/>
    <w:rsid w:val="2ACE42A1"/>
    <w:rsid w:val="2AD156A5"/>
    <w:rsid w:val="2AD57308"/>
    <w:rsid w:val="2AD73080"/>
    <w:rsid w:val="2AE44BDB"/>
    <w:rsid w:val="2AFA0B1C"/>
    <w:rsid w:val="2B1334DC"/>
    <w:rsid w:val="2B1505A0"/>
    <w:rsid w:val="2B165951"/>
    <w:rsid w:val="2B165956"/>
    <w:rsid w:val="2B214434"/>
    <w:rsid w:val="2B3202B6"/>
    <w:rsid w:val="2B3559A3"/>
    <w:rsid w:val="2B3B716B"/>
    <w:rsid w:val="2B471B7C"/>
    <w:rsid w:val="2B4E474F"/>
    <w:rsid w:val="2B553EE9"/>
    <w:rsid w:val="2B605F51"/>
    <w:rsid w:val="2B674404"/>
    <w:rsid w:val="2B6E1B3C"/>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85772"/>
    <w:rsid w:val="2D094BEA"/>
    <w:rsid w:val="2D2A52C6"/>
    <w:rsid w:val="2D4D7629"/>
    <w:rsid w:val="2D880661"/>
    <w:rsid w:val="2D8F1DD6"/>
    <w:rsid w:val="2D915A33"/>
    <w:rsid w:val="2D954534"/>
    <w:rsid w:val="2D9800A5"/>
    <w:rsid w:val="2DC24F16"/>
    <w:rsid w:val="2DC3712A"/>
    <w:rsid w:val="2DE171DF"/>
    <w:rsid w:val="2DEF1551"/>
    <w:rsid w:val="2E0200C9"/>
    <w:rsid w:val="2E3507E9"/>
    <w:rsid w:val="2E3C6ABB"/>
    <w:rsid w:val="2E4345B4"/>
    <w:rsid w:val="2E5A3DAC"/>
    <w:rsid w:val="2E5D53FD"/>
    <w:rsid w:val="2E61599C"/>
    <w:rsid w:val="2E6332CF"/>
    <w:rsid w:val="2E6E7857"/>
    <w:rsid w:val="2E781BDD"/>
    <w:rsid w:val="2E7D7A9A"/>
    <w:rsid w:val="2EA63495"/>
    <w:rsid w:val="2EBA0298"/>
    <w:rsid w:val="2EBF09B3"/>
    <w:rsid w:val="2ED22F7C"/>
    <w:rsid w:val="2ED73784"/>
    <w:rsid w:val="2EDF3673"/>
    <w:rsid w:val="2EE213C2"/>
    <w:rsid w:val="2EFC30B5"/>
    <w:rsid w:val="2F0529C7"/>
    <w:rsid w:val="2F486989"/>
    <w:rsid w:val="2F4C403D"/>
    <w:rsid w:val="2F5E3D21"/>
    <w:rsid w:val="2F653004"/>
    <w:rsid w:val="2F684953"/>
    <w:rsid w:val="2F8135BA"/>
    <w:rsid w:val="2F8D622E"/>
    <w:rsid w:val="2F9037FD"/>
    <w:rsid w:val="2F917CA1"/>
    <w:rsid w:val="2F982E42"/>
    <w:rsid w:val="2FAD4BB7"/>
    <w:rsid w:val="2FBC4D4D"/>
    <w:rsid w:val="2FCB7EDC"/>
    <w:rsid w:val="2FD951A4"/>
    <w:rsid w:val="2FDB7940"/>
    <w:rsid w:val="2FE60F0B"/>
    <w:rsid w:val="2FFE3400"/>
    <w:rsid w:val="300541EB"/>
    <w:rsid w:val="301B0290"/>
    <w:rsid w:val="303C4D07"/>
    <w:rsid w:val="306461F7"/>
    <w:rsid w:val="30647164"/>
    <w:rsid w:val="306C3ED5"/>
    <w:rsid w:val="306C6C6A"/>
    <w:rsid w:val="306D3F93"/>
    <w:rsid w:val="30711C4D"/>
    <w:rsid w:val="307D0DA4"/>
    <w:rsid w:val="30801AC4"/>
    <w:rsid w:val="308A649E"/>
    <w:rsid w:val="308E5A68"/>
    <w:rsid w:val="30A2226B"/>
    <w:rsid w:val="30BB2AFC"/>
    <w:rsid w:val="30C22649"/>
    <w:rsid w:val="30DC08E6"/>
    <w:rsid w:val="30E81B43"/>
    <w:rsid w:val="30E97669"/>
    <w:rsid w:val="312E022B"/>
    <w:rsid w:val="314221E6"/>
    <w:rsid w:val="314A45AB"/>
    <w:rsid w:val="314D7BF8"/>
    <w:rsid w:val="31534D0D"/>
    <w:rsid w:val="316B18AB"/>
    <w:rsid w:val="317118EE"/>
    <w:rsid w:val="318555E4"/>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A7F15"/>
    <w:rsid w:val="34FB24F0"/>
    <w:rsid w:val="352930DB"/>
    <w:rsid w:val="353B59DD"/>
    <w:rsid w:val="35534E88"/>
    <w:rsid w:val="355A32BB"/>
    <w:rsid w:val="35633752"/>
    <w:rsid w:val="3569521C"/>
    <w:rsid w:val="357C6CFE"/>
    <w:rsid w:val="35823489"/>
    <w:rsid w:val="35835426"/>
    <w:rsid w:val="35897E8C"/>
    <w:rsid w:val="35953A4C"/>
    <w:rsid w:val="35A66D4C"/>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B139FE"/>
    <w:rsid w:val="36C3270A"/>
    <w:rsid w:val="3701395E"/>
    <w:rsid w:val="371448CE"/>
    <w:rsid w:val="371D2877"/>
    <w:rsid w:val="372A0A3B"/>
    <w:rsid w:val="372A4537"/>
    <w:rsid w:val="373C4996"/>
    <w:rsid w:val="374309BB"/>
    <w:rsid w:val="374A1E98"/>
    <w:rsid w:val="37533C0B"/>
    <w:rsid w:val="375F68D7"/>
    <w:rsid w:val="37794D4F"/>
    <w:rsid w:val="37A02925"/>
    <w:rsid w:val="37B3277F"/>
    <w:rsid w:val="37B34CA4"/>
    <w:rsid w:val="37BD7469"/>
    <w:rsid w:val="37BE35FD"/>
    <w:rsid w:val="37D9327F"/>
    <w:rsid w:val="37E93A81"/>
    <w:rsid w:val="37F75EE1"/>
    <w:rsid w:val="37F92167"/>
    <w:rsid w:val="38172D0E"/>
    <w:rsid w:val="38317A04"/>
    <w:rsid w:val="38430BE0"/>
    <w:rsid w:val="384B5B0E"/>
    <w:rsid w:val="38591578"/>
    <w:rsid w:val="385B0E4C"/>
    <w:rsid w:val="385C66C2"/>
    <w:rsid w:val="38645F08"/>
    <w:rsid w:val="38697E97"/>
    <w:rsid w:val="387168C2"/>
    <w:rsid w:val="3888121E"/>
    <w:rsid w:val="389B1BDF"/>
    <w:rsid w:val="38A1659F"/>
    <w:rsid w:val="38AF2F46"/>
    <w:rsid w:val="38B16CBE"/>
    <w:rsid w:val="38C95821"/>
    <w:rsid w:val="38D35964"/>
    <w:rsid w:val="38F02478"/>
    <w:rsid w:val="390239BE"/>
    <w:rsid w:val="39180C1C"/>
    <w:rsid w:val="392A1B36"/>
    <w:rsid w:val="392A34F7"/>
    <w:rsid w:val="392A4E38"/>
    <w:rsid w:val="393A6E69"/>
    <w:rsid w:val="39675500"/>
    <w:rsid w:val="396B1563"/>
    <w:rsid w:val="39754190"/>
    <w:rsid w:val="399B0348"/>
    <w:rsid w:val="39BF57BB"/>
    <w:rsid w:val="39C60050"/>
    <w:rsid w:val="39CD2DB0"/>
    <w:rsid w:val="39D92970"/>
    <w:rsid w:val="39DB0D6F"/>
    <w:rsid w:val="39FE7012"/>
    <w:rsid w:val="3A0D5454"/>
    <w:rsid w:val="3A1172F4"/>
    <w:rsid w:val="3A23599A"/>
    <w:rsid w:val="3A24449B"/>
    <w:rsid w:val="3A255086"/>
    <w:rsid w:val="3A2E4C8D"/>
    <w:rsid w:val="3A35147E"/>
    <w:rsid w:val="3A377636"/>
    <w:rsid w:val="3A446EBF"/>
    <w:rsid w:val="3A4B4EF0"/>
    <w:rsid w:val="3A514258"/>
    <w:rsid w:val="3A6802CC"/>
    <w:rsid w:val="3A684F47"/>
    <w:rsid w:val="3A6A4A9F"/>
    <w:rsid w:val="3A7D77A0"/>
    <w:rsid w:val="3A810023"/>
    <w:rsid w:val="3A816B64"/>
    <w:rsid w:val="3A860F49"/>
    <w:rsid w:val="3A9D05C4"/>
    <w:rsid w:val="3AA1177A"/>
    <w:rsid w:val="3ABC194A"/>
    <w:rsid w:val="3AC708A8"/>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8F7316"/>
    <w:rsid w:val="3CA1704A"/>
    <w:rsid w:val="3CC86CCC"/>
    <w:rsid w:val="3CD4741F"/>
    <w:rsid w:val="3CFB3A43"/>
    <w:rsid w:val="3CFB661F"/>
    <w:rsid w:val="3D0B626C"/>
    <w:rsid w:val="3D0F4D1C"/>
    <w:rsid w:val="3D167A38"/>
    <w:rsid w:val="3D487A50"/>
    <w:rsid w:val="3D5139EC"/>
    <w:rsid w:val="3D687B67"/>
    <w:rsid w:val="3D7A6218"/>
    <w:rsid w:val="3D7C3859"/>
    <w:rsid w:val="3D8552FA"/>
    <w:rsid w:val="3D8C367A"/>
    <w:rsid w:val="3DA908AC"/>
    <w:rsid w:val="3DB039E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BE4AC0"/>
    <w:rsid w:val="3EC80F65"/>
    <w:rsid w:val="3ED35D96"/>
    <w:rsid w:val="3EE0310F"/>
    <w:rsid w:val="3F192FDE"/>
    <w:rsid w:val="3F21764F"/>
    <w:rsid w:val="3F270382"/>
    <w:rsid w:val="3F4D34B9"/>
    <w:rsid w:val="3F5C61BC"/>
    <w:rsid w:val="3F7E18C4"/>
    <w:rsid w:val="3F821E5A"/>
    <w:rsid w:val="3F826617"/>
    <w:rsid w:val="3F882148"/>
    <w:rsid w:val="3FA94B93"/>
    <w:rsid w:val="3FAD5B09"/>
    <w:rsid w:val="3FAF5707"/>
    <w:rsid w:val="3FD61700"/>
    <w:rsid w:val="3FD85683"/>
    <w:rsid w:val="3FF130F6"/>
    <w:rsid w:val="3FF878C8"/>
    <w:rsid w:val="3FFA5B87"/>
    <w:rsid w:val="3FFF6096"/>
    <w:rsid w:val="40044B90"/>
    <w:rsid w:val="40153FD6"/>
    <w:rsid w:val="402042D4"/>
    <w:rsid w:val="40273D0A"/>
    <w:rsid w:val="40310071"/>
    <w:rsid w:val="403542CB"/>
    <w:rsid w:val="4045485F"/>
    <w:rsid w:val="405640FA"/>
    <w:rsid w:val="4081166C"/>
    <w:rsid w:val="40975D69"/>
    <w:rsid w:val="409B3CAE"/>
    <w:rsid w:val="409E221E"/>
    <w:rsid w:val="40A01D3A"/>
    <w:rsid w:val="40A54574"/>
    <w:rsid w:val="40C652D1"/>
    <w:rsid w:val="40C92CD2"/>
    <w:rsid w:val="40E56385"/>
    <w:rsid w:val="40EE1315"/>
    <w:rsid w:val="410302D3"/>
    <w:rsid w:val="410B7187"/>
    <w:rsid w:val="411249BA"/>
    <w:rsid w:val="41166258"/>
    <w:rsid w:val="41274894"/>
    <w:rsid w:val="414172BF"/>
    <w:rsid w:val="416A190F"/>
    <w:rsid w:val="416E7E42"/>
    <w:rsid w:val="416F3BBA"/>
    <w:rsid w:val="418770B8"/>
    <w:rsid w:val="41B6712E"/>
    <w:rsid w:val="41BA6A45"/>
    <w:rsid w:val="41C85859"/>
    <w:rsid w:val="41CA339C"/>
    <w:rsid w:val="41D103D1"/>
    <w:rsid w:val="41D758D6"/>
    <w:rsid w:val="41DF2F7B"/>
    <w:rsid w:val="41E27935"/>
    <w:rsid w:val="41F63994"/>
    <w:rsid w:val="42277327"/>
    <w:rsid w:val="422F448D"/>
    <w:rsid w:val="42312C1E"/>
    <w:rsid w:val="42366258"/>
    <w:rsid w:val="424514EC"/>
    <w:rsid w:val="424B0183"/>
    <w:rsid w:val="424C228D"/>
    <w:rsid w:val="424E40FE"/>
    <w:rsid w:val="425012F6"/>
    <w:rsid w:val="427E4A81"/>
    <w:rsid w:val="428C524B"/>
    <w:rsid w:val="42927D62"/>
    <w:rsid w:val="429B3874"/>
    <w:rsid w:val="429F5DD9"/>
    <w:rsid w:val="42AD499A"/>
    <w:rsid w:val="42B61086"/>
    <w:rsid w:val="42C26869"/>
    <w:rsid w:val="42DD6902"/>
    <w:rsid w:val="42E3216A"/>
    <w:rsid w:val="42ED02B3"/>
    <w:rsid w:val="42EE7639"/>
    <w:rsid w:val="42FE6FA4"/>
    <w:rsid w:val="43040332"/>
    <w:rsid w:val="430F518E"/>
    <w:rsid w:val="43152860"/>
    <w:rsid w:val="43162488"/>
    <w:rsid w:val="431762B8"/>
    <w:rsid w:val="431A4176"/>
    <w:rsid w:val="431B17D2"/>
    <w:rsid w:val="434370AD"/>
    <w:rsid w:val="434A043B"/>
    <w:rsid w:val="434D3A87"/>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037FA"/>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CF7202"/>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6D0411"/>
    <w:rsid w:val="45801494"/>
    <w:rsid w:val="458021A9"/>
    <w:rsid w:val="45834749"/>
    <w:rsid w:val="458D7ACD"/>
    <w:rsid w:val="45AB63C3"/>
    <w:rsid w:val="45C54AF3"/>
    <w:rsid w:val="45CD7101"/>
    <w:rsid w:val="45D73ADC"/>
    <w:rsid w:val="45D93CF8"/>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390A"/>
    <w:rsid w:val="46885E2A"/>
    <w:rsid w:val="469F2601"/>
    <w:rsid w:val="46A82FBF"/>
    <w:rsid w:val="46AB40C3"/>
    <w:rsid w:val="46AC31BB"/>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9547A"/>
    <w:rsid w:val="47D67F88"/>
    <w:rsid w:val="47DB48C2"/>
    <w:rsid w:val="47F20CC9"/>
    <w:rsid w:val="4803505C"/>
    <w:rsid w:val="480831B5"/>
    <w:rsid w:val="480D66CD"/>
    <w:rsid w:val="480F105A"/>
    <w:rsid w:val="48194880"/>
    <w:rsid w:val="481A5421"/>
    <w:rsid w:val="482849BA"/>
    <w:rsid w:val="48286871"/>
    <w:rsid w:val="483D056E"/>
    <w:rsid w:val="483F2BC9"/>
    <w:rsid w:val="485A1120"/>
    <w:rsid w:val="488C32A4"/>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793828"/>
    <w:rsid w:val="4987138C"/>
    <w:rsid w:val="49883A6B"/>
    <w:rsid w:val="49B91793"/>
    <w:rsid w:val="49C37596"/>
    <w:rsid w:val="49CD147E"/>
    <w:rsid w:val="49CF169A"/>
    <w:rsid w:val="49D348F2"/>
    <w:rsid w:val="49E204D8"/>
    <w:rsid w:val="49FA66B9"/>
    <w:rsid w:val="4A0D3F70"/>
    <w:rsid w:val="4A103FF4"/>
    <w:rsid w:val="4A1277D9"/>
    <w:rsid w:val="4A2F2139"/>
    <w:rsid w:val="4A5D0A54"/>
    <w:rsid w:val="4A6643F5"/>
    <w:rsid w:val="4A666565"/>
    <w:rsid w:val="4A7B66E4"/>
    <w:rsid w:val="4A7D5113"/>
    <w:rsid w:val="4A7F4FCB"/>
    <w:rsid w:val="4A812A30"/>
    <w:rsid w:val="4A89523C"/>
    <w:rsid w:val="4AAA6714"/>
    <w:rsid w:val="4AB019AF"/>
    <w:rsid w:val="4AB60164"/>
    <w:rsid w:val="4AC54E91"/>
    <w:rsid w:val="4AD5154D"/>
    <w:rsid w:val="4AEA3364"/>
    <w:rsid w:val="4AF73617"/>
    <w:rsid w:val="4B101F6A"/>
    <w:rsid w:val="4B257098"/>
    <w:rsid w:val="4B593BC4"/>
    <w:rsid w:val="4B6A463C"/>
    <w:rsid w:val="4B902FB1"/>
    <w:rsid w:val="4B9E0E3F"/>
    <w:rsid w:val="4BB63B5B"/>
    <w:rsid w:val="4BB9615E"/>
    <w:rsid w:val="4BCC283D"/>
    <w:rsid w:val="4BD35E6D"/>
    <w:rsid w:val="4BDC1E4C"/>
    <w:rsid w:val="4BE1231B"/>
    <w:rsid w:val="4BFF5353"/>
    <w:rsid w:val="4C177328"/>
    <w:rsid w:val="4C1F6EFC"/>
    <w:rsid w:val="4C2F265F"/>
    <w:rsid w:val="4C5B5DF1"/>
    <w:rsid w:val="4C6D6DCE"/>
    <w:rsid w:val="4C752052"/>
    <w:rsid w:val="4C7D3694"/>
    <w:rsid w:val="4C9F27AB"/>
    <w:rsid w:val="4CBD2C33"/>
    <w:rsid w:val="4CBD4A44"/>
    <w:rsid w:val="4CD40D75"/>
    <w:rsid w:val="4CDE3815"/>
    <w:rsid w:val="4CED2983"/>
    <w:rsid w:val="4D0A58BA"/>
    <w:rsid w:val="4D0D2958"/>
    <w:rsid w:val="4D145493"/>
    <w:rsid w:val="4D16313C"/>
    <w:rsid w:val="4D2832EB"/>
    <w:rsid w:val="4D2D4855"/>
    <w:rsid w:val="4D393332"/>
    <w:rsid w:val="4D3B01A7"/>
    <w:rsid w:val="4D4746C5"/>
    <w:rsid w:val="4D4C64AE"/>
    <w:rsid w:val="4D4D1254"/>
    <w:rsid w:val="4D5A127B"/>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50055E16"/>
    <w:rsid w:val="501C4F0D"/>
    <w:rsid w:val="502B7CA9"/>
    <w:rsid w:val="503046E2"/>
    <w:rsid w:val="5038679F"/>
    <w:rsid w:val="50414974"/>
    <w:rsid w:val="50463D38"/>
    <w:rsid w:val="5047222E"/>
    <w:rsid w:val="505A4AE2"/>
    <w:rsid w:val="50670571"/>
    <w:rsid w:val="50970476"/>
    <w:rsid w:val="509B0528"/>
    <w:rsid w:val="50B95E75"/>
    <w:rsid w:val="50C54952"/>
    <w:rsid w:val="50CA6916"/>
    <w:rsid w:val="50CD6207"/>
    <w:rsid w:val="51015649"/>
    <w:rsid w:val="51034416"/>
    <w:rsid w:val="510A745C"/>
    <w:rsid w:val="512151F2"/>
    <w:rsid w:val="512656C9"/>
    <w:rsid w:val="5139564B"/>
    <w:rsid w:val="5148683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972AB"/>
    <w:rsid w:val="5373169B"/>
    <w:rsid w:val="53747D16"/>
    <w:rsid w:val="5378497F"/>
    <w:rsid w:val="53895AE9"/>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67951"/>
    <w:rsid w:val="548C1FAB"/>
    <w:rsid w:val="549E4143"/>
    <w:rsid w:val="54A656ED"/>
    <w:rsid w:val="54B5148C"/>
    <w:rsid w:val="54DB146B"/>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0B3A5A"/>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66847"/>
    <w:rsid w:val="57FF0946"/>
    <w:rsid w:val="58075B26"/>
    <w:rsid w:val="580A355F"/>
    <w:rsid w:val="580D1F08"/>
    <w:rsid w:val="58127ED2"/>
    <w:rsid w:val="58172F6B"/>
    <w:rsid w:val="58281E5B"/>
    <w:rsid w:val="582C247D"/>
    <w:rsid w:val="583D29A8"/>
    <w:rsid w:val="58406187"/>
    <w:rsid w:val="584E614D"/>
    <w:rsid w:val="58537A63"/>
    <w:rsid w:val="58643CC2"/>
    <w:rsid w:val="587E34DF"/>
    <w:rsid w:val="588075E9"/>
    <w:rsid w:val="588C2AEC"/>
    <w:rsid w:val="58975A79"/>
    <w:rsid w:val="58A81A34"/>
    <w:rsid w:val="58CA7BFC"/>
    <w:rsid w:val="58CF5213"/>
    <w:rsid w:val="58E83887"/>
    <w:rsid w:val="58F90DE0"/>
    <w:rsid w:val="59044790"/>
    <w:rsid w:val="59106321"/>
    <w:rsid w:val="59140C82"/>
    <w:rsid w:val="59202A8D"/>
    <w:rsid w:val="59372DB8"/>
    <w:rsid w:val="593B01E1"/>
    <w:rsid w:val="59493F76"/>
    <w:rsid w:val="59550FA6"/>
    <w:rsid w:val="595650B7"/>
    <w:rsid w:val="59576FB6"/>
    <w:rsid w:val="596005C1"/>
    <w:rsid w:val="59622FBF"/>
    <w:rsid w:val="59651728"/>
    <w:rsid w:val="5978642A"/>
    <w:rsid w:val="597C6A1D"/>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910ABF"/>
    <w:rsid w:val="5BA20303"/>
    <w:rsid w:val="5BB26726"/>
    <w:rsid w:val="5BB701E0"/>
    <w:rsid w:val="5BB82CEC"/>
    <w:rsid w:val="5BB926FC"/>
    <w:rsid w:val="5BF54320"/>
    <w:rsid w:val="5C1633F6"/>
    <w:rsid w:val="5C246971"/>
    <w:rsid w:val="5C384E7D"/>
    <w:rsid w:val="5C4867F4"/>
    <w:rsid w:val="5C49715E"/>
    <w:rsid w:val="5C6737F1"/>
    <w:rsid w:val="5C8F5ED1"/>
    <w:rsid w:val="5C936557"/>
    <w:rsid w:val="5C9C18B0"/>
    <w:rsid w:val="5C9E7970"/>
    <w:rsid w:val="5CBD1826"/>
    <w:rsid w:val="5CC37F37"/>
    <w:rsid w:val="5CE943C9"/>
    <w:rsid w:val="5CF96FBB"/>
    <w:rsid w:val="5CFD1C22"/>
    <w:rsid w:val="5D044DFB"/>
    <w:rsid w:val="5D0E2082"/>
    <w:rsid w:val="5D2A3C5C"/>
    <w:rsid w:val="5D2E4206"/>
    <w:rsid w:val="5D3B5F6E"/>
    <w:rsid w:val="5D42012A"/>
    <w:rsid w:val="5D55380D"/>
    <w:rsid w:val="5D6F2B20"/>
    <w:rsid w:val="5D8B5480"/>
    <w:rsid w:val="5DA21809"/>
    <w:rsid w:val="5DAB5B22"/>
    <w:rsid w:val="5DC32E6C"/>
    <w:rsid w:val="5DD0374A"/>
    <w:rsid w:val="5DD064FA"/>
    <w:rsid w:val="5DDA30BD"/>
    <w:rsid w:val="5DDC7EB6"/>
    <w:rsid w:val="5DE057CC"/>
    <w:rsid w:val="5DE33611"/>
    <w:rsid w:val="5DE50E0B"/>
    <w:rsid w:val="5DEA03F9"/>
    <w:rsid w:val="5DEB5F1F"/>
    <w:rsid w:val="5DEB608F"/>
    <w:rsid w:val="5E0266B8"/>
    <w:rsid w:val="5E211941"/>
    <w:rsid w:val="5E2719AF"/>
    <w:rsid w:val="5E2C7B5F"/>
    <w:rsid w:val="5E324CBD"/>
    <w:rsid w:val="5E37388C"/>
    <w:rsid w:val="5E386485"/>
    <w:rsid w:val="5E3878D6"/>
    <w:rsid w:val="5E49652D"/>
    <w:rsid w:val="5E522721"/>
    <w:rsid w:val="5E55621E"/>
    <w:rsid w:val="5E556A51"/>
    <w:rsid w:val="5E6C7060"/>
    <w:rsid w:val="5E8F699E"/>
    <w:rsid w:val="5EA7453C"/>
    <w:rsid w:val="5EAE0F71"/>
    <w:rsid w:val="5ED27BE1"/>
    <w:rsid w:val="5ED35BB4"/>
    <w:rsid w:val="5ED75612"/>
    <w:rsid w:val="5F1E2A19"/>
    <w:rsid w:val="5F1F1B33"/>
    <w:rsid w:val="5F2136D8"/>
    <w:rsid w:val="5F2D0AE0"/>
    <w:rsid w:val="5F432EF8"/>
    <w:rsid w:val="5F47659C"/>
    <w:rsid w:val="5F4D7ADC"/>
    <w:rsid w:val="5F526256"/>
    <w:rsid w:val="5F555D46"/>
    <w:rsid w:val="5F5B16CF"/>
    <w:rsid w:val="5F765539"/>
    <w:rsid w:val="5F7E529D"/>
    <w:rsid w:val="5F8C1714"/>
    <w:rsid w:val="5FB40CBE"/>
    <w:rsid w:val="5FC2239B"/>
    <w:rsid w:val="5FCA04E2"/>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C75253"/>
    <w:rsid w:val="60E92BEA"/>
    <w:rsid w:val="60FF41BB"/>
    <w:rsid w:val="61020C7F"/>
    <w:rsid w:val="611759A9"/>
    <w:rsid w:val="612B3202"/>
    <w:rsid w:val="612C0D28"/>
    <w:rsid w:val="61406582"/>
    <w:rsid w:val="61543299"/>
    <w:rsid w:val="61592960"/>
    <w:rsid w:val="615A5A4D"/>
    <w:rsid w:val="6166248C"/>
    <w:rsid w:val="61706E67"/>
    <w:rsid w:val="619A4EF6"/>
    <w:rsid w:val="61AC41D6"/>
    <w:rsid w:val="61D70DF9"/>
    <w:rsid w:val="61D77A00"/>
    <w:rsid w:val="61EE148D"/>
    <w:rsid w:val="621B3277"/>
    <w:rsid w:val="6228211F"/>
    <w:rsid w:val="6229771A"/>
    <w:rsid w:val="622C555D"/>
    <w:rsid w:val="623B7475"/>
    <w:rsid w:val="624D53FA"/>
    <w:rsid w:val="625E7607"/>
    <w:rsid w:val="626478C2"/>
    <w:rsid w:val="626529F4"/>
    <w:rsid w:val="626C4988"/>
    <w:rsid w:val="62854B94"/>
    <w:rsid w:val="62922E0D"/>
    <w:rsid w:val="62C610B8"/>
    <w:rsid w:val="62C6262C"/>
    <w:rsid w:val="62E21FE6"/>
    <w:rsid w:val="62E224E8"/>
    <w:rsid w:val="62F13FD7"/>
    <w:rsid w:val="62FE497B"/>
    <w:rsid w:val="62FF03D9"/>
    <w:rsid w:val="62FF64C2"/>
    <w:rsid w:val="630E4B89"/>
    <w:rsid w:val="63185A08"/>
    <w:rsid w:val="633345F0"/>
    <w:rsid w:val="63352116"/>
    <w:rsid w:val="63377DE5"/>
    <w:rsid w:val="633B5253"/>
    <w:rsid w:val="633C769A"/>
    <w:rsid w:val="63452A53"/>
    <w:rsid w:val="63485127"/>
    <w:rsid w:val="635B58F5"/>
    <w:rsid w:val="637531A0"/>
    <w:rsid w:val="63860BC4"/>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15E63"/>
    <w:rsid w:val="643A7DF2"/>
    <w:rsid w:val="644D7933"/>
    <w:rsid w:val="645152C2"/>
    <w:rsid w:val="64607667"/>
    <w:rsid w:val="64800394"/>
    <w:rsid w:val="648814BB"/>
    <w:rsid w:val="64975171"/>
    <w:rsid w:val="649D3FE5"/>
    <w:rsid w:val="64A15589"/>
    <w:rsid w:val="64AA0614"/>
    <w:rsid w:val="64AB4ABB"/>
    <w:rsid w:val="64BE5FF1"/>
    <w:rsid w:val="64C549E2"/>
    <w:rsid w:val="64D4770D"/>
    <w:rsid w:val="64DF4A2F"/>
    <w:rsid w:val="64E831B8"/>
    <w:rsid w:val="64EA2425"/>
    <w:rsid w:val="64F1206D"/>
    <w:rsid w:val="65031DA0"/>
    <w:rsid w:val="65220A06"/>
    <w:rsid w:val="65384140"/>
    <w:rsid w:val="653A1C66"/>
    <w:rsid w:val="65426D6C"/>
    <w:rsid w:val="65540C76"/>
    <w:rsid w:val="65635F1D"/>
    <w:rsid w:val="656E7B61"/>
    <w:rsid w:val="657753A5"/>
    <w:rsid w:val="657A5833"/>
    <w:rsid w:val="65812DF0"/>
    <w:rsid w:val="65841133"/>
    <w:rsid w:val="65842EE1"/>
    <w:rsid w:val="658630FD"/>
    <w:rsid w:val="659B022A"/>
    <w:rsid w:val="65A767B0"/>
    <w:rsid w:val="65AE3104"/>
    <w:rsid w:val="65B838A4"/>
    <w:rsid w:val="65C94D98"/>
    <w:rsid w:val="65CB4FB4"/>
    <w:rsid w:val="65D96BC2"/>
    <w:rsid w:val="65E6594A"/>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6821F3"/>
    <w:rsid w:val="668D3AA7"/>
    <w:rsid w:val="668D6304"/>
    <w:rsid w:val="669C6028"/>
    <w:rsid w:val="669F0689"/>
    <w:rsid w:val="66A87A0F"/>
    <w:rsid w:val="66B20509"/>
    <w:rsid w:val="66C50541"/>
    <w:rsid w:val="66C509D5"/>
    <w:rsid w:val="66DA2CB3"/>
    <w:rsid w:val="66F40793"/>
    <w:rsid w:val="66F978FF"/>
    <w:rsid w:val="6717038D"/>
    <w:rsid w:val="671706D3"/>
    <w:rsid w:val="67286A44"/>
    <w:rsid w:val="672F48CC"/>
    <w:rsid w:val="6730396A"/>
    <w:rsid w:val="67346B89"/>
    <w:rsid w:val="6739419F"/>
    <w:rsid w:val="6751773B"/>
    <w:rsid w:val="6760797E"/>
    <w:rsid w:val="67801EB9"/>
    <w:rsid w:val="67941A60"/>
    <w:rsid w:val="67A71109"/>
    <w:rsid w:val="67C76B2D"/>
    <w:rsid w:val="67CE0D8B"/>
    <w:rsid w:val="67D55C76"/>
    <w:rsid w:val="67EE2A60"/>
    <w:rsid w:val="68036CFD"/>
    <w:rsid w:val="681A38D9"/>
    <w:rsid w:val="68324E76"/>
    <w:rsid w:val="6839795B"/>
    <w:rsid w:val="683E5252"/>
    <w:rsid w:val="68456C28"/>
    <w:rsid w:val="684C67E9"/>
    <w:rsid w:val="685118DE"/>
    <w:rsid w:val="685E101E"/>
    <w:rsid w:val="686C6BF3"/>
    <w:rsid w:val="68702AEA"/>
    <w:rsid w:val="688233FF"/>
    <w:rsid w:val="68883E6D"/>
    <w:rsid w:val="68AD6BF3"/>
    <w:rsid w:val="68B7537B"/>
    <w:rsid w:val="68D56A00"/>
    <w:rsid w:val="68DA1F54"/>
    <w:rsid w:val="68EB078F"/>
    <w:rsid w:val="691D1B71"/>
    <w:rsid w:val="69280C5E"/>
    <w:rsid w:val="693115D2"/>
    <w:rsid w:val="693A3226"/>
    <w:rsid w:val="693E4935"/>
    <w:rsid w:val="694D54E1"/>
    <w:rsid w:val="699944EC"/>
    <w:rsid w:val="69995724"/>
    <w:rsid w:val="69B31FE7"/>
    <w:rsid w:val="69B47EE5"/>
    <w:rsid w:val="69C4686C"/>
    <w:rsid w:val="69CE0ADD"/>
    <w:rsid w:val="6A176F2F"/>
    <w:rsid w:val="6A23687A"/>
    <w:rsid w:val="6A240036"/>
    <w:rsid w:val="6A372756"/>
    <w:rsid w:val="6A3749C6"/>
    <w:rsid w:val="6A3B19C7"/>
    <w:rsid w:val="6A4B20C8"/>
    <w:rsid w:val="6A4B5F33"/>
    <w:rsid w:val="6A577BBA"/>
    <w:rsid w:val="6A590439"/>
    <w:rsid w:val="6A597D4C"/>
    <w:rsid w:val="6A680FC7"/>
    <w:rsid w:val="6A880A74"/>
    <w:rsid w:val="6A942216"/>
    <w:rsid w:val="6A9B0075"/>
    <w:rsid w:val="6AA33A76"/>
    <w:rsid w:val="6AA54699"/>
    <w:rsid w:val="6AB57FE0"/>
    <w:rsid w:val="6AC51D73"/>
    <w:rsid w:val="6AC82C33"/>
    <w:rsid w:val="6AD67F71"/>
    <w:rsid w:val="6AE213F9"/>
    <w:rsid w:val="6AE85CC0"/>
    <w:rsid w:val="6AF7771D"/>
    <w:rsid w:val="6B036F9E"/>
    <w:rsid w:val="6B105217"/>
    <w:rsid w:val="6B2F7A95"/>
    <w:rsid w:val="6B311795"/>
    <w:rsid w:val="6B39764F"/>
    <w:rsid w:val="6B4D0219"/>
    <w:rsid w:val="6BA17867"/>
    <w:rsid w:val="6BA8544F"/>
    <w:rsid w:val="6BB141CE"/>
    <w:rsid w:val="6BBA58AE"/>
    <w:rsid w:val="6BBE4C73"/>
    <w:rsid w:val="6BD45513"/>
    <w:rsid w:val="6BEC17E0"/>
    <w:rsid w:val="6BEF0C80"/>
    <w:rsid w:val="6BF41DBA"/>
    <w:rsid w:val="6C102618"/>
    <w:rsid w:val="6C1F3963"/>
    <w:rsid w:val="6C1F5711"/>
    <w:rsid w:val="6C276CBC"/>
    <w:rsid w:val="6C2A0D97"/>
    <w:rsid w:val="6C3664AD"/>
    <w:rsid w:val="6C3D203B"/>
    <w:rsid w:val="6C3F0F20"/>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0C6724"/>
    <w:rsid w:val="6F153111"/>
    <w:rsid w:val="6F2474E3"/>
    <w:rsid w:val="6F3B3D99"/>
    <w:rsid w:val="6F415A91"/>
    <w:rsid w:val="6F5479EB"/>
    <w:rsid w:val="6F5558BD"/>
    <w:rsid w:val="6F5C177F"/>
    <w:rsid w:val="6F5E47A3"/>
    <w:rsid w:val="6F622446"/>
    <w:rsid w:val="6F6373A3"/>
    <w:rsid w:val="6F6723AD"/>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93FA1"/>
    <w:rsid w:val="704C1556"/>
    <w:rsid w:val="705D5373"/>
    <w:rsid w:val="706109E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7227E"/>
    <w:rsid w:val="720F6001"/>
    <w:rsid w:val="72473CB6"/>
    <w:rsid w:val="72496B0C"/>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7A53B3"/>
    <w:rsid w:val="75D35377"/>
    <w:rsid w:val="75F93477"/>
    <w:rsid w:val="76063D02"/>
    <w:rsid w:val="760B3E0F"/>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7176354"/>
    <w:rsid w:val="773310E1"/>
    <w:rsid w:val="773D3F97"/>
    <w:rsid w:val="774910E8"/>
    <w:rsid w:val="774950AA"/>
    <w:rsid w:val="774A0F8C"/>
    <w:rsid w:val="774A385E"/>
    <w:rsid w:val="77951A25"/>
    <w:rsid w:val="77960CE5"/>
    <w:rsid w:val="77996CC0"/>
    <w:rsid w:val="77AF0127"/>
    <w:rsid w:val="77B04009"/>
    <w:rsid w:val="77C8358B"/>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9F7E92"/>
    <w:rsid w:val="79BA79F3"/>
    <w:rsid w:val="79BB215E"/>
    <w:rsid w:val="79CE4C1B"/>
    <w:rsid w:val="79D87646"/>
    <w:rsid w:val="79DA25B1"/>
    <w:rsid w:val="79E82BC7"/>
    <w:rsid w:val="7A1067EC"/>
    <w:rsid w:val="7A192CE7"/>
    <w:rsid w:val="7A2E2EA3"/>
    <w:rsid w:val="7A3007C8"/>
    <w:rsid w:val="7A3231AD"/>
    <w:rsid w:val="7A4A77F3"/>
    <w:rsid w:val="7A5A72EE"/>
    <w:rsid w:val="7A6169E0"/>
    <w:rsid w:val="7A7C5E16"/>
    <w:rsid w:val="7A844288"/>
    <w:rsid w:val="7AA02113"/>
    <w:rsid w:val="7AA82540"/>
    <w:rsid w:val="7AB931D5"/>
    <w:rsid w:val="7AC322A6"/>
    <w:rsid w:val="7ADC02AF"/>
    <w:rsid w:val="7AE56AF0"/>
    <w:rsid w:val="7B002DC3"/>
    <w:rsid w:val="7B030BB8"/>
    <w:rsid w:val="7B080E99"/>
    <w:rsid w:val="7B0C23FF"/>
    <w:rsid w:val="7B110428"/>
    <w:rsid w:val="7B113011"/>
    <w:rsid w:val="7B205002"/>
    <w:rsid w:val="7B220D7A"/>
    <w:rsid w:val="7B2F5349"/>
    <w:rsid w:val="7B5666FB"/>
    <w:rsid w:val="7B5C232E"/>
    <w:rsid w:val="7B5E12BB"/>
    <w:rsid w:val="7B637C47"/>
    <w:rsid w:val="7B780AEF"/>
    <w:rsid w:val="7BA43E85"/>
    <w:rsid w:val="7BAB6FC2"/>
    <w:rsid w:val="7BBF4208"/>
    <w:rsid w:val="7BC0312E"/>
    <w:rsid w:val="7BC62E25"/>
    <w:rsid w:val="7BC938EC"/>
    <w:rsid w:val="7BD02203"/>
    <w:rsid w:val="7BD22006"/>
    <w:rsid w:val="7BE269EA"/>
    <w:rsid w:val="7BE349AD"/>
    <w:rsid w:val="7BEC6B07"/>
    <w:rsid w:val="7BFC0690"/>
    <w:rsid w:val="7BFE17E7"/>
    <w:rsid w:val="7C013085"/>
    <w:rsid w:val="7C0E2B1C"/>
    <w:rsid w:val="7C0E57A2"/>
    <w:rsid w:val="7C151079"/>
    <w:rsid w:val="7C186D38"/>
    <w:rsid w:val="7C2253BC"/>
    <w:rsid w:val="7C2E374F"/>
    <w:rsid w:val="7C4756C9"/>
    <w:rsid w:val="7C582C3F"/>
    <w:rsid w:val="7C593EE8"/>
    <w:rsid w:val="7C753C13"/>
    <w:rsid w:val="7C7A6994"/>
    <w:rsid w:val="7C855A65"/>
    <w:rsid w:val="7C9932BE"/>
    <w:rsid w:val="7C9B286D"/>
    <w:rsid w:val="7C9B7FF0"/>
    <w:rsid w:val="7C9C44FE"/>
    <w:rsid w:val="7CB2612E"/>
    <w:rsid w:val="7CB53251"/>
    <w:rsid w:val="7CB62D19"/>
    <w:rsid w:val="7CD93821"/>
    <w:rsid w:val="7CD95805"/>
    <w:rsid w:val="7CFE1373"/>
    <w:rsid w:val="7D13314E"/>
    <w:rsid w:val="7D230DDA"/>
    <w:rsid w:val="7D365DD8"/>
    <w:rsid w:val="7D3A23FC"/>
    <w:rsid w:val="7D4C0330"/>
    <w:rsid w:val="7D625FC7"/>
    <w:rsid w:val="7D650CA3"/>
    <w:rsid w:val="7D6A0419"/>
    <w:rsid w:val="7D6B7727"/>
    <w:rsid w:val="7D7A5D33"/>
    <w:rsid w:val="7DA0242A"/>
    <w:rsid w:val="7DB12889"/>
    <w:rsid w:val="7DB52379"/>
    <w:rsid w:val="7DBC3708"/>
    <w:rsid w:val="7DD018F6"/>
    <w:rsid w:val="7DD4016C"/>
    <w:rsid w:val="7DD510B0"/>
    <w:rsid w:val="7DEE5D3D"/>
    <w:rsid w:val="7DFB418F"/>
    <w:rsid w:val="7E167D92"/>
    <w:rsid w:val="7E1A50EB"/>
    <w:rsid w:val="7E1D2CB4"/>
    <w:rsid w:val="7E222BD7"/>
    <w:rsid w:val="7E2412AD"/>
    <w:rsid w:val="7E24305B"/>
    <w:rsid w:val="7E290672"/>
    <w:rsid w:val="7E385C9F"/>
    <w:rsid w:val="7E4266E2"/>
    <w:rsid w:val="7E576F8D"/>
    <w:rsid w:val="7E6C2A49"/>
    <w:rsid w:val="7E6D4A02"/>
    <w:rsid w:val="7E722A66"/>
    <w:rsid w:val="7E794FBB"/>
    <w:rsid w:val="7E806AA4"/>
    <w:rsid w:val="7E8F4979"/>
    <w:rsid w:val="7E9C305C"/>
    <w:rsid w:val="7EA06B86"/>
    <w:rsid w:val="7EA26042"/>
    <w:rsid w:val="7EAA17B2"/>
    <w:rsid w:val="7EAF6879"/>
    <w:rsid w:val="7EB45D48"/>
    <w:rsid w:val="7EBD001F"/>
    <w:rsid w:val="7EC17031"/>
    <w:rsid w:val="7ED71E7C"/>
    <w:rsid w:val="7EDE2253"/>
    <w:rsid w:val="7EEA7E01"/>
    <w:rsid w:val="7F0417A2"/>
    <w:rsid w:val="7F360FA8"/>
    <w:rsid w:val="7F3D43D5"/>
    <w:rsid w:val="7F427C3D"/>
    <w:rsid w:val="7F517E80"/>
    <w:rsid w:val="7F565496"/>
    <w:rsid w:val="7F7211CD"/>
    <w:rsid w:val="7F8B3961"/>
    <w:rsid w:val="7F8F3102"/>
    <w:rsid w:val="7F912972"/>
    <w:rsid w:val="7F980D98"/>
    <w:rsid w:val="7F9C0E05"/>
    <w:rsid w:val="7F9F140C"/>
    <w:rsid w:val="7FA76140"/>
    <w:rsid w:val="7FAE0E2E"/>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next w:val="15"/>
    <w:link w:val="52"/>
    <w:autoRedefine/>
    <w:qFormat/>
    <w:uiPriority w:val="0"/>
    <w:pPr>
      <w:spacing w:after="120"/>
      <w:ind w:left="200" w:leftChars="200"/>
    </w:pPr>
  </w:style>
  <w:style w:type="paragraph" w:styleId="15">
    <w:name w:val="envelope return"/>
    <w:basedOn w:val="1"/>
    <w:next w:val="9"/>
    <w:autoRedefine/>
    <w:qFormat/>
    <w:uiPriority w:val="0"/>
    <w:pPr>
      <w:snapToGrid w:val="0"/>
    </w:pPr>
    <w:rPr>
      <w:rFonts w:ascii="Arial" w:hAnsi="Arial"/>
    </w:rPr>
  </w:style>
  <w:style w:type="paragraph" w:styleId="16">
    <w:name w:val="toc 3"/>
    <w:basedOn w:val="1"/>
    <w:next w:val="1"/>
    <w:autoRedefine/>
    <w:qFormat/>
    <w:uiPriority w:val="39"/>
    <w:pPr>
      <w:tabs>
        <w:tab w:val="right" w:leader="dot" w:pos="9288"/>
      </w:tabs>
      <w:ind w:left="400" w:leftChars="400"/>
    </w:pPr>
    <w:rPr>
      <w:rFonts w:ascii="宋体"/>
    </w:rPr>
  </w:style>
  <w:style w:type="paragraph" w:styleId="17">
    <w:name w:val="Plain Text"/>
    <w:basedOn w:val="1"/>
    <w:next w:val="1"/>
    <w:link w:val="60"/>
    <w:autoRedefine/>
    <w:qFormat/>
    <w:uiPriority w:val="99"/>
    <w:rPr>
      <w:rFonts w:ascii="宋体"/>
      <w:color w:val="000000"/>
      <w:szCs w:val="20"/>
      <w:u w:val="none" w:color="000000"/>
    </w:rPr>
  </w:style>
  <w:style w:type="paragraph" w:styleId="18">
    <w:name w:val="Date"/>
    <w:basedOn w:val="1"/>
    <w:next w:val="1"/>
    <w:link w:val="61"/>
    <w:autoRedefine/>
    <w:qFormat/>
    <w:uiPriority w:val="0"/>
    <w:rPr>
      <w:rFonts w:ascii="Arial" w:hAnsi="Arial" w:eastAsia="仿宋_GB2312"/>
      <w:color w:val="000000"/>
      <w:sz w:val="32"/>
      <w:szCs w:val="20"/>
      <w:u w:val="none" w:color="000000"/>
    </w:rPr>
  </w:style>
  <w:style w:type="paragraph" w:styleId="19">
    <w:name w:val="Body Text Indent 2"/>
    <w:basedOn w:val="1"/>
    <w:link w:val="62"/>
    <w:autoRedefine/>
    <w:qFormat/>
    <w:uiPriority w:val="0"/>
    <w:pPr>
      <w:spacing w:after="120" w:line="480" w:lineRule="auto"/>
      <w:ind w:left="420" w:leftChars="200"/>
    </w:p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next w:val="1"/>
    <w:link w:val="53"/>
    <w:autoRedefine/>
    <w:qFormat/>
    <w:uiPriority w:val="0"/>
    <w:pPr>
      <w:keepNext w:val="0"/>
      <w:keepLines w:val="0"/>
      <w:widowControl w:val="0"/>
      <w:suppressLineNumbers w:val="0"/>
      <w:spacing w:before="0" w:beforeAutospacing="0" w:after="0" w:afterAutospacing="0" w:line="500" w:lineRule="exact"/>
      <w:ind w:left="0" w:right="0" w:firstLine="420" w:firstLineChars="200"/>
      <w:jc w:val="both"/>
    </w:pPr>
    <w:rPr>
      <w:rFonts w:hint="default" w:ascii="Times New Roman" w:hAnsi="Times New Roman" w:eastAsia="宋体" w:cs="Times New Roman"/>
      <w:kern w:val="2"/>
      <w:sz w:val="28"/>
      <w:szCs w:val="28"/>
      <w:lang w:val="en-US" w:eastAsia="zh-CN" w:bidi="ar"/>
    </w:r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5"/>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6"/>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7"/>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8"/>
    <w:autoRedefine/>
    <w:qFormat/>
    <w:uiPriority w:val="0"/>
    <w:rPr>
      <w:rFonts w:ascii="Arial" w:hAnsi="Arial" w:eastAsia="仿宋_GB2312"/>
      <w:color w:val="000000"/>
      <w:kern w:val="2"/>
      <w:sz w:val="32"/>
      <w:u w:val="none" w:color="000000"/>
    </w:rPr>
  </w:style>
  <w:style w:type="character" w:customStyle="1" w:styleId="62">
    <w:name w:val="正文文本缩进 2 字符"/>
    <w:link w:val="19"/>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52">
    <w:name w:val="10"/>
    <w:basedOn w:val="37"/>
    <w:qFormat/>
    <w:uiPriority w:val="0"/>
    <w:rPr>
      <w:rFonts w:hint="default" w:ascii="Times New Roman" w:hAnsi="Times New Roman" w:cs="Times New Roman"/>
    </w:rPr>
  </w:style>
  <w:style w:type="character" w:customStyle="1" w:styleId="153">
    <w:name w:val="15"/>
    <w:basedOn w:val="37"/>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1804</Words>
  <Characters>2372</Characters>
  <Lines>1</Lines>
  <Paragraphs>1</Paragraphs>
  <TotalTime>10</TotalTime>
  <ScaleCrop>false</ScaleCrop>
  <LinksUpToDate>false</LinksUpToDate>
  <CharactersWithSpaces>2615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这不科学</cp:lastModifiedBy>
  <cp:lastPrinted>2026-07-03T09:03:00Z</cp:lastPrinted>
  <dcterms:modified xsi:type="dcterms:W3CDTF">2026-10-19T12:24:52Z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84D2A20285844251AC110EF3F8DCB029_13</vt:lpwstr>
  </property>
  <property fmtid="{D5CDD505-2E9C-101B-9397-08002B2CF9AE}" pid="4" name="KSOTemplateDocerSaveRecord">
    <vt:lpwstr>eyJoZGlkIjoiZmI5ZDY5ZDNjMmE2ZDcxYTFkMDY0Zjg5Mjg3YTE0YTgiLCJ1c2VySWQiOiI1MDM3MjkwOTMifQ==</vt:lpwstr>
  </property>
</Properties>
</file>